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pacing w:line="560" w:lineRule="exact"/>
        <w:jc w:val="left"/>
        <w:textAlignment w:val="auto"/>
        <w:rPr>
          <w:rFonts w:hint="default" w:ascii="Times New Roman" w:hAnsi="Times New Roman" w:eastAsia="仿宋_GB2312" w:cs="Times New Roman"/>
          <w:sz w:val="28"/>
          <w:szCs w:val="28"/>
        </w:rPr>
      </w:pPr>
    </w:p>
    <w:p>
      <w:pPr>
        <w:keepNext w:val="0"/>
        <w:keepLines w:val="0"/>
        <w:pageBreakBefore w:val="0"/>
        <w:kinsoku/>
        <w:wordWrap/>
        <w:overflowPunct/>
        <w:topLinePunct w:val="0"/>
        <w:autoSpaceDE/>
        <w:autoSpaceDN/>
        <w:bidi w:val="0"/>
        <w:adjustRightInd/>
        <w:spacing w:line="560" w:lineRule="exact"/>
        <w:jc w:val="left"/>
        <w:textAlignment w:val="auto"/>
        <w:rPr>
          <w:rFonts w:hint="default" w:ascii="Times New Roman" w:hAnsi="Times New Roman" w:eastAsia="仿宋_GB2312" w:cs="Times New Roman"/>
          <w:sz w:val="28"/>
          <w:szCs w:val="28"/>
        </w:rPr>
      </w:pPr>
    </w:p>
    <w:p>
      <w:pPr>
        <w:keepNext w:val="0"/>
        <w:keepLines w:val="0"/>
        <w:pageBreakBefore w:val="0"/>
        <w:kinsoku/>
        <w:wordWrap/>
        <w:overflowPunct/>
        <w:topLinePunct w:val="0"/>
        <w:autoSpaceDE/>
        <w:autoSpaceDN/>
        <w:bidi w:val="0"/>
        <w:adjustRightInd/>
        <w:spacing w:line="560" w:lineRule="exact"/>
        <w:jc w:val="center"/>
        <w:textAlignment w:val="auto"/>
        <w:rPr>
          <w:rFonts w:hint="default" w:ascii="Times New Roman" w:hAnsi="Times New Roman" w:cs="Times New Roman"/>
          <w:b/>
          <w:bCs/>
          <w:sz w:val="44"/>
          <w:szCs w:val="44"/>
        </w:rPr>
      </w:pPr>
      <w:r>
        <w:rPr>
          <w:rFonts w:hint="default" w:ascii="Times New Roman" w:hAnsi="Times New Roman" w:cs="Times New Roman"/>
          <w:b/>
          <w:bCs/>
          <w:sz w:val="44"/>
          <w:szCs w:val="44"/>
        </w:rPr>
        <w:t>陕西省西咸新区空港新城城市管理局</w:t>
      </w:r>
    </w:p>
    <w:p>
      <w:pPr>
        <w:keepNext w:val="0"/>
        <w:keepLines w:val="0"/>
        <w:pageBreakBefore w:val="0"/>
        <w:kinsoku/>
        <w:wordWrap/>
        <w:overflowPunct/>
        <w:topLinePunct w:val="0"/>
        <w:autoSpaceDE/>
        <w:autoSpaceDN/>
        <w:bidi w:val="0"/>
        <w:adjustRightInd/>
        <w:spacing w:line="560" w:lineRule="exact"/>
        <w:jc w:val="center"/>
        <w:textAlignment w:val="auto"/>
        <w:rPr>
          <w:rFonts w:hint="default" w:ascii="Times New Roman" w:hAnsi="Times New Roman" w:cs="Times New Roman"/>
          <w:b/>
          <w:bCs/>
          <w:sz w:val="44"/>
          <w:szCs w:val="44"/>
        </w:rPr>
      </w:pPr>
      <w:r>
        <w:rPr>
          <w:rFonts w:hint="default" w:ascii="Times New Roman" w:hAnsi="Times New Roman" w:cs="Times New Roman"/>
          <w:b/>
          <w:bCs/>
          <w:sz w:val="44"/>
          <w:szCs w:val="44"/>
        </w:rPr>
        <w:t>2018年部门决算说明</w:t>
      </w:r>
    </w:p>
    <w:p>
      <w:pPr>
        <w:keepNext w:val="0"/>
        <w:keepLines w:val="0"/>
        <w:pageBreakBefore w:val="0"/>
        <w:kinsoku/>
        <w:wordWrap/>
        <w:overflowPunct/>
        <w:topLinePunct w:val="0"/>
        <w:autoSpaceDE/>
        <w:autoSpaceDN/>
        <w:bidi w:val="0"/>
        <w:adjustRightInd/>
        <w:spacing w:line="560" w:lineRule="exact"/>
        <w:ind w:firstLine="640"/>
        <w:textAlignment w:val="auto"/>
        <w:rPr>
          <w:rFonts w:hint="default" w:ascii="Times New Roman" w:hAnsi="Times New Roman" w:eastAsia="黑体" w:cs="Times New Roman"/>
          <w:b/>
          <w:bCs/>
          <w:szCs w:val="32"/>
        </w:rPr>
      </w:pPr>
    </w:p>
    <w:p>
      <w:pPr>
        <w:keepNext w:val="0"/>
        <w:keepLines w:val="0"/>
        <w:pageBreakBefore w:val="0"/>
        <w:kinsoku/>
        <w:wordWrap/>
        <w:overflowPunct/>
        <w:topLinePunct w:val="0"/>
        <w:autoSpaceDE/>
        <w:autoSpaceDN/>
        <w:bidi w:val="0"/>
        <w:adjustRightInd/>
        <w:spacing w:line="560" w:lineRule="exact"/>
        <w:ind w:firstLine="640"/>
        <w:textAlignment w:val="auto"/>
        <w:rPr>
          <w:rFonts w:hint="default" w:ascii="Times New Roman" w:hAnsi="Times New Roman" w:eastAsia="黑体" w:cs="Times New Roman"/>
          <w:b/>
          <w:bCs/>
          <w:szCs w:val="32"/>
        </w:rPr>
      </w:pPr>
      <w:r>
        <w:rPr>
          <w:rFonts w:hint="default" w:ascii="Times New Roman" w:hAnsi="Times New Roman" w:eastAsia="黑体" w:cs="Times New Roman"/>
          <w:b/>
          <w:bCs/>
          <w:szCs w:val="32"/>
        </w:rPr>
        <w:t>一、部门主要职责及机构设置</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仿宋_GB2312" w:cs="Times New Roman"/>
          <w:kern w:val="0"/>
          <w:szCs w:val="32"/>
        </w:rPr>
      </w:pPr>
      <w:r>
        <w:rPr>
          <w:rFonts w:hint="default" w:ascii="Times New Roman" w:hAnsi="Times New Roman" w:eastAsia="仿宋_GB2312" w:cs="Times New Roman"/>
          <w:kern w:val="0"/>
          <w:szCs w:val="32"/>
        </w:rPr>
        <w:t>主要职责：实施对西安咸阳国际机场及其周边出租客运市场管理工作，查处违法经营行为，承担机场出租车安全及服务质量监管工作等。</w:t>
      </w:r>
    </w:p>
    <w:p>
      <w:pPr>
        <w:keepNext w:val="0"/>
        <w:keepLines w:val="0"/>
        <w:pageBreakBefore w:val="0"/>
        <w:kinsoku/>
        <w:wordWrap/>
        <w:overflowPunct/>
        <w:topLinePunct w:val="0"/>
        <w:autoSpaceDE/>
        <w:autoSpaceDN/>
        <w:bidi w:val="0"/>
        <w:adjustRightInd/>
        <w:spacing w:line="560" w:lineRule="exact"/>
        <w:ind w:firstLine="640"/>
        <w:textAlignment w:val="auto"/>
        <w:rPr>
          <w:rFonts w:hint="default" w:ascii="Times New Roman" w:hAnsi="Times New Roman" w:eastAsia="黑体" w:cs="Times New Roman"/>
          <w:b/>
          <w:bCs/>
          <w:szCs w:val="32"/>
        </w:rPr>
      </w:pPr>
      <w:r>
        <w:rPr>
          <w:rFonts w:hint="default" w:ascii="Times New Roman" w:hAnsi="Times New Roman" w:eastAsia="黑体" w:cs="Times New Roman"/>
          <w:b/>
          <w:bCs/>
          <w:szCs w:val="32"/>
        </w:rPr>
        <w:t>二、2018年度部门工作完成情况</w:t>
      </w:r>
    </w:p>
    <w:p>
      <w:pPr>
        <w:keepNext w:val="0"/>
        <w:keepLines w:val="0"/>
        <w:pageBreakBefore w:val="0"/>
        <w:kinsoku/>
        <w:wordWrap/>
        <w:overflowPunct/>
        <w:topLinePunct w:val="0"/>
        <w:autoSpaceDE/>
        <w:autoSpaceDN/>
        <w:bidi w:val="0"/>
        <w:adjustRightInd/>
        <w:spacing w:line="560" w:lineRule="exact"/>
        <w:ind w:firstLine="640"/>
        <w:textAlignment w:val="auto"/>
        <w:rPr>
          <w:rFonts w:hint="default" w:ascii="Times New Roman" w:hAnsi="Times New Roman" w:eastAsia="仿宋_GB2312" w:cs="Times New Roman"/>
          <w:color w:val="000000"/>
          <w:szCs w:val="32"/>
        </w:rPr>
      </w:pPr>
      <w:r>
        <w:rPr>
          <w:rFonts w:hint="default" w:ascii="Times New Roman" w:hAnsi="Times New Roman" w:eastAsia="仿宋_GB2312" w:cs="Times New Roman"/>
          <w:color w:val="000000"/>
          <w:szCs w:val="32"/>
        </w:rPr>
        <w:t>全年机场所共计检查出租车15000余辆、查处违法违规车辆730辆，受理乘客投诉1286起，处理违法违规车辆1296辆（其中：出租车1209辆，非法营运87辆），现场纠违出租车2695辆，返还乘客遗失物品19件，培训教育出租车驾驶员498人，受理驾驶员陈述申辩33起，审阅归档案件657卷，列入机场营运“黑名单”出租车60辆，停队820辆，开展文明服务、安全警示教育、机动车礼让行人宣传100余次，发放营运秩序专项整治工作通告1000余份，开展消防应急演练2次，非税罚没收入共计163万余元。较好地完成了本年度目标任务，使机场出租客运环境明显改善，社会满意度显著提高。</w:t>
      </w:r>
    </w:p>
    <w:p>
      <w:pPr>
        <w:keepNext w:val="0"/>
        <w:keepLines w:val="0"/>
        <w:pageBreakBefore w:val="0"/>
        <w:kinsoku/>
        <w:wordWrap/>
        <w:overflowPunct/>
        <w:topLinePunct w:val="0"/>
        <w:autoSpaceDE/>
        <w:autoSpaceDN/>
        <w:bidi w:val="0"/>
        <w:adjustRightInd/>
        <w:spacing w:line="560" w:lineRule="exact"/>
        <w:ind w:firstLine="482" w:firstLineChars="150"/>
        <w:textAlignment w:val="auto"/>
        <w:rPr>
          <w:rFonts w:hint="default" w:ascii="Times New Roman" w:hAnsi="Times New Roman" w:eastAsia="黑体" w:cs="Times New Roman"/>
          <w:b/>
          <w:bCs/>
          <w:szCs w:val="32"/>
        </w:rPr>
      </w:pPr>
      <w:r>
        <w:rPr>
          <w:rFonts w:hint="default" w:ascii="Times New Roman" w:hAnsi="Times New Roman" w:eastAsia="黑体" w:cs="Times New Roman"/>
          <w:b/>
          <w:bCs/>
          <w:szCs w:val="32"/>
        </w:rPr>
        <w:t>三、部门决算单位构成</w:t>
      </w:r>
    </w:p>
    <w:p>
      <w:pPr>
        <w:keepNext w:val="0"/>
        <w:keepLines w:val="0"/>
        <w:pageBreakBefore w:val="0"/>
        <w:kinsoku/>
        <w:wordWrap/>
        <w:overflowPunct/>
        <w:topLinePunct w:val="0"/>
        <w:autoSpaceDE/>
        <w:autoSpaceDN/>
        <w:bidi w:val="0"/>
        <w:adjustRightInd/>
        <w:snapToGrid w:val="0"/>
        <w:spacing w:line="560" w:lineRule="exact"/>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　 从决算单位构成看，本部门的部门决算包括部门本级(机关)决算和所属事业单位决算。</w:t>
      </w:r>
    </w:p>
    <w:p>
      <w:pPr>
        <w:keepNext w:val="0"/>
        <w:keepLines w:val="0"/>
        <w:pageBreakBefore w:val="0"/>
        <w:kinsoku/>
        <w:wordWrap/>
        <w:overflowPunct/>
        <w:topLinePunct w:val="0"/>
        <w:autoSpaceDE/>
        <w:autoSpaceDN/>
        <w:bidi w:val="0"/>
        <w:adjustRightInd/>
        <w:spacing w:line="560" w:lineRule="exact"/>
        <w:ind w:firstLine="64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纳入本部门2018年部门决算编制范围的单位包括本级及所属0个下级单位：</w:t>
      </w:r>
    </w:p>
    <w:tbl>
      <w:tblPr>
        <w:tblStyle w:val="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9"/>
        <w:gridCol w:w="6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9" w:type="dxa"/>
            <w:shd w:val="clear" w:color="auto" w:fill="auto"/>
          </w:tcPr>
          <w:p>
            <w:pPr>
              <w:keepNext w:val="0"/>
              <w:keepLines w:val="0"/>
              <w:pageBreakBefore w:val="0"/>
              <w:kinsoku/>
              <w:wordWrap/>
              <w:overflowPunct/>
              <w:topLinePunct w:val="0"/>
              <w:autoSpaceDE/>
              <w:autoSpaceDN/>
              <w:bidi w:val="0"/>
              <w:adjustRightInd/>
              <w:spacing w:line="560" w:lineRule="exact"/>
              <w:jc w:val="center"/>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序号</w:t>
            </w:r>
          </w:p>
        </w:tc>
        <w:tc>
          <w:tcPr>
            <w:tcW w:w="6923" w:type="dxa"/>
            <w:shd w:val="clear" w:color="auto" w:fill="auto"/>
          </w:tcPr>
          <w:p>
            <w:pPr>
              <w:keepNext w:val="0"/>
              <w:keepLines w:val="0"/>
              <w:pageBreakBefore w:val="0"/>
              <w:kinsoku/>
              <w:wordWrap/>
              <w:overflowPunct/>
              <w:topLinePunct w:val="0"/>
              <w:autoSpaceDE/>
              <w:autoSpaceDN/>
              <w:bidi w:val="0"/>
              <w:adjustRightInd/>
              <w:spacing w:line="560" w:lineRule="exact"/>
              <w:jc w:val="center"/>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9" w:type="dxa"/>
            <w:shd w:val="clear" w:color="auto" w:fill="auto"/>
          </w:tcPr>
          <w:p>
            <w:pPr>
              <w:keepNext w:val="0"/>
              <w:keepLines w:val="0"/>
              <w:pageBreakBefore w:val="0"/>
              <w:kinsoku/>
              <w:wordWrap/>
              <w:overflowPunct/>
              <w:topLinePunct w:val="0"/>
              <w:autoSpaceDE/>
              <w:autoSpaceDN/>
              <w:bidi w:val="0"/>
              <w:adjustRightInd/>
              <w:spacing w:line="560" w:lineRule="exact"/>
              <w:jc w:val="center"/>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1</w:t>
            </w:r>
          </w:p>
        </w:tc>
        <w:tc>
          <w:tcPr>
            <w:tcW w:w="6923" w:type="dxa"/>
            <w:shd w:val="clear" w:color="auto" w:fill="auto"/>
          </w:tcPr>
          <w:p>
            <w:pPr>
              <w:keepNext w:val="0"/>
              <w:keepLines w:val="0"/>
              <w:pageBreakBefore w:val="0"/>
              <w:kinsoku/>
              <w:wordWrap/>
              <w:overflowPunct/>
              <w:topLinePunct w:val="0"/>
              <w:autoSpaceDE/>
              <w:autoSpaceDN/>
              <w:bidi w:val="0"/>
              <w:adjustRightInd/>
              <w:spacing w:line="560" w:lineRule="exact"/>
              <w:jc w:val="center"/>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咸阳国际机场出租汽车管理所</w:t>
            </w:r>
          </w:p>
        </w:tc>
      </w:tr>
    </w:tbl>
    <w:p>
      <w:pPr>
        <w:keepNext w:val="0"/>
        <w:keepLines w:val="0"/>
        <w:pageBreakBefore w:val="0"/>
        <w:kinsoku/>
        <w:wordWrap/>
        <w:overflowPunct/>
        <w:topLinePunct w:val="0"/>
        <w:autoSpaceDE/>
        <w:autoSpaceDN/>
        <w:bidi w:val="0"/>
        <w:adjustRightInd/>
        <w:spacing w:line="560" w:lineRule="exact"/>
        <w:ind w:firstLine="640"/>
        <w:textAlignment w:val="auto"/>
        <w:rPr>
          <w:rFonts w:hint="default" w:ascii="Times New Roman" w:hAnsi="Times New Roman" w:eastAsia="黑体" w:cs="Times New Roman"/>
          <w:b/>
          <w:bCs/>
          <w:szCs w:val="32"/>
        </w:rPr>
      </w:pPr>
      <w:r>
        <w:rPr>
          <w:rFonts w:hint="default" w:ascii="Times New Roman" w:hAnsi="Times New Roman" w:eastAsia="黑体" w:cs="Times New Roman"/>
          <w:b/>
          <w:bCs/>
          <w:szCs w:val="32"/>
        </w:rPr>
        <w:t>四、部门人员情况说明</w:t>
      </w:r>
    </w:p>
    <w:p>
      <w:pPr>
        <w:keepNext w:val="0"/>
        <w:keepLines w:val="0"/>
        <w:pageBreakBefore w:val="0"/>
        <w:kinsoku/>
        <w:wordWrap/>
        <w:overflowPunct/>
        <w:topLinePunct w:val="0"/>
        <w:autoSpaceDE/>
        <w:autoSpaceDN/>
        <w:bidi w:val="0"/>
        <w:adjustRightInd/>
        <w:spacing w:line="560" w:lineRule="exact"/>
        <w:ind w:firstLine="64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截止2018年底，本部门人员编制19人，其中行政编制0人、事业编制19人；实有人员19人，其中行政0人、事业19人。单位管理的离退休人员0人。</w:t>
      </w:r>
    </w:p>
    <w:p>
      <w:pPr>
        <w:keepNext w:val="0"/>
        <w:keepLines w:val="0"/>
        <w:pageBreakBefore w:val="0"/>
        <w:numPr>
          <w:ilvl w:val="0"/>
          <w:numId w:val="1"/>
        </w:numPr>
        <w:kinsoku/>
        <w:wordWrap/>
        <w:overflowPunct/>
        <w:topLinePunct w:val="0"/>
        <w:autoSpaceDE/>
        <w:autoSpaceDN/>
        <w:bidi w:val="0"/>
        <w:adjustRightInd/>
        <w:spacing w:line="560" w:lineRule="exact"/>
        <w:ind w:firstLine="640"/>
        <w:textAlignment w:val="auto"/>
        <w:rPr>
          <w:rFonts w:hint="default" w:ascii="Times New Roman" w:hAnsi="Times New Roman" w:eastAsia="黑体" w:cs="Times New Roman"/>
          <w:b/>
          <w:bCs/>
          <w:szCs w:val="32"/>
        </w:rPr>
      </w:pPr>
      <w:r>
        <w:drawing>
          <wp:anchor distT="0" distB="0" distL="114300" distR="114300" simplePos="0" relativeHeight="251658240" behindDoc="0" locked="0" layoutInCell="1" allowOverlap="1">
            <wp:simplePos x="0" y="0"/>
            <wp:positionH relativeFrom="column">
              <wp:posOffset>911225</wp:posOffset>
            </wp:positionH>
            <wp:positionV relativeFrom="paragraph">
              <wp:posOffset>170180</wp:posOffset>
            </wp:positionV>
            <wp:extent cx="3857625" cy="1905635"/>
            <wp:effectExtent l="0" t="0" r="0" b="0"/>
            <wp:wrapTopAndBottom/>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anchor>
        </w:drawing>
      </w:r>
      <w:r>
        <w:rPr>
          <w:rFonts w:hint="default" w:ascii="Times New Roman" w:hAnsi="Times New Roman" w:eastAsia="黑体" w:cs="Times New Roman"/>
          <w:b/>
          <w:bCs/>
          <w:szCs w:val="32"/>
        </w:rPr>
        <w:t>部门决算收支情况说明</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楷体" w:cs="Times New Roman"/>
          <w:szCs w:val="32"/>
        </w:rPr>
      </w:pPr>
      <w:r>
        <w:rPr>
          <w:rFonts w:hint="default" w:ascii="Times New Roman" w:hAnsi="Times New Roman" w:eastAsia="楷体" w:cs="Times New Roman"/>
          <w:szCs w:val="32"/>
        </w:rPr>
        <w:t>（一）2018年度收入支出总体情况说明</w:t>
      </w:r>
    </w:p>
    <w:p>
      <w:pPr>
        <w:keepNext w:val="0"/>
        <w:keepLines w:val="0"/>
        <w:pageBreakBefore w:val="0"/>
        <w:kinsoku/>
        <w:wordWrap/>
        <w:overflowPunct/>
        <w:topLinePunct w:val="0"/>
        <w:autoSpaceDE/>
        <w:autoSpaceDN/>
        <w:bidi w:val="0"/>
        <w:adjustRightInd/>
        <w:spacing w:line="560" w:lineRule="exact"/>
        <w:ind w:firstLine="720" w:firstLineChars="225"/>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1.本年度收入支出总体情况上比年减少101.55万元，因财政拨款减少、一人身份转为聘任制，故支出减少101.55万元。</w:t>
      </w:r>
    </w:p>
    <w:p>
      <w:pPr>
        <w:keepNext w:val="0"/>
        <w:keepLines w:val="0"/>
        <w:pageBreakBefore w:val="0"/>
        <w:kinsoku/>
        <w:wordWrap/>
        <w:overflowPunct/>
        <w:topLinePunct w:val="0"/>
        <w:autoSpaceDE/>
        <w:autoSpaceDN/>
        <w:bidi w:val="0"/>
        <w:adjustRightInd/>
        <w:spacing w:line="560" w:lineRule="exact"/>
        <w:ind w:firstLine="720" w:firstLineChars="225"/>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2.本年度收入构成情况。</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收入情况：财政拨款共计303.22万元，其中社会保障和就业支出29.40万元，医疗卫生与计划生育支出3.67万元，交通运输支出257.54万元，住房保障支出12.60万元。</w:t>
      </w:r>
    </w:p>
    <w:p>
      <w:pPr>
        <w:keepNext w:val="0"/>
        <w:keepLines w:val="0"/>
        <w:pageBreakBefore w:val="0"/>
        <w:kinsoku/>
        <w:wordWrap/>
        <w:overflowPunct/>
        <w:topLinePunct w:val="0"/>
        <w:autoSpaceDE/>
        <w:autoSpaceDN/>
        <w:bidi w:val="0"/>
        <w:adjustRightInd/>
        <w:spacing w:line="560" w:lineRule="exact"/>
        <w:ind w:firstLine="720" w:firstLineChars="225"/>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3.本年度支出构成情况。</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支出情况：基本支出共计220.78万元，其中社会保障和就业支出29.40万元，医疗卫生与计划生育支出3.67万元，交通运输支出175.11万元，住房保障支出12.60万元。项目支出共计82.44万元，交通运输支出82.44万元，总支出合计303.22万元。</w:t>
      </w:r>
    </w:p>
    <w:p>
      <w:pPr>
        <w:keepNext w:val="0"/>
        <w:keepLines w:val="0"/>
        <w:pageBreakBefore w:val="0"/>
        <w:kinsoku/>
        <w:wordWrap/>
        <w:overflowPunct/>
        <w:topLinePunct w:val="0"/>
        <w:autoSpaceDE/>
        <w:autoSpaceDN/>
        <w:bidi w:val="0"/>
        <w:adjustRightInd/>
        <w:spacing w:line="560" w:lineRule="exact"/>
        <w:ind w:firstLine="480" w:firstLineChars="150"/>
        <w:textAlignment w:val="auto"/>
        <w:rPr>
          <w:rFonts w:hint="default" w:ascii="Times New Roman" w:hAnsi="Times New Roman" w:eastAsia="楷体" w:cs="Times New Roman"/>
          <w:szCs w:val="32"/>
        </w:rPr>
      </w:pPr>
      <w:r>
        <w:rPr>
          <w:rFonts w:hint="default" w:ascii="Times New Roman" w:hAnsi="Times New Roman" w:eastAsia="楷体" w:cs="Times New Roman"/>
          <w:szCs w:val="32"/>
        </w:rPr>
        <w:t>（二）2018年度财政拨款收入支出总体情况说明</w:t>
      </w:r>
    </w:p>
    <w:p>
      <w:pPr>
        <w:keepNext w:val="0"/>
        <w:keepLines w:val="0"/>
        <w:pageBreakBefore w:val="0"/>
        <w:kinsoku/>
        <w:wordWrap/>
        <w:overflowPunct/>
        <w:topLinePunct w:val="0"/>
        <w:autoSpaceDE/>
        <w:autoSpaceDN/>
        <w:bidi w:val="0"/>
        <w:adjustRightInd/>
        <w:spacing w:line="560" w:lineRule="exact"/>
        <w:ind w:firstLine="720" w:firstLineChars="225"/>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1. 本年度收入支出总体情况上比年减少101.55万元，因财政拨款减少及一人身份转为聘任制，故支出减少101.55万元。</w:t>
      </w:r>
    </w:p>
    <w:p>
      <w:pPr>
        <w:keepNext w:val="0"/>
        <w:keepLines w:val="0"/>
        <w:pageBreakBefore w:val="0"/>
        <w:kinsoku/>
        <w:wordWrap/>
        <w:overflowPunct/>
        <w:topLinePunct w:val="0"/>
        <w:autoSpaceDE/>
        <w:autoSpaceDN/>
        <w:bidi w:val="0"/>
        <w:adjustRightInd/>
        <w:spacing w:line="560" w:lineRule="exact"/>
        <w:ind w:firstLine="720" w:firstLineChars="225"/>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2.一般公共预算财政拨款支出情况。</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社会保障和就业支出29.40万元，医疗卫生与计划生育支出3.67万元，交通运输支出257.54万元，住房保障支出12.60万元。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rPr>
      </w:pPr>
      <w:r>
        <w:rPr>
          <w:rFonts w:hint="default" w:ascii="Times New Roman" w:hAnsi="Times New Roman" w:eastAsia="仿宋_GB2312" w:cs="Times New Roman"/>
        </w:rPr>
        <w:t>3.一般公共预算财政拨款基本支出决算情况。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rPr>
      </w:pPr>
      <w:r>
        <w:rPr>
          <w:rFonts w:hint="default" w:ascii="Times New Roman" w:hAnsi="Times New Roman" w:eastAsia="仿宋_GB2312" w:cs="Times New Roman"/>
        </w:rPr>
        <w:t>一般公共预算财政拨款基本支出决算总计220.78万元，其中人员经费205.24万元，日常公用经费15.54万。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rPr>
      </w:pPr>
      <w:r>
        <w:rPr>
          <w:rFonts w:hint="default" w:ascii="Times New Roman" w:hAnsi="Times New Roman" w:eastAsia="仿宋_GB2312" w:cs="Times New Roman"/>
        </w:rPr>
        <w:t>4.政府性基金财政拨款收支情况说明。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rPr>
      </w:pPr>
      <w:r>
        <w:rPr>
          <w:rFonts w:hint="default" w:ascii="Times New Roman" w:hAnsi="Times New Roman" w:eastAsia="仿宋_GB2312" w:cs="Times New Roman"/>
        </w:rPr>
        <w:t>本部门无政府性基金决算收支，并已公开空表。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rPr>
      </w:pPr>
      <w:r>
        <w:rPr>
          <w:rFonts w:hint="default" w:ascii="Times New Roman" w:hAnsi="Times New Roman" w:eastAsia="仿宋_GB2312" w:cs="Times New Roman"/>
        </w:rPr>
        <w:t>5.国有资本经营财政拨款收支情况说明。</w:t>
      </w:r>
    </w:p>
    <w:p>
      <w:pPr>
        <w:keepNext w:val="0"/>
        <w:keepLines w:val="0"/>
        <w:pageBreakBefore w:val="0"/>
        <w:kinsoku/>
        <w:wordWrap/>
        <w:overflowPunct/>
        <w:topLinePunct w:val="0"/>
        <w:autoSpaceDE/>
        <w:autoSpaceDN/>
        <w:bidi w:val="0"/>
        <w:adjustRightInd/>
        <w:spacing w:line="560" w:lineRule="exact"/>
        <w:ind w:firstLine="64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本部门无国有资本经营决算拨款收支。</w:t>
      </w:r>
    </w:p>
    <w:p>
      <w:pPr>
        <w:keepNext w:val="0"/>
        <w:keepLines w:val="0"/>
        <w:pageBreakBefore w:val="0"/>
        <w:kinsoku/>
        <w:wordWrap/>
        <w:overflowPunct/>
        <w:topLinePunct w:val="0"/>
        <w:autoSpaceDE/>
        <w:autoSpaceDN/>
        <w:bidi w:val="0"/>
        <w:adjustRightInd/>
        <w:spacing w:line="560" w:lineRule="exact"/>
        <w:ind w:firstLine="640"/>
        <w:textAlignment w:val="auto"/>
        <w:rPr>
          <w:rFonts w:hint="default" w:ascii="Times New Roman" w:hAnsi="Times New Roman" w:eastAsia="楷体" w:cs="Times New Roman"/>
          <w:szCs w:val="32"/>
        </w:rPr>
      </w:pPr>
      <w:r>
        <w:rPr>
          <w:rFonts w:hint="default" w:ascii="Times New Roman" w:hAnsi="Times New Roman" w:eastAsia="楷体" w:cs="Times New Roman"/>
          <w:szCs w:val="32"/>
        </w:rPr>
        <w:t>（三）2018年度“三公”经费、培训费及会议费支出情况说明</w:t>
      </w:r>
    </w:p>
    <w:p>
      <w:pPr>
        <w:keepNext w:val="0"/>
        <w:keepLines w:val="0"/>
        <w:pageBreakBefore w:val="0"/>
        <w:kinsoku/>
        <w:wordWrap/>
        <w:overflowPunct/>
        <w:topLinePunct w:val="0"/>
        <w:autoSpaceDE/>
        <w:autoSpaceDN/>
        <w:bidi w:val="0"/>
        <w:adjustRightInd/>
        <w:spacing w:line="560" w:lineRule="exact"/>
        <w:ind w:firstLine="720" w:firstLineChars="225"/>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1.“三公”经费财政拨款支出总体情况说明。</w:t>
      </w:r>
    </w:p>
    <w:p>
      <w:pPr>
        <w:keepNext w:val="0"/>
        <w:keepLines w:val="0"/>
        <w:pageBreakBefore w:val="0"/>
        <w:kinsoku/>
        <w:wordWrap/>
        <w:overflowPunct/>
        <w:topLinePunct w:val="0"/>
        <w:autoSpaceDE/>
        <w:autoSpaceDN/>
        <w:bidi w:val="0"/>
        <w:adjustRightInd/>
        <w:spacing w:line="560" w:lineRule="exact"/>
        <w:ind w:firstLine="720" w:firstLineChars="225"/>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2018年度一般公共预算财政拨款安排的“三公”经费支出中，因公出国(境)费支出0万元，占“三公”经费的0%； 公务接待费支出0元，占“三公”经费的0%；公务用车购置及运行费支出12.96万元，占“三公”经费的100%。2018年度“三公经费”较上年度减少5.91万元，降低31.31%，主要是事业单位公务车辆改革减少和严格控制各项车辆运行费用所致。</w:t>
      </w:r>
    </w:p>
    <w:p>
      <w:pPr>
        <w:keepNext w:val="0"/>
        <w:keepLines w:val="0"/>
        <w:pageBreakBefore w:val="0"/>
        <w:numPr>
          <w:ilvl w:val="0"/>
          <w:numId w:val="2"/>
        </w:numPr>
        <w:kinsoku/>
        <w:wordWrap/>
        <w:overflowPunct/>
        <w:topLinePunct w:val="0"/>
        <w:autoSpaceDE/>
        <w:autoSpaceDN/>
        <w:bidi w:val="0"/>
        <w:adjustRightInd/>
        <w:spacing w:line="560" w:lineRule="exact"/>
        <w:ind w:firstLine="720" w:firstLineChars="225"/>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因公出国（境）支出情况。</w:t>
      </w:r>
    </w:p>
    <w:p>
      <w:pPr>
        <w:keepNext w:val="0"/>
        <w:keepLines w:val="0"/>
        <w:pageBreakBefore w:val="0"/>
        <w:kinsoku/>
        <w:wordWrap/>
        <w:overflowPunct/>
        <w:topLinePunct w:val="0"/>
        <w:autoSpaceDE/>
        <w:autoSpaceDN/>
        <w:bidi w:val="0"/>
        <w:adjustRightInd/>
        <w:spacing w:line="560" w:lineRule="exact"/>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 xml:space="preserve">     2018年因公出国（境）团组0个，0人次，支出0万元。</w:t>
      </w:r>
    </w:p>
    <w:p>
      <w:pPr>
        <w:keepNext w:val="0"/>
        <w:keepLines w:val="0"/>
        <w:pageBreakBefore w:val="0"/>
        <w:numPr>
          <w:ilvl w:val="0"/>
          <w:numId w:val="2"/>
        </w:numPr>
        <w:kinsoku/>
        <w:wordWrap/>
        <w:overflowPunct/>
        <w:topLinePunct w:val="0"/>
        <w:autoSpaceDE/>
        <w:autoSpaceDN/>
        <w:bidi w:val="0"/>
        <w:adjustRightInd/>
        <w:spacing w:line="560" w:lineRule="exact"/>
        <w:ind w:firstLine="720" w:firstLineChars="225"/>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公务用车购置及运行维护费用支出情况。</w:t>
      </w:r>
    </w:p>
    <w:p>
      <w:pPr>
        <w:keepNext w:val="0"/>
        <w:keepLines w:val="0"/>
        <w:pageBreakBefore w:val="0"/>
        <w:kinsoku/>
        <w:wordWrap/>
        <w:overflowPunct/>
        <w:topLinePunct w:val="0"/>
        <w:autoSpaceDE/>
        <w:autoSpaceDN/>
        <w:bidi w:val="0"/>
        <w:adjustRightInd/>
        <w:spacing w:line="560" w:lineRule="exact"/>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 xml:space="preserve">    2018年购置车辆0台，支出0万元，公务用车运行维护费支出12.96万元,比上年减少5.91万元，主要是事业单位公务车辆改革减少和严格控制各项车辆运行费用所致。</w:t>
      </w:r>
    </w:p>
    <w:p>
      <w:pPr>
        <w:keepNext w:val="0"/>
        <w:keepLines w:val="0"/>
        <w:pageBreakBefore w:val="0"/>
        <w:numPr>
          <w:ilvl w:val="0"/>
          <w:numId w:val="2"/>
        </w:numPr>
        <w:kinsoku/>
        <w:wordWrap/>
        <w:overflowPunct/>
        <w:topLinePunct w:val="0"/>
        <w:autoSpaceDE/>
        <w:autoSpaceDN/>
        <w:bidi w:val="0"/>
        <w:adjustRightInd/>
        <w:spacing w:line="560" w:lineRule="exact"/>
        <w:ind w:firstLine="720" w:firstLineChars="225"/>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公务接待费支出情况。</w:t>
      </w:r>
    </w:p>
    <w:p>
      <w:pPr>
        <w:keepNext w:val="0"/>
        <w:keepLines w:val="0"/>
        <w:pageBreakBefore w:val="0"/>
        <w:kinsoku/>
        <w:wordWrap/>
        <w:overflowPunct/>
        <w:topLinePunct w:val="0"/>
        <w:autoSpaceDE/>
        <w:autoSpaceDN/>
        <w:bidi w:val="0"/>
        <w:adjustRightInd/>
        <w:spacing w:line="560" w:lineRule="exact"/>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 xml:space="preserve">     2018年公务接待0批次，0人次，支出0万元。</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2.培训费支出情况。</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培训费支出0万元。</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3.会议费支出情况。</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会议费支出0万元。</w:t>
      </w:r>
    </w:p>
    <w:p>
      <w:pPr>
        <w:keepNext w:val="0"/>
        <w:keepLines w:val="0"/>
        <w:pageBreakBefore w:val="0"/>
        <w:kinsoku/>
        <w:wordWrap/>
        <w:overflowPunct/>
        <w:topLinePunct w:val="0"/>
        <w:autoSpaceDE/>
        <w:autoSpaceDN/>
        <w:bidi w:val="0"/>
        <w:adjustRightInd/>
        <w:spacing w:line="560" w:lineRule="exact"/>
        <w:ind w:firstLine="640"/>
        <w:textAlignment w:val="auto"/>
        <w:rPr>
          <w:rFonts w:hint="default" w:ascii="Times New Roman" w:hAnsi="Times New Roman" w:eastAsia="黑体" w:cs="Times New Roman"/>
          <w:b/>
          <w:bCs/>
          <w:szCs w:val="32"/>
        </w:rPr>
      </w:pPr>
      <w:r>
        <w:rPr>
          <w:rFonts w:hint="default" w:ascii="Times New Roman" w:hAnsi="Times New Roman" w:eastAsia="黑体" w:cs="Times New Roman"/>
          <w:b/>
          <w:bCs/>
          <w:szCs w:val="32"/>
        </w:rPr>
        <w:t>六、2018年度部门绩效管理情况说明</w:t>
      </w:r>
    </w:p>
    <w:p>
      <w:pPr>
        <w:keepNext w:val="0"/>
        <w:keepLines w:val="0"/>
        <w:pageBreakBefore w:val="0"/>
        <w:widowControl/>
        <w:kinsoku/>
        <w:wordWrap/>
        <w:overflowPunct/>
        <w:topLinePunct w:val="0"/>
        <w:autoSpaceDE/>
        <w:autoSpaceDN/>
        <w:bidi w:val="0"/>
        <w:adjustRightInd/>
        <w:spacing w:line="560" w:lineRule="exact"/>
        <w:ind w:left="640" w:leftChars="200" w:firstLine="0" w:firstLineChars="0"/>
        <w:jc w:val="left"/>
        <w:textAlignment w:val="auto"/>
        <w:rPr>
          <w:rFonts w:hint="default" w:ascii="Times New Roman" w:hAnsi="Times New Roman" w:eastAsia="仿宋_GB2312" w:cs="Times New Roman"/>
          <w:b/>
          <w:bCs/>
          <w:szCs w:val="32"/>
        </w:rPr>
      </w:pPr>
      <w:r>
        <w:rPr>
          <w:rFonts w:hint="default" w:ascii="Times New Roman" w:hAnsi="Times New Roman" w:eastAsia="仿宋_GB2312" w:cs="Times New Roman"/>
          <w:szCs w:val="32"/>
        </w:rPr>
        <w:t>本部门2018年预算批复时，不涉及绩效自评的项目。</w:t>
      </w:r>
      <w:bookmarkStart w:id="0" w:name="_MON_1630234820"/>
      <w:bookmarkEnd w:id="0"/>
      <w:r>
        <w:rPr>
          <w:rFonts w:hint="default" w:ascii="Times New Roman" w:hAnsi="Times New Roman" w:eastAsia="黑体" w:cs="Times New Roman"/>
          <w:szCs w:val="32"/>
        </w:rPr>
        <w:t>七、</w:t>
      </w:r>
      <w:r>
        <w:rPr>
          <w:rFonts w:hint="default" w:ascii="Times New Roman" w:hAnsi="Times New Roman" w:eastAsia="黑体" w:cs="Times New Roman"/>
          <w:b/>
          <w:bCs/>
          <w:szCs w:val="32"/>
        </w:rPr>
        <w:t>其他重要事项的情况说明</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楷体" w:cs="Times New Roman"/>
          <w:szCs w:val="32"/>
        </w:rPr>
      </w:pPr>
      <w:r>
        <w:rPr>
          <w:rFonts w:hint="default" w:ascii="Times New Roman" w:hAnsi="Times New Roman" w:eastAsia="楷体" w:cs="Times New Roman"/>
          <w:szCs w:val="32"/>
        </w:rPr>
        <w:t>（一）机关运行经费支出情况</w:t>
      </w:r>
    </w:p>
    <w:p>
      <w:pPr>
        <w:keepNext w:val="0"/>
        <w:keepLines w:val="0"/>
        <w:pageBreakBefore w:val="0"/>
        <w:kinsoku/>
        <w:wordWrap/>
        <w:overflowPunct/>
        <w:topLinePunct w:val="0"/>
        <w:autoSpaceDE/>
        <w:autoSpaceDN/>
        <w:bidi w:val="0"/>
        <w:adjustRightInd/>
        <w:snapToGrid w:val="0"/>
        <w:spacing w:line="560" w:lineRule="exact"/>
        <w:ind w:firstLine="645"/>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本单位为事业单位，无机关运行经费。</w:t>
      </w:r>
    </w:p>
    <w:p>
      <w:pPr>
        <w:keepNext w:val="0"/>
        <w:keepLines w:val="0"/>
        <w:pageBreakBefore w:val="0"/>
        <w:kinsoku/>
        <w:wordWrap/>
        <w:overflowPunct/>
        <w:topLinePunct w:val="0"/>
        <w:autoSpaceDE/>
        <w:autoSpaceDN/>
        <w:bidi w:val="0"/>
        <w:adjustRightInd/>
        <w:spacing w:line="560" w:lineRule="exact"/>
        <w:ind w:firstLine="640"/>
        <w:textAlignment w:val="auto"/>
        <w:rPr>
          <w:rFonts w:hint="default" w:ascii="Times New Roman" w:hAnsi="Times New Roman" w:eastAsia="仿宋_GB2312" w:cs="Times New Roman"/>
          <w:szCs w:val="32"/>
        </w:rPr>
      </w:pPr>
      <w:r>
        <w:rPr>
          <w:rFonts w:hint="default" w:ascii="Times New Roman" w:hAnsi="Times New Roman" w:eastAsia="楷体" w:cs="Times New Roman"/>
          <w:szCs w:val="32"/>
        </w:rPr>
        <w:t>（二）政府采购支出情况</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本部门2018年无政府采购支出。</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楷体" w:cs="Times New Roman"/>
          <w:szCs w:val="32"/>
        </w:rPr>
      </w:pPr>
      <w:r>
        <w:rPr>
          <w:rFonts w:hint="default" w:ascii="Times New Roman" w:hAnsi="Times New Roman" w:eastAsia="楷体" w:cs="Times New Roman"/>
          <w:szCs w:val="32"/>
        </w:rPr>
        <w:t>（三）国有资产占用及购置情况说明</w:t>
      </w:r>
    </w:p>
    <w:p>
      <w:pPr>
        <w:keepNext w:val="0"/>
        <w:keepLines w:val="0"/>
        <w:pageBreakBefore w:val="0"/>
        <w:kinsoku/>
        <w:wordWrap/>
        <w:overflowPunct/>
        <w:topLinePunct w:val="0"/>
        <w:autoSpaceDE/>
        <w:autoSpaceDN/>
        <w:bidi w:val="0"/>
        <w:adjustRightInd/>
        <w:spacing w:line="560" w:lineRule="exact"/>
        <w:ind w:firstLine="64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截至2018年末，本部门所属单位共有车辆4辆；单价50万元以上的通用设备0台（套）；单价100万元以上的通用设备0台（套）。2018年当年购置车辆0辆；购置单价50万元以上的设备0台（套）；购置单价100万元以上的通用设备0台（套）。</w:t>
      </w:r>
    </w:p>
    <w:p>
      <w:pPr>
        <w:keepNext w:val="0"/>
        <w:keepLines w:val="0"/>
        <w:pageBreakBefore w:val="0"/>
        <w:kinsoku/>
        <w:wordWrap/>
        <w:overflowPunct/>
        <w:topLinePunct w:val="0"/>
        <w:autoSpaceDE/>
        <w:autoSpaceDN/>
        <w:bidi w:val="0"/>
        <w:adjustRightInd/>
        <w:spacing w:line="560" w:lineRule="exact"/>
        <w:ind w:firstLine="643" w:firstLineChars="200"/>
        <w:textAlignment w:val="auto"/>
        <w:rPr>
          <w:rFonts w:hint="default" w:ascii="Times New Roman" w:hAnsi="Times New Roman" w:eastAsia="黑体" w:cs="Times New Roman"/>
          <w:b/>
          <w:bCs/>
          <w:szCs w:val="32"/>
        </w:rPr>
      </w:pPr>
      <w:r>
        <w:rPr>
          <w:rFonts w:hint="default" w:ascii="Times New Roman" w:hAnsi="Times New Roman" w:eastAsia="黑体" w:cs="Times New Roman"/>
          <w:b/>
          <w:bCs/>
          <w:szCs w:val="32"/>
        </w:rPr>
        <w:t>八、专业名词解释</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1.基本支出：指为保障机构正常运转、完成日常工作任务而发生的各项支出。</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2.项目支出：指单位为完成特定的行政工作任务或事业发展目标所发生的各项支出。</w:t>
      </w:r>
    </w:p>
    <w:p>
      <w:pPr>
        <w:keepNext w:val="0"/>
        <w:keepLines w:val="0"/>
        <w:pageBreakBefore w:val="0"/>
        <w:kinsoku/>
        <w:wordWrap/>
        <w:overflowPunct/>
        <w:topLinePunct w:val="0"/>
        <w:autoSpaceDE/>
        <w:autoSpaceDN/>
        <w:bidi w:val="0"/>
        <w:adjustRightInd/>
        <w:spacing w:line="560" w:lineRule="exact"/>
        <w:ind w:firstLine="64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3.“三公”经费：指部门使用一般公共预算财政拨款安排的因公出国（境）费、公务用车购置及运行费和公务接待费支出。</w:t>
      </w:r>
    </w:p>
    <w:p>
      <w:pPr>
        <w:keepNext w:val="0"/>
        <w:keepLines w:val="0"/>
        <w:pageBreakBefore w:val="0"/>
        <w:kinsoku/>
        <w:wordWrap/>
        <w:overflowPunct/>
        <w:topLinePunct w:val="0"/>
        <w:autoSpaceDE/>
        <w:autoSpaceDN/>
        <w:bidi w:val="0"/>
        <w:adjustRightInd/>
        <w:spacing w:line="560" w:lineRule="exact"/>
        <w:ind w:firstLine="640"/>
        <w:textAlignment w:val="auto"/>
        <w:rPr>
          <w:rFonts w:hint="default" w:ascii="Times New Roman" w:hAnsi="Times New Roman" w:eastAsia="仿宋_GB2312" w:cs="Times New Roman"/>
          <w:szCs w:val="32"/>
        </w:rPr>
      </w:pPr>
      <w:r>
        <w:rPr>
          <w:rFonts w:hint="default" w:ascii="Times New Roman" w:hAnsi="Times New Roman" w:eastAsia="仿宋_GB2312" w:cs="Times New Roman"/>
          <w:szCs w:val="32"/>
        </w:rPr>
        <w:t>4.财政拨款收入：指本级财政当年拨付的资金。</w:t>
      </w:r>
    </w:p>
    <w:p>
      <w:pPr>
        <w:keepNext w:val="0"/>
        <w:keepLines w:val="0"/>
        <w:pageBreakBefore w:val="0"/>
        <w:kinsoku/>
        <w:wordWrap/>
        <w:overflowPunct/>
        <w:topLinePunct w:val="0"/>
        <w:autoSpaceDE/>
        <w:autoSpaceDN/>
        <w:bidi w:val="0"/>
        <w:adjustRightInd/>
        <w:spacing w:line="560" w:lineRule="exact"/>
        <w:textAlignment w:val="auto"/>
        <w:rPr>
          <w:rFonts w:hint="default" w:ascii="Times New Roman" w:hAnsi="Times New Roman" w:cs="Times New Roman"/>
        </w:rPr>
      </w:pPr>
    </w:p>
    <w:p>
      <w:pPr>
        <w:keepNext w:val="0"/>
        <w:keepLines w:val="0"/>
        <w:pageBreakBefore w:val="0"/>
        <w:kinsoku/>
        <w:wordWrap/>
        <w:overflowPunct/>
        <w:topLinePunct w:val="0"/>
        <w:autoSpaceDE/>
        <w:autoSpaceDN/>
        <w:bidi w:val="0"/>
        <w:adjustRightInd/>
        <w:spacing w:line="560" w:lineRule="exact"/>
        <w:textAlignment w:val="auto"/>
        <w:rPr>
          <w:rFonts w:hint="default" w:ascii="Times New Roman" w:hAnsi="Times New Roman" w:cs="Times New Roman"/>
        </w:rPr>
      </w:pP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right="0" w:rightChars="0" w:firstLine="3200" w:firstLineChars="10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空港新城</w:t>
      </w:r>
      <w:r>
        <w:rPr>
          <w:rFonts w:hint="eastAsia" w:ascii="Times New Roman" w:hAnsi="Times New Roman" w:eastAsia="仿宋_GB2312" w:cs="Times New Roman"/>
          <w:sz w:val="32"/>
          <w:szCs w:val="32"/>
          <w:lang w:val="en-US" w:eastAsia="zh-CN"/>
        </w:rPr>
        <w:t>城市管理与交通运输局</w:t>
      </w:r>
    </w:p>
    <w:p>
      <w:pPr>
        <w:keepNext w:val="0"/>
        <w:keepLines w:val="0"/>
        <w:pageBreakBefore w:val="0"/>
        <w:kinsoku/>
        <w:wordWrap/>
        <w:overflowPunct/>
        <w:topLinePunct w:val="0"/>
        <w:autoSpaceDE/>
        <w:autoSpaceDN/>
        <w:bidi w:val="0"/>
        <w:adjustRightInd/>
        <w:spacing w:line="560" w:lineRule="exact"/>
        <w:textAlignment w:val="auto"/>
        <w:rPr>
          <w:rFonts w:hint="default" w:ascii="Times New Roman" w:hAnsi="Times New Roman" w:cs="Times New Roman"/>
        </w:rPr>
      </w:pPr>
      <w:r>
        <w:rPr>
          <w:rFonts w:hint="default" w:ascii="Times New Roman" w:hAnsi="Times New Roman" w:eastAsia="仿宋_GB2312" w:cs="Times New Roman"/>
          <w:sz w:val="32"/>
          <w:szCs w:val="32"/>
          <w:lang w:val="en-US" w:eastAsia="zh-CN"/>
        </w:rPr>
        <w:t xml:space="preserve">                          2019年9</w:t>
      </w:r>
      <w:bookmarkStart w:id="1" w:name="_GoBack"/>
      <w:bookmarkEnd w:id="1"/>
      <w:r>
        <w:rPr>
          <w:rFonts w:hint="default" w:ascii="Times New Roman" w:hAnsi="Times New Roman" w:eastAsia="仿宋_GB2312" w:cs="Times New Roman"/>
          <w:sz w:val="32"/>
          <w:szCs w:val="32"/>
          <w:lang w:val="en-US" w:eastAsia="zh-CN"/>
        </w:rPr>
        <w:t>月</w:t>
      </w:r>
      <w:r>
        <w:rPr>
          <w:rFonts w:hint="eastAsia" w:ascii="Times New Roman" w:hAnsi="Times New Roman" w:eastAsia="仿宋_GB2312" w:cs="Times New Roman"/>
          <w:sz w:val="32"/>
          <w:szCs w:val="32"/>
          <w:lang w:val="en-US" w:eastAsia="zh-CN"/>
        </w:rPr>
        <w:t>20</w:t>
      </w:r>
      <w:r>
        <w:rPr>
          <w:rFonts w:hint="default" w:ascii="Times New Roman" w:hAnsi="Times New Roman" w:eastAsia="仿宋_GB2312" w:cs="Times New Roman"/>
          <w:sz w:val="32"/>
          <w:szCs w:val="32"/>
          <w:lang w:val="en-US" w:eastAsia="zh-CN"/>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10002FF" w:usb1="4000ACFF" w:usb2="00000009"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F8B19D"/>
    <w:multiLevelType w:val="singleLevel"/>
    <w:tmpl w:val="11F8B19D"/>
    <w:lvl w:ilvl="0" w:tentative="0">
      <w:start w:val="1"/>
      <w:numFmt w:val="decimal"/>
      <w:lvlText w:val="(%1)"/>
      <w:lvlJc w:val="left"/>
      <w:pPr>
        <w:tabs>
          <w:tab w:val="left" w:pos="312"/>
        </w:tabs>
      </w:pPr>
    </w:lvl>
  </w:abstractNum>
  <w:abstractNum w:abstractNumId="1">
    <w:nsid w:val="125ECEBA"/>
    <w:multiLevelType w:val="singleLevel"/>
    <w:tmpl w:val="125ECEBA"/>
    <w:lvl w:ilvl="0" w:tentative="0">
      <w:start w:val="5"/>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A60E29"/>
    <w:rsid w:val="03743358"/>
    <w:rsid w:val="2DF3170C"/>
    <w:rsid w:val="2FDD4FE7"/>
    <w:rsid w:val="3F380A1B"/>
    <w:rsid w:val="476D0BEF"/>
    <w:rsid w:val="4CD94E64"/>
    <w:rsid w:val="4DEE23CC"/>
    <w:rsid w:val="5D5D48DA"/>
    <w:rsid w:val="6DA60E29"/>
    <w:rsid w:val="78E611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32"/>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chart" Target="charts/chart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24037;&#20316;&#31807;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单位人员构成图</a:t>
            </a:r>
          </a:p>
        </c:rich>
      </c:tx>
      <c:layout/>
      <c:overlay val="0"/>
      <c:spPr>
        <a:noFill/>
        <a:ln>
          <a:noFill/>
        </a:ln>
        <a:effectLst/>
      </c:spPr>
    </c:title>
    <c:autoTitleDeleted val="0"/>
    <c:plotArea>
      <c:layout/>
      <c:barChart>
        <c:barDir val="col"/>
        <c:grouping val="stacked"/>
        <c:varyColors val="0"/>
        <c:ser>
          <c:idx val="0"/>
          <c:order val="0"/>
          <c:spPr>
            <a:solidFill>
              <a:schemeClr val="accent1"/>
            </a:solidFill>
            <a:ln>
              <a:noFill/>
            </a:ln>
            <a:effectLst/>
          </c:spPr>
          <c:invertIfNegative val="0"/>
          <c:dPt>
            <c:idx val="1"/>
            <c:invertIfNegative val="0"/>
            <c:bubble3D val="0"/>
            <c:spPr>
              <a:solidFill>
                <a:schemeClr val="accent2"/>
              </a:solidFill>
              <a:ln>
                <a:noFill/>
              </a:ln>
              <a:effectLst/>
            </c:spPr>
          </c:dPt>
          <c:dLbls>
            <c:numFmt formatCode="General" sourceLinked="0"/>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1"/>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[工作簿1]Sheet1!$E$8:$E$9</c:f>
              <c:strCache>
                <c:ptCount val="2"/>
                <c:pt idx="0">
                  <c:v>实有人员</c:v>
                </c:pt>
                <c:pt idx="1">
                  <c:v>事业编制</c:v>
                </c:pt>
              </c:strCache>
            </c:strRef>
          </c:cat>
          <c:val>
            <c:numRef>
              <c:f>[工作簿1]Sheet1!$F$8:$F$9</c:f>
              <c:numCache>
                <c:formatCode>General</c:formatCode>
                <c:ptCount val="2"/>
                <c:pt idx="0">
                  <c:v>19</c:v>
                </c:pt>
                <c:pt idx="1">
                  <c:v>19</c:v>
                </c:pt>
              </c:numCache>
            </c:numRef>
          </c:val>
        </c:ser>
        <c:dLbls>
          <c:showLegendKey val="1"/>
          <c:showVal val="1"/>
          <c:showCatName val="0"/>
          <c:showSerName val="0"/>
          <c:showPercent val="0"/>
          <c:showBubbleSize val="0"/>
        </c:dLbls>
        <c:gapWidth val="350"/>
        <c:overlap val="100"/>
        <c:axId val="125780934"/>
        <c:axId val="795026921"/>
      </c:barChart>
      <c:catAx>
        <c:axId val="125780934"/>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95026921"/>
        <c:crosses val="autoZero"/>
        <c:auto val="1"/>
        <c:lblAlgn val="ctr"/>
        <c:lblOffset val="100"/>
        <c:noMultiLvlLbl val="0"/>
      </c:catAx>
      <c:valAx>
        <c:axId val="795026921"/>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25780934"/>
        <c:crosses val="autoZero"/>
        <c:crossBetween val="between"/>
        <c:majorUnit val="4"/>
      </c:valAx>
      <c:spPr>
        <a:noFill/>
        <a:ln>
          <a:noFill/>
        </a:ln>
        <a:effectLst/>
      </c:spPr>
    </c:plotArea>
    <c:plotVisOnly val="1"/>
    <c:dispBlanksAs val="gap"/>
    <c:showDLblsOverMax val="0"/>
  </c:chart>
  <c:spPr>
    <a:no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2019-11-18T09:19:00Z</dcterms:created>
  <dc:creator>Bluer</dc:creator>
  <cp:lastModifiedBy>Bluer</cp:lastModifiedBy>
  <dcterms:modified xsi:type="dcterms:W3CDTF">2019-11-21T02:20:51Z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