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jc w:val="left"/>
        <w:textAlignment w:val="auto"/>
        <w:rPr>
          <w:rFonts w:hint="default" w:ascii="Times New Roman" w:hAnsi="Times New Roman" w:eastAsia="仿宋_GB2312" w:cs="Times New Roman"/>
          <w:sz w:val="28"/>
          <w:szCs w:val="28"/>
        </w:rPr>
      </w:pPr>
    </w:p>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cs="Times New Roman"/>
          <w:b/>
          <w:bCs/>
          <w:sz w:val="44"/>
          <w:szCs w:val="44"/>
          <w:lang w:val="en-US" w:eastAsia="zh-CN"/>
        </w:rPr>
      </w:pPr>
      <w:r>
        <w:rPr>
          <w:rFonts w:hint="default" w:ascii="Times New Roman" w:hAnsi="Times New Roman" w:cs="Times New Roman"/>
          <w:b/>
          <w:bCs/>
          <w:sz w:val="44"/>
          <w:szCs w:val="44"/>
          <w:lang w:val="en-US" w:eastAsia="zh-CN"/>
        </w:rPr>
        <w:t>空港新城规划建设</w:t>
      </w:r>
      <w:r>
        <w:rPr>
          <w:rFonts w:hint="eastAsia" w:ascii="Times New Roman" w:hAnsi="Times New Roman" w:cs="Times New Roman"/>
          <w:b/>
          <w:bCs/>
          <w:sz w:val="44"/>
          <w:szCs w:val="44"/>
          <w:lang w:val="en-US" w:eastAsia="zh-CN"/>
        </w:rPr>
        <w:t>文物局</w:t>
      </w:r>
    </w:p>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cs="Times New Roman"/>
          <w:b/>
          <w:bCs/>
          <w:sz w:val="44"/>
          <w:szCs w:val="44"/>
        </w:rPr>
      </w:pPr>
      <w:r>
        <w:rPr>
          <w:rFonts w:hint="default" w:ascii="Times New Roman" w:hAnsi="Times New Roman" w:cs="Times New Roman"/>
          <w:b/>
          <w:bCs/>
          <w:sz w:val="44"/>
          <w:szCs w:val="44"/>
        </w:rPr>
        <w:t>2018年部门决算说明</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一、部门主要职责及机构设置</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贯彻落实国家、省市关于文物保护工作的法律、法规和规章制度；</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负责空港新城范围内文物古迹、文化遗址的推荐、公布和文物保护单位的申报工作；</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负责辖区内文物征集、追剿、征购、管理、文物收藏保护和管理工作；</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监管与服务辖区内违法施工项目，组织实施无级别文物鉴定评审工作；</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宣传教育辖区内群众保护文物相关法律、法规等知识。</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二、2018年度部门工作完成情况</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lang w:eastAsia="zh-CN"/>
        </w:rPr>
      </w:pPr>
      <w:r>
        <w:rPr>
          <w:rFonts w:hint="default" w:ascii="Times New Roman" w:hAnsi="Times New Roman" w:eastAsia="仿宋_GB2312" w:cs="Times New Roman"/>
          <w:szCs w:val="32"/>
        </w:rPr>
        <w:t xml:space="preserve">编制《空港新城第一批不可移动文物保护区划划定》。2017年为了摸清文物家底，结合“三普”结果，历时一个多月对新城辖区文物点进行拍照、登记、记录等。邀请陕西省文化遗产研究院、陕西省考古研究院编制《空港新城第一批不可移动文物保护区划划定》，保护区划中对辖区内16处无级别文物划定了保护区划和管理规定 </w:t>
      </w:r>
      <w:r>
        <w:rPr>
          <w:rFonts w:hint="default" w:ascii="Times New Roman" w:hAnsi="Times New Roman" w:eastAsia="仿宋_GB2312" w:cs="Times New Roman"/>
          <w:szCs w:val="32"/>
          <w:lang w:eastAsia="zh-CN"/>
        </w:rPr>
        <w:t>。</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结合西安市“四改两拆”违法建设清查、“文物法人违法”案件和对不可移动文物周边环境整治工作文件要求，对空港新城辖区进行地毯式排查</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lang w:val="en-US" w:eastAsia="zh-CN"/>
        </w:rPr>
        <w:t>违建全部</w:t>
      </w:r>
      <w:r>
        <w:rPr>
          <w:rFonts w:hint="default" w:ascii="Times New Roman" w:hAnsi="Times New Roman" w:eastAsia="仿宋_GB2312" w:cs="Times New Roman"/>
          <w:bCs/>
          <w:szCs w:val="32"/>
        </w:rPr>
        <w:t>拆除</w:t>
      </w:r>
      <w:r>
        <w:rPr>
          <w:rFonts w:hint="default" w:ascii="Times New Roman" w:hAnsi="Times New Roman" w:eastAsia="仿宋_GB2312" w:cs="Times New Roman"/>
          <w:bCs/>
          <w:szCs w:val="32"/>
          <w:lang w:eastAsia="zh-CN"/>
        </w:rPr>
        <w:t>。</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b w:val="0"/>
          <w:sz w:val="32"/>
          <w:szCs w:val="32"/>
        </w:rPr>
        <w:t>完成省保以上文物保护单位栽桩亮界工作。</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始终将文物安全放在文物工作的首位。</w:t>
      </w:r>
      <w:r>
        <w:rPr>
          <w:rFonts w:hint="default" w:ascii="Times New Roman" w:hAnsi="Times New Roman" w:eastAsia="仿宋_GB2312" w:cs="Times New Roman"/>
          <w:bCs/>
          <w:color w:val="333333"/>
          <w:szCs w:val="32"/>
        </w:rPr>
        <w:t>坚持24小时值班和领导带班制度，并对巡查线路、巡查时间做出明确规定，填写台账、拍摄视频存档，坚持人防、犬防、技防三位一体的防护体系。今年以来共发放停工通知书 8份。</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bCs/>
          <w:szCs w:val="32"/>
        </w:rPr>
        <w:t>在“国际博物馆日、文物法宣传日、世界文化遗产日”等重大活动日，大力宣传《中华人民共和国文物保护法》等法律法规，进一步提高全民参与文物保护的积极性</w:t>
      </w:r>
      <w:r>
        <w:rPr>
          <w:rFonts w:hint="default" w:ascii="Times New Roman" w:hAnsi="Times New Roman" w:eastAsia="仿宋_GB2312" w:cs="Times New Roman"/>
          <w:bCs/>
          <w:color w:val="333333"/>
          <w:szCs w:val="32"/>
        </w:rPr>
        <w:t>。</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bCs/>
          <w:color w:val="333333"/>
          <w:szCs w:val="32"/>
        </w:rPr>
        <w:t>始终将制度先行，规范引路作为日常工作的首要任务。更新完善新城各项文物安全管理制度，文物安全预案切实可行。</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北杜铁塔文物保护规划的编制工作和唐顺陵保护展示方案设计工作均已完成项目招投标工作，进入方案设计阶段。</w:t>
      </w:r>
      <w:r>
        <w:rPr>
          <w:rFonts w:hint="default" w:ascii="Times New Roman" w:hAnsi="Times New Roman" w:eastAsia="仿宋_GB2312" w:cs="Times New Roman"/>
          <w:color w:val="000000"/>
          <w:szCs w:val="32"/>
        </w:rPr>
        <w:t>完成唐顺陵遗址公园、上官婉儿遗址公园导览标识工作，并安装导览标识牌5块。</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color w:val="000000"/>
          <w:szCs w:val="32"/>
        </w:rPr>
        <w:t>推动文物保护与项目建设协调推进。配合国土局完成51宗项目用地和储备用地的文物勘探工作，文勘面积达10300亩。</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已将顺陵保护区划调整的请示上报西咸文物局，待逐级上报至国家文物局审批后，调整实行</w:t>
      </w:r>
      <w:r>
        <w:rPr>
          <w:rFonts w:hint="default" w:ascii="Times New Roman" w:hAnsi="Times New Roman" w:eastAsia="仿宋_GB2312" w:cs="Times New Roman"/>
          <w:szCs w:val="32"/>
          <w:lang w:eastAsia="zh-CN"/>
        </w:rPr>
        <w:t>。</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推动唐顺陵文化遗址公园建设，经多轮协商对接，最终双方达成共识，共建空港新城考古研究基地。已于2018年11月8日同陕西省考古研究院签订《陕西省考古研究院、西咸新区空港新城管委会共建空港新城考古研究基地战略合作协议》。</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组织唐顺陵遗址公园方案设计，邀请国内外五家著名设计单位进行为期5个多月的组织、设计、评审及方案整合，最终形成一套具有国际一流水平的设计方案，该项目总投资600万元，为下一步唐顺陵遗址公园建设打下坚实基础。</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三、部门决算单位构成</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纳入本部门2018年部门决算编制范围的单位包括所属</w:t>
      </w:r>
      <w:r>
        <w:rPr>
          <w:rFonts w:hint="default" w:ascii="Times New Roman" w:hAnsi="Times New Roman" w:eastAsia="仿宋_GB2312" w:cs="Times New Roman"/>
          <w:szCs w:val="32"/>
          <w:lang w:val="en-US" w:eastAsia="zh-CN"/>
        </w:rPr>
        <w:t>2</w:t>
      </w:r>
      <w:r>
        <w:rPr>
          <w:rFonts w:hint="default" w:ascii="Times New Roman" w:hAnsi="Times New Roman" w:eastAsia="仿宋_GB2312" w:cs="Times New Roman"/>
          <w:szCs w:val="32"/>
        </w:rPr>
        <w:t>个下级单位：</w:t>
      </w:r>
    </w:p>
    <w:tbl>
      <w:tblPr>
        <w:tblStyle w:val="7"/>
        <w:tblpPr w:leftFromText="180" w:rightFromText="180" w:vertAnchor="text" w:horzAnchor="page" w:tblpX="1920" w:tblpY="230"/>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序号</w:t>
            </w:r>
          </w:p>
        </w:tc>
        <w:tc>
          <w:tcPr>
            <w:tcW w:w="6923" w:type="dxa"/>
            <w:shd w:val="clear" w:color="auto" w:fill="auto"/>
          </w:tcPr>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p>
        </w:tc>
        <w:tc>
          <w:tcPr>
            <w:tcW w:w="6923" w:type="dxa"/>
            <w:shd w:val="clear" w:color="auto" w:fill="auto"/>
          </w:tcPr>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顺陵文管所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eastAsia="仿宋_GB2312" w:cs="Times New Roman"/>
                <w:szCs w:val="32"/>
                <w:lang w:eastAsia="zh-CN"/>
              </w:rPr>
            </w:pPr>
            <w:r>
              <w:rPr>
                <w:rFonts w:hint="default" w:ascii="Times New Roman" w:hAnsi="Times New Roman" w:eastAsia="仿宋_GB2312" w:cs="Times New Roman"/>
                <w:szCs w:val="32"/>
                <w:lang w:val="en-US" w:eastAsia="zh-CN"/>
              </w:rPr>
              <w:t>2</w:t>
            </w:r>
          </w:p>
        </w:tc>
        <w:tc>
          <w:tcPr>
            <w:tcW w:w="6923" w:type="dxa"/>
            <w:shd w:val="clear" w:color="auto" w:fill="auto"/>
          </w:tcPr>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北杜文管所</w:t>
            </w:r>
          </w:p>
        </w:tc>
      </w:tr>
    </w:tbl>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eastAsia="黑体" w:cs="Times New Roman"/>
          <w:b/>
          <w:bCs/>
          <w:szCs w:val="32"/>
        </w:rPr>
      </w:pP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四、部门人员情况说明</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截止2018年底，</w:t>
      </w:r>
      <w:r>
        <w:rPr>
          <w:rFonts w:hint="default" w:ascii="Times New Roman" w:hAnsi="Times New Roman" w:eastAsia="仿宋_GB2312" w:cs="Times New Roman"/>
          <w:szCs w:val="32"/>
          <w:lang w:val="en-US" w:eastAsia="zh-CN"/>
        </w:rPr>
        <w:t>顺陵文管所</w:t>
      </w:r>
      <w:r>
        <w:rPr>
          <w:rFonts w:hint="default" w:ascii="Times New Roman" w:hAnsi="Times New Roman" w:eastAsia="仿宋_GB2312" w:cs="Times New Roman"/>
          <w:szCs w:val="32"/>
        </w:rPr>
        <w:t>人员编制</w:t>
      </w:r>
      <w:r>
        <w:rPr>
          <w:rFonts w:hint="default" w:ascii="Times New Roman" w:hAnsi="Times New Roman" w:eastAsia="仿宋_GB2312" w:cs="Times New Roman"/>
          <w:szCs w:val="32"/>
          <w:lang w:val="en-US" w:eastAsia="zh-CN"/>
        </w:rPr>
        <w:t>8人，</w:t>
      </w:r>
      <w:r>
        <w:rPr>
          <w:rFonts w:hint="default" w:ascii="Times New Roman" w:hAnsi="Times New Roman" w:eastAsia="仿宋_GB2312" w:cs="Times New Roman"/>
          <w:sz w:val="32"/>
          <w:szCs w:val="32"/>
        </w:rPr>
        <w:t>其中行政编制0人、</w:t>
      </w:r>
      <w:r>
        <w:rPr>
          <w:rFonts w:hint="default" w:ascii="Times New Roman" w:hAnsi="Times New Roman" w:eastAsia="仿宋_GB2312" w:cs="Times New Roman"/>
          <w:szCs w:val="32"/>
        </w:rPr>
        <w:t>事业编制</w:t>
      </w:r>
      <w:r>
        <w:rPr>
          <w:rFonts w:hint="default" w:ascii="Times New Roman" w:hAnsi="Times New Roman" w:eastAsia="仿宋_GB2312" w:cs="Times New Roman"/>
          <w:szCs w:val="32"/>
          <w:lang w:val="en-US" w:eastAsia="zh-CN"/>
        </w:rPr>
        <w:t>8</w:t>
      </w:r>
      <w:r>
        <w:rPr>
          <w:rFonts w:hint="default" w:ascii="Times New Roman" w:hAnsi="Times New Roman" w:eastAsia="仿宋_GB2312" w:cs="Times New Roman"/>
          <w:szCs w:val="32"/>
        </w:rPr>
        <w:t>人；</w:t>
      </w:r>
      <w:r>
        <w:rPr>
          <w:rFonts w:hint="default" w:ascii="Times New Roman" w:hAnsi="Times New Roman" w:eastAsia="仿宋_GB2312" w:cs="Times New Roman"/>
          <w:szCs w:val="32"/>
          <w:lang w:val="en-US" w:eastAsia="zh-CN"/>
        </w:rPr>
        <w:t>北杜文管所人员编制5人，</w:t>
      </w:r>
      <w:r>
        <w:rPr>
          <w:rFonts w:hint="default" w:ascii="Times New Roman" w:hAnsi="Times New Roman" w:eastAsia="仿宋_GB2312" w:cs="Times New Roman"/>
          <w:sz w:val="32"/>
          <w:szCs w:val="32"/>
        </w:rPr>
        <w:t>其中行政编制0人、</w:t>
      </w:r>
      <w:r>
        <w:rPr>
          <w:rFonts w:hint="default" w:ascii="Times New Roman" w:hAnsi="Times New Roman" w:eastAsia="仿宋_GB2312" w:cs="Times New Roman"/>
          <w:szCs w:val="32"/>
        </w:rPr>
        <w:t>事业编制</w:t>
      </w:r>
      <w:r>
        <w:rPr>
          <w:rFonts w:hint="default" w:ascii="Times New Roman" w:hAnsi="Times New Roman" w:eastAsia="仿宋_GB2312" w:cs="Times New Roman"/>
          <w:szCs w:val="32"/>
          <w:lang w:val="en-US" w:eastAsia="zh-CN"/>
        </w:rPr>
        <w:t>5</w:t>
      </w:r>
      <w:r>
        <w:rPr>
          <w:rFonts w:hint="default" w:ascii="Times New Roman" w:hAnsi="Times New Roman" w:eastAsia="仿宋_GB2312" w:cs="Times New Roman"/>
          <w:szCs w:val="32"/>
        </w:rPr>
        <w:t>人</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lang w:val="en-US" w:eastAsia="zh-CN"/>
        </w:rPr>
        <w:t>人员编制合计13</w:t>
      </w:r>
      <w:r>
        <w:rPr>
          <w:rFonts w:hint="default" w:ascii="Times New Roman" w:hAnsi="Times New Roman" w:eastAsia="仿宋_GB2312" w:cs="Times New Roman"/>
          <w:szCs w:val="32"/>
        </w:rPr>
        <w:t>人，</w:t>
      </w:r>
      <w:r>
        <w:rPr>
          <w:rFonts w:hint="default" w:ascii="Times New Roman" w:hAnsi="Times New Roman" w:eastAsia="仿宋_GB2312" w:cs="Times New Roman"/>
          <w:sz w:val="32"/>
          <w:szCs w:val="32"/>
        </w:rPr>
        <w:t>其中行政编制0人、</w:t>
      </w:r>
      <w:r>
        <w:rPr>
          <w:rFonts w:hint="default" w:ascii="Times New Roman" w:hAnsi="Times New Roman" w:eastAsia="仿宋_GB2312" w:cs="Times New Roman"/>
          <w:szCs w:val="32"/>
        </w:rPr>
        <w:t>事业编制</w:t>
      </w:r>
      <w:r>
        <w:rPr>
          <w:rFonts w:hint="default" w:ascii="Times New Roman" w:hAnsi="Times New Roman" w:eastAsia="仿宋_GB2312" w:cs="Times New Roman"/>
          <w:szCs w:val="32"/>
          <w:lang w:val="en-US" w:eastAsia="zh-CN"/>
        </w:rPr>
        <w:t>13</w:t>
      </w:r>
      <w:r>
        <w:rPr>
          <w:rFonts w:hint="default" w:ascii="Times New Roman" w:hAnsi="Times New Roman" w:eastAsia="仿宋_GB2312" w:cs="Times New Roman"/>
          <w:szCs w:val="32"/>
        </w:rPr>
        <w:t>人；</w:t>
      </w:r>
      <w:r>
        <w:rPr>
          <w:rFonts w:hint="default" w:ascii="Times New Roman" w:hAnsi="Times New Roman" w:eastAsia="仿宋_GB2312" w:cs="Times New Roman"/>
          <w:szCs w:val="32"/>
          <w:lang w:val="en-US" w:eastAsia="zh-CN"/>
        </w:rPr>
        <w:t>顺陵文管所</w:t>
      </w:r>
      <w:r>
        <w:rPr>
          <w:rFonts w:hint="default" w:ascii="Times New Roman" w:hAnsi="Times New Roman" w:eastAsia="仿宋_GB2312" w:cs="Times New Roman"/>
          <w:szCs w:val="32"/>
        </w:rPr>
        <w:t>实有人员</w:t>
      </w:r>
      <w:r>
        <w:rPr>
          <w:rFonts w:hint="default" w:ascii="Times New Roman" w:hAnsi="Times New Roman" w:eastAsia="仿宋_GB2312" w:cs="Times New Roman"/>
          <w:szCs w:val="32"/>
          <w:lang w:val="en-US" w:eastAsia="zh-CN"/>
        </w:rPr>
        <w:t>13</w:t>
      </w:r>
      <w:r>
        <w:rPr>
          <w:rFonts w:hint="default" w:ascii="Times New Roman" w:hAnsi="Times New Roman" w:eastAsia="仿宋_GB2312" w:cs="Times New Roman"/>
          <w:szCs w:val="32"/>
        </w:rPr>
        <w:t>人，其中行政</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人、事业</w:t>
      </w:r>
      <w:r>
        <w:rPr>
          <w:rFonts w:hint="default" w:ascii="Times New Roman" w:hAnsi="Times New Roman" w:eastAsia="仿宋_GB2312" w:cs="Times New Roman"/>
          <w:szCs w:val="32"/>
          <w:lang w:val="en-US" w:eastAsia="zh-CN"/>
        </w:rPr>
        <w:t>13</w:t>
      </w:r>
      <w:r>
        <w:rPr>
          <w:rFonts w:hint="default" w:ascii="Times New Roman" w:hAnsi="Times New Roman" w:eastAsia="仿宋_GB2312" w:cs="Times New Roman"/>
          <w:szCs w:val="32"/>
        </w:rPr>
        <w:t>人</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lang w:val="en-US" w:eastAsia="zh-CN"/>
        </w:rPr>
        <w:t>北杜文管所</w:t>
      </w:r>
      <w:r>
        <w:rPr>
          <w:rFonts w:hint="default" w:ascii="Times New Roman" w:hAnsi="Times New Roman" w:eastAsia="仿宋_GB2312" w:cs="Times New Roman"/>
          <w:szCs w:val="32"/>
        </w:rPr>
        <w:t>实有人员</w:t>
      </w:r>
      <w:r>
        <w:rPr>
          <w:rFonts w:hint="default" w:ascii="Times New Roman" w:hAnsi="Times New Roman" w:eastAsia="仿宋_GB2312" w:cs="Times New Roman"/>
          <w:szCs w:val="32"/>
          <w:lang w:val="en-US" w:eastAsia="zh-CN"/>
        </w:rPr>
        <w:t>9</w:t>
      </w:r>
      <w:r>
        <w:rPr>
          <w:rFonts w:hint="default" w:ascii="Times New Roman" w:hAnsi="Times New Roman" w:eastAsia="仿宋_GB2312" w:cs="Times New Roman"/>
          <w:szCs w:val="32"/>
        </w:rPr>
        <w:t>人，其中行政</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人、事业</w:t>
      </w:r>
      <w:r>
        <w:rPr>
          <w:rFonts w:hint="default" w:ascii="Times New Roman" w:hAnsi="Times New Roman" w:eastAsia="仿宋_GB2312" w:cs="Times New Roman"/>
          <w:szCs w:val="32"/>
          <w:lang w:val="en-US" w:eastAsia="zh-CN"/>
        </w:rPr>
        <w:t>9</w:t>
      </w:r>
      <w:r>
        <w:rPr>
          <w:rFonts w:hint="default" w:ascii="Times New Roman" w:hAnsi="Times New Roman" w:eastAsia="仿宋_GB2312" w:cs="Times New Roman"/>
          <w:szCs w:val="32"/>
        </w:rPr>
        <w:t>人。</w:t>
      </w:r>
      <w:r>
        <w:rPr>
          <w:rFonts w:hint="default" w:ascii="Times New Roman" w:hAnsi="Times New Roman" w:eastAsia="仿宋_GB2312" w:cs="Times New Roman"/>
          <w:szCs w:val="32"/>
          <w:lang w:val="en-US" w:eastAsia="zh-CN"/>
        </w:rPr>
        <w:t>实有人员共计22人，</w:t>
      </w:r>
      <w:r>
        <w:rPr>
          <w:rFonts w:hint="default" w:ascii="Times New Roman" w:hAnsi="Times New Roman" w:eastAsia="仿宋_GB2312" w:cs="Times New Roman"/>
          <w:szCs w:val="32"/>
        </w:rPr>
        <w:t>其中行政</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人、事业</w:t>
      </w:r>
      <w:r>
        <w:rPr>
          <w:rFonts w:hint="default" w:ascii="Times New Roman" w:hAnsi="Times New Roman" w:eastAsia="仿宋_GB2312" w:cs="Times New Roman"/>
          <w:szCs w:val="32"/>
          <w:lang w:val="en-US" w:eastAsia="zh-CN"/>
        </w:rPr>
        <w:t>22</w:t>
      </w:r>
      <w:r>
        <w:rPr>
          <w:rFonts w:hint="default" w:ascii="Times New Roman" w:hAnsi="Times New Roman" w:eastAsia="仿宋_GB2312" w:cs="Times New Roman"/>
          <w:szCs w:val="32"/>
        </w:rPr>
        <w:t>人</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单位管理的离退休人员</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人。</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lang w:eastAsia="zh-CN"/>
        </w:rPr>
      </w:pPr>
      <w:r>
        <w:rPr>
          <w:rFonts w:hint="default" w:ascii="Times New Roman" w:hAnsi="Times New Roman" w:eastAsia="仿宋_GB2312" w:cs="Times New Roman"/>
          <w:szCs w:val="32"/>
          <w:lang w:eastAsia="zh-CN"/>
        </w:rPr>
        <w:drawing>
          <wp:anchor distT="0" distB="0" distL="114300" distR="114300" simplePos="0" relativeHeight="251659264" behindDoc="0" locked="0" layoutInCell="1" allowOverlap="1">
            <wp:simplePos x="0" y="0"/>
            <wp:positionH relativeFrom="column">
              <wp:posOffset>106045</wp:posOffset>
            </wp:positionH>
            <wp:positionV relativeFrom="paragraph">
              <wp:posOffset>241300</wp:posOffset>
            </wp:positionV>
            <wp:extent cx="5080000" cy="3329940"/>
            <wp:effectExtent l="4445" t="4445" r="5715" b="18415"/>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p>
    <w:p>
      <w:pPr>
        <w:keepNext w:val="0"/>
        <w:keepLines w:val="0"/>
        <w:pageBreakBefore w:val="0"/>
        <w:numPr>
          <w:ilvl w:val="0"/>
          <w:numId w:val="2"/>
        </w:numPr>
        <w:tabs>
          <w:tab w:val="left" w:pos="520"/>
        </w:tabs>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部门决算收支情况说明</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（一）2018年度收入支出总体情况说明</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本年度收入支出总体情况及比上年增长（减少）情况，分析增减变化的主要原因。</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 w:val="32"/>
          <w:szCs w:val="32"/>
        </w:rPr>
        <w:t>收入总计</w:t>
      </w:r>
      <w:r>
        <w:rPr>
          <w:rFonts w:hint="default" w:ascii="Times New Roman" w:hAnsi="Times New Roman" w:eastAsia="仿宋_GB2312" w:cs="Times New Roman"/>
          <w:sz w:val="32"/>
          <w:szCs w:val="32"/>
          <w:lang w:val="en-US" w:eastAsia="zh-CN"/>
        </w:rPr>
        <w:t xml:space="preserve">358.99 </w:t>
      </w:r>
      <w:r>
        <w:rPr>
          <w:rFonts w:hint="default" w:ascii="Times New Roman" w:hAnsi="Times New Roman" w:eastAsia="仿宋_GB2312" w:cs="Times New Roman"/>
          <w:sz w:val="32"/>
          <w:szCs w:val="32"/>
        </w:rPr>
        <w:t>万元,较上年增加</w:t>
      </w:r>
      <w:r>
        <w:rPr>
          <w:rFonts w:hint="default" w:ascii="Times New Roman" w:hAnsi="Times New Roman" w:eastAsia="仿宋_GB2312" w:cs="Times New Roman"/>
          <w:sz w:val="32"/>
          <w:szCs w:val="32"/>
          <w:lang w:val="en-US" w:eastAsia="zh-CN"/>
        </w:rPr>
        <w:t>180.55</w:t>
      </w:r>
      <w:r>
        <w:rPr>
          <w:rFonts w:hint="default" w:ascii="Times New Roman" w:hAnsi="Times New Roman" w:eastAsia="仿宋_GB2312" w:cs="Times New Roman"/>
          <w:sz w:val="32"/>
          <w:szCs w:val="32"/>
        </w:rPr>
        <w:t>万元，增加的主要原因是</w:t>
      </w:r>
      <w:r>
        <w:rPr>
          <w:rFonts w:hint="default" w:ascii="Times New Roman" w:hAnsi="Times New Roman" w:eastAsia="仿宋_GB2312" w:cs="Times New Roman"/>
          <w:sz w:val="32"/>
          <w:szCs w:val="32"/>
          <w:lang w:val="en-US" w:eastAsia="zh-CN"/>
        </w:rPr>
        <w:t>文物保护力度加大，财政收入增加</w:t>
      </w:r>
      <w:r>
        <w:rPr>
          <w:rFonts w:hint="default" w:ascii="Times New Roman" w:hAnsi="Times New Roman" w:eastAsia="仿宋_GB2312" w:cs="Times New Roman"/>
          <w:sz w:val="32"/>
          <w:szCs w:val="32"/>
        </w:rPr>
        <w:t>，上年度收入总计</w:t>
      </w:r>
      <w:r>
        <w:rPr>
          <w:rFonts w:hint="default" w:ascii="Times New Roman" w:hAnsi="Times New Roman" w:eastAsia="仿宋_GB2312" w:cs="Times New Roman"/>
          <w:sz w:val="32"/>
          <w:szCs w:val="32"/>
          <w:lang w:val="en-US" w:eastAsia="zh-CN"/>
        </w:rPr>
        <w:t>178.44</w:t>
      </w:r>
      <w:r>
        <w:rPr>
          <w:rFonts w:hint="default" w:ascii="Times New Roman" w:hAnsi="Times New Roman" w:eastAsia="仿宋_GB2312" w:cs="Times New Roman"/>
          <w:sz w:val="32"/>
          <w:szCs w:val="32"/>
        </w:rPr>
        <w:t>万元。</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1.</w:t>
      </w:r>
      <w:r>
        <w:rPr>
          <w:rFonts w:hint="default" w:ascii="Times New Roman" w:hAnsi="Times New Roman" w:eastAsia="仿宋_GB2312" w:cs="Times New Roman"/>
          <w:szCs w:val="32"/>
        </w:rPr>
        <w:t>本年度收入构成情况。</w:t>
      </w:r>
    </w:p>
    <w:p>
      <w:pPr>
        <w:keepNext w:val="0"/>
        <w:keepLines w:val="0"/>
        <w:pageBreakBefore w:val="0"/>
        <w:kinsoku/>
        <w:wordWrap/>
        <w:overflowPunct/>
        <w:topLinePunct w:val="0"/>
        <w:autoSpaceDE/>
        <w:autoSpaceDN/>
        <w:bidi w:val="0"/>
        <w:adjustRightInd/>
        <w:spacing w:line="560" w:lineRule="exact"/>
        <w:ind w:right="206" w:firstLine="480"/>
        <w:jc w:val="both"/>
        <w:textAlignment w:val="auto"/>
        <w:rPr>
          <w:rFonts w:hint="default" w:ascii="Times New Roman" w:hAnsi="Times New Roman" w:eastAsia="仿宋" w:cs="Times New Roman"/>
          <w:sz w:val="32"/>
        </w:rPr>
      </w:pPr>
      <w:r>
        <w:rPr>
          <w:rFonts w:hint="default" w:ascii="Times New Roman" w:hAnsi="Times New Roman" w:eastAsia="仿宋_GB2312" w:cs="Times New Roman"/>
          <w:szCs w:val="32"/>
          <w:lang w:val="en-US" w:eastAsia="zh-CN"/>
        </w:rPr>
        <w:t xml:space="preserve"> </w:t>
      </w:r>
      <w:r>
        <w:rPr>
          <w:rFonts w:hint="default" w:ascii="Times New Roman" w:hAnsi="Times New Roman" w:eastAsia="仿宋" w:cs="Times New Roman"/>
          <w:sz w:val="32"/>
        </w:rPr>
        <w:t>2018 年度本年收入合计</w:t>
      </w:r>
      <w:r>
        <w:rPr>
          <w:rFonts w:hint="default" w:ascii="Times New Roman" w:hAnsi="Times New Roman" w:eastAsia="仿宋" w:cs="Times New Roman"/>
          <w:sz w:val="32"/>
          <w:lang w:val="en-US" w:eastAsia="zh-CN"/>
        </w:rPr>
        <w:t>358.99</w:t>
      </w:r>
      <w:r>
        <w:rPr>
          <w:rFonts w:hint="default" w:ascii="Times New Roman" w:hAnsi="Times New Roman" w:eastAsia="仿宋" w:cs="Times New Roman"/>
          <w:sz w:val="32"/>
        </w:rPr>
        <w:t xml:space="preserve"> 万元。其中：财政拨款 </w:t>
      </w:r>
      <w:r>
        <w:rPr>
          <w:rFonts w:hint="default" w:ascii="Times New Roman" w:hAnsi="Times New Roman" w:eastAsia="仿宋" w:cs="Times New Roman"/>
          <w:sz w:val="32"/>
          <w:lang w:val="en-US" w:eastAsia="zh-CN"/>
        </w:rPr>
        <w:t>358.99</w:t>
      </w:r>
      <w:r>
        <w:rPr>
          <w:rFonts w:hint="default" w:ascii="Times New Roman" w:hAnsi="Times New Roman" w:eastAsia="仿宋" w:cs="Times New Roman"/>
          <w:sz w:val="32"/>
        </w:rPr>
        <w:t>万元，占总收入的</w:t>
      </w:r>
      <w:r>
        <w:rPr>
          <w:rFonts w:hint="default" w:ascii="Times New Roman" w:hAnsi="Times New Roman" w:eastAsia="仿宋" w:cs="Times New Roman"/>
          <w:sz w:val="32"/>
          <w:lang w:val="en-US" w:eastAsia="zh-CN"/>
        </w:rPr>
        <w:t>100</w:t>
      </w:r>
      <w:r>
        <w:rPr>
          <w:rFonts w:hint="default" w:ascii="Times New Roman" w:hAnsi="Times New Roman" w:eastAsia="仿宋" w:cs="Times New Roman"/>
          <w:sz w:val="32"/>
        </w:rPr>
        <w:t>%。</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2.</w:t>
      </w:r>
      <w:r>
        <w:rPr>
          <w:rFonts w:hint="default" w:ascii="Times New Roman" w:hAnsi="Times New Roman" w:eastAsia="仿宋_GB2312" w:cs="Times New Roman"/>
          <w:szCs w:val="32"/>
        </w:rPr>
        <w:t>本年度支出构成情况。</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2018年支出335.05万元。其中，</w:t>
      </w:r>
      <w:r>
        <w:rPr>
          <w:rFonts w:hint="default" w:ascii="Times New Roman" w:hAnsi="Times New Roman" w:eastAsia="仿宋_GB2312" w:cs="Times New Roman"/>
          <w:sz w:val="32"/>
          <w:szCs w:val="32"/>
        </w:rPr>
        <w:t>基本支出</w:t>
      </w:r>
      <w:r>
        <w:rPr>
          <w:rFonts w:hint="default" w:ascii="Times New Roman" w:hAnsi="Times New Roman" w:eastAsia="仿宋_GB2312" w:cs="Times New Roman"/>
          <w:sz w:val="32"/>
          <w:szCs w:val="32"/>
          <w:lang w:val="en-US" w:eastAsia="zh-CN"/>
        </w:rPr>
        <w:t>326.75</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val="en-US" w:eastAsia="zh-CN"/>
        </w:rPr>
        <w:t>包括人员经费275.47</w:t>
      </w:r>
      <w:r>
        <w:rPr>
          <w:rFonts w:hint="default" w:ascii="Times New Roman" w:hAnsi="Times New Roman" w:eastAsia="仿宋_GB2312" w:cs="Times New Roman"/>
          <w:sz w:val="32"/>
          <w:szCs w:val="32"/>
        </w:rPr>
        <w:t>万元，日常公用经费支出</w:t>
      </w:r>
      <w:r>
        <w:rPr>
          <w:rFonts w:hint="default" w:ascii="Times New Roman" w:hAnsi="Times New Roman" w:eastAsia="仿宋_GB2312" w:cs="Times New Roman"/>
          <w:sz w:val="32"/>
          <w:szCs w:val="32"/>
          <w:lang w:val="en-US" w:eastAsia="zh-CN"/>
        </w:rPr>
        <w:t>51.28</w:t>
      </w:r>
      <w:r>
        <w:rPr>
          <w:rFonts w:hint="default" w:ascii="Times New Roman" w:hAnsi="Times New Roman" w:eastAsia="仿宋_GB2312" w:cs="Times New Roman"/>
          <w:sz w:val="32"/>
          <w:szCs w:val="32"/>
        </w:rPr>
        <w:t>万元。项目支出</w:t>
      </w:r>
      <w:r>
        <w:rPr>
          <w:rFonts w:hint="default" w:ascii="Times New Roman" w:hAnsi="Times New Roman" w:eastAsia="仿宋_GB2312" w:cs="Times New Roman"/>
          <w:sz w:val="32"/>
          <w:szCs w:val="32"/>
          <w:lang w:val="en-US" w:eastAsia="zh-CN"/>
        </w:rPr>
        <w:t>8.3</w:t>
      </w:r>
      <w:r>
        <w:rPr>
          <w:rFonts w:hint="default" w:ascii="Times New Roman" w:hAnsi="Times New Roman" w:eastAsia="仿宋_GB2312" w:cs="Times New Roman"/>
          <w:sz w:val="32"/>
          <w:szCs w:val="32"/>
        </w:rPr>
        <w:t>万元。</w:t>
      </w:r>
    </w:p>
    <w:p>
      <w:pPr>
        <w:keepNext w:val="0"/>
        <w:keepLines w:val="0"/>
        <w:pageBreakBefore w:val="0"/>
        <w:kinsoku/>
        <w:wordWrap/>
        <w:overflowPunct/>
        <w:topLinePunct w:val="0"/>
        <w:autoSpaceDE/>
        <w:autoSpaceDN/>
        <w:bidi w:val="0"/>
        <w:adjustRightInd/>
        <w:spacing w:line="560" w:lineRule="exact"/>
        <w:ind w:left="0" w:leftChars="0" w:firstLine="0" w:firstLineChars="0"/>
        <w:textAlignment w:val="auto"/>
        <w:rPr>
          <w:rFonts w:hint="default" w:ascii="Times New Roman" w:hAnsi="Times New Roman" w:eastAsia="楷体" w:cs="Times New Roman"/>
          <w:szCs w:val="32"/>
          <w:lang w:eastAsia="zh-CN"/>
        </w:rPr>
      </w:pPr>
      <w:r>
        <w:rPr>
          <w:rFonts w:hint="default" w:ascii="Times New Roman" w:hAnsi="Times New Roman" w:eastAsia="楷体" w:cs="Times New Roman"/>
          <w:szCs w:val="32"/>
          <w:lang w:eastAsia="zh-CN"/>
        </w:rPr>
        <w:drawing>
          <wp:anchor distT="0" distB="0" distL="114300" distR="114300" simplePos="0" relativeHeight="251658240" behindDoc="0" locked="0" layoutInCell="1" allowOverlap="1">
            <wp:simplePos x="0" y="0"/>
            <wp:positionH relativeFrom="column">
              <wp:posOffset>233680</wp:posOffset>
            </wp:positionH>
            <wp:positionV relativeFrom="paragraph">
              <wp:posOffset>149860</wp:posOffset>
            </wp:positionV>
            <wp:extent cx="4620260" cy="2167255"/>
            <wp:effectExtent l="4445" t="4445" r="23495" b="1905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（二）2018年度财政拨款收入支出总体情况说明</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eastAsia" w:ascii="Times New Roman" w:hAnsi="Times New Roman" w:eastAsia="仿宋_GB2312" w:cs="Times New Roman"/>
          <w:szCs w:val="32"/>
          <w:lang w:val="en-US" w:eastAsia="zh-CN"/>
        </w:rPr>
        <w:t>1.</w:t>
      </w:r>
      <w:r>
        <w:rPr>
          <w:rFonts w:hint="default" w:ascii="Times New Roman" w:hAnsi="Times New Roman" w:eastAsia="仿宋_GB2312" w:cs="Times New Roman"/>
          <w:szCs w:val="32"/>
        </w:rPr>
        <w:t>财政拨款收入支出总体情况及比上年增减情况，分析增减变化的原因。</w:t>
      </w:r>
    </w:p>
    <w:p>
      <w:pPr>
        <w:keepNext w:val="0"/>
        <w:keepLines w:val="0"/>
        <w:pageBreakBefore w:val="0"/>
        <w:numPr>
          <w:ilvl w:val="0"/>
          <w:numId w:val="0"/>
        </w:numPr>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 xml:space="preserve">     2018年</w:t>
      </w:r>
      <w:r>
        <w:rPr>
          <w:rFonts w:hint="default" w:ascii="Times New Roman" w:hAnsi="Times New Roman" w:eastAsia="仿宋_GB2312" w:cs="Times New Roman"/>
          <w:sz w:val="32"/>
          <w:szCs w:val="32"/>
        </w:rPr>
        <w:t>收入总计</w:t>
      </w:r>
      <w:r>
        <w:rPr>
          <w:rFonts w:hint="default" w:ascii="Times New Roman" w:hAnsi="Times New Roman" w:eastAsia="仿宋_GB2312" w:cs="Times New Roman"/>
          <w:sz w:val="32"/>
          <w:szCs w:val="32"/>
          <w:lang w:val="en-US" w:eastAsia="zh-CN"/>
        </w:rPr>
        <w:t xml:space="preserve">358.99 </w:t>
      </w:r>
      <w:r>
        <w:rPr>
          <w:rFonts w:hint="default" w:ascii="Times New Roman" w:hAnsi="Times New Roman" w:eastAsia="仿宋_GB2312" w:cs="Times New Roman"/>
          <w:sz w:val="32"/>
          <w:szCs w:val="32"/>
        </w:rPr>
        <w:t>万元,较上年增加</w:t>
      </w:r>
      <w:r>
        <w:rPr>
          <w:rFonts w:hint="default" w:ascii="Times New Roman" w:hAnsi="Times New Roman" w:eastAsia="仿宋_GB2312" w:cs="Times New Roman"/>
          <w:sz w:val="32"/>
          <w:szCs w:val="32"/>
          <w:lang w:val="en-US" w:eastAsia="zh-CN"/>
        </w:rPr>
        <w:t>180.55</w:t>
      </w:r>
      <w:r>
        <w:rPr>
          <w:rFonts w:hint="default" w:ascii="Times New Roman" w:hAnsi="Times New Roman" w:eastAsia="仿宋_GB2312" w:cs="Times New Roman"/>
          <w:sz w:val="32"/>
          <w:szCs w:val="32"/>
        </w:rPr>
        <w:t>万元，增加的主要原因是</w:t>
      </w:r>
      <w:r>
        <w:rPr>
          <w:rFonts w:hint="default" w:ascii="Times New Roman" w:hAnsi="Times New Roman" w:eastAsia="仿宋_GB2312" w:cs="Times New Roman"/>
          <w:sz w:val="32"/>
          <w:szCs w:val="32"/>
          <w:lang w:val="en-US" w:eastAsia="zh-CN"/>
        </w:rPr>
        <w:t>文物保护力度加大，财政收入增加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2018年支出335.05万元，</w:t>
      </w:r>
      <w:r>
        <w:rPr>
          <w:rFonts w:hint="default" w:ascii="Times New Roman" w:hAnsi="Times New Roman" w:eastAsia="仿宋_GB2312" w:cs="Times New Roman"/>
          <w:sz w:val="32"/>
          <w:szCs w:val="32"/>
        </w:rPr>
        <w:t>较上年增加</w:t>
      </w:r>
      <w:r>
        <w:rPr>
          <w:rFonts w:hint="default" w:ascii="Times New Roman" w:hAnsi="Times New Roman" w:eastAsia="仿宋_GB2312" w:cs="Times New Roman"/>
          <w:sz w:val="32"/>
          <w:szCs w:val="32"/>
          <w:lang w:val="en-US" w:eastAsia="zh-CN"/>
        </w:rPr>
        <w:t>156.61</w:t>
      </w:r>
      <w:r>
        <w:rPr>
          <w:rFonts w:hint="default" w:ascii="Times New Roman" w:hAnsi="Times New Roman" w:eastAsia="仿宋_GB2312" w:cs="Times New Roman"/>
          <w:sz w:val="32"/>
          <w:szCs w:val="32"/>
        </w:rPr>
        <w:t>万元，增加的主要原因是</w:t>
      </w:r>
      <w:r>
        <w:rPr>
          <w:rFonts w:hint="default" w:ascii="Times New Roman" w:hAnsi="Times New Roman" w:eastAsia="仿宋_GB2312" w:cs="Times New Roman"/>
          <w:sz w:val="32"/>
          <w:szCs w:val="32"/>
          <w:lang w:val="en-US" w:eastAsia="zh-CN"/>
        </w:rPr>
        <w:t>开展了文物保护规划，文物安全保护力度加大，财政支出增加</w:t>
      </w:r>
      <w:r>
        <w:rPr>
          <w:rFonts w:hint="default" w:ascii="Times New Roman" w:hAnsi="Times New Roman" w:eastAsia="仿宋_GB2312" w:cs="Times New Roman"/>
          <w:sz w:val="32"/>
          <w:szCs w:val="32"/>
          <w:lang w:eastAsia="zh-CN"/>
        </w:rPr>
        <w:t>。</w:t>
      </w:r>
    </w:p>
    <w:p>
      <w:pPr>
        <w:keepNext w:val="0"/>
        <w:keepLines w:val="0"/>
        <w:pageBreakBefore w:val="0"/>
        <w:numPr>
          <w:ilvl w:val="0"/>
          <w:numId w:val="0"/>
        </w:numPr>
        <w:kinsoku/>
        <w:wordWrap/>
        <w:overflowPunct/>
        <w:topLinePunct w:val="0"/>
        <w:autoSpaceDE/>
        <w:autoSpaceDN/>
        <w:bidi w:val="0"/>
        <w:adjustRightInd/>
        <w:spacing w:line="560" w:lineRule="exact"/>
        <w:ind w:leftChars="225"/>
        <w:textAlignment w:val="auto"/>
        <w:rPr>
          <w:rFonts w:hint="default" w:ascii="Times New Roman" w:hAnsi="Times New Roman" w:eastAsia="仿宋_GB2312" w:cs="Times New Roman"/>
          <w:szCs w:val="32"/>
        </w:rPr>
      </w:pPr>
      <w:r>
        <w:rPr>
          <w:rFonts w:hint="eastAsia" w:ascii="Times New Roman" w:hAnsi="Times New Roman" w:eastAsia="仿宋_GB2312" w:cs="Times New Roman"/>
          <w:szCs w:val="32"/>
          <w:lang w:val="en-US" w:eastAsia="zh-CN"/>
        </w:rPr>
        <w:t>2.</w:t>
      </w:r>
      <w:r>
        <w:rPr>
          <w:rFonts w:hint="default" w:ascii="Times New Roman" w:hAnsi="Times New Roman" w:eastAsia="仿宋_GB2312" w:cs="Times New Roman"/>
          <w:szCs w:val="32"/>
        </w:rPr>
        <w:t>一般公共预算财政拨款支出情况。</w:t>
      </w:r>
    </w:p>
    <w:p>
      <w:pPr>
        <w:keepNext w:val="0"/>
        <w:keepLines w:val="0"/>
        <w:pageBreakBefore w:val="0"/>
        <w:numPr>
          <w:ilvl w:val="0"/>
          <w:numId w:val="0"/>
        </w:numPr>
        <w:kinsoku/>
        <w:wordWrap/>
        <w:overflowPunct/>
        <w:topLinePunct w:val="0"/>
        <w:autoSpaceDE/>
        <w:autoSpaceDN/>
        <w:bidi w:val="0"/>
        <w:adjustRightInd/>
        <w:spacing w:line="560" w:lineRule="exact"/>
        <w:ind w:left="11" w:leftChars="0" w:firstLine="707" w:firstLineChars="221"/>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rPr>
        <w:t>年，部门一般公共预算拨款支出总额为</w:t>
      </w:r>
      <w:r>
        <w:rPr>
          <w:rFonts w:hint="default" w:ascii="Times New Roman" w:hAnsi="Times New Roman" w:eastAsia="仿宋_GB2312" w:cs="Times New Roman"/>
          <w:sz w:val="32"/>
          <w:szCs w:val="32"/>
          <w:lang w:val="en-US" w:eastAsia="zh-CN"/>
        </w:rPr>
        <w:t>335.05</w:t>
      </w:r>
      <w:r>
        <w:rPr>
          <w:rFonts w:hint="default" w:ascii="Times New Roman" w:hAnsi="Times New Roman" w:eastAsia="仿宋_GB2312" w:cs="Times New Roman"/>
          <w:sz w:val="32"/>
          <w:szCs w:val="32"/>
        </w:rPr>
        <w:t>万元。项目支出</w:t>
      </w:r>
      <w:r>
        <w:rPr>
          <w:rFonts w:hint="default" w:ascii="Times New Roman" w:hAnsi="Times New Roman" w:eastAsia="仿宋_GB2312" w:cs="Times New Roman"/>
          <w:sz w:val="32"/>
          <w:szCs w:val="32"/>
          <w:lang w:val="en-US" w:eastAsia="zh-CN"/>
        </w:rPr>
        <w:t>8.3</w:t>
      </w:r>
      <w:r>
        <w:rPr>
          <w:rFonts w:hint="default" w:ascii="Times New Roman" w:hAnsi="Times New Roman" w:eastAsia="仿宋_GB2312" w:cs="Times New Roman"/>
          <w:sz w:val="32"/>
          <w:szCs w:val="32"/>
        </w:rPr>
        <w:t>万元。</w:t>
      </w:r>
    </w:p>
    <w:p>
      <w:pPr>
        <w:keepNext w:val="0"/>
        <w:keepLines w:val="0"/>
        <w:pageBreakBefore w:val="0"/>
        <w:numPr>
          <w:ilvl w:val="0"/>
          <w:numId w:val="0"/>
        </w:numPr>
        <w:kinsoku/>
        <w:wordWrap/>
        <w:overflowPunct/>
        <w:topLinePunct w:val="0"/>
        <w:autoSpaceDE/>
        <w:autoSpaceDN/>
        <w:bidi w:val="0"/>
        <w:adjustRightInd/>
        <w:spacing w:line="560" w:lineRule="exact"/>
        <w:ind w:leftChars="225"/>
        <w:textAlignment w:val="auto"/>
        <w:rPr>
          <w:rFonts w:hint="default" w:ascii="Times New Roman" w:hAnsi="Times New Roman" w:eastAsia="仿宋_GB2312" w:cs="Times New Roman"/>
          <w:szCs w:val="32"/>
        </w:rPr>
      </w:pPr>
      <w:r>
        <w:rPr>
          <w:rFonts w:hint="eastAsia" w:ascii="Times New Roman" w:hAnsi="Times New Roman" w:eastAsia="仿宋_GB2312" w:cs="Times New Roman"/>
          <w:szCs w:val="32"/>
          <w:lang w:val="en-US" w:eastAsia="zh-CN"/>
        </w:rPr>
        <w:t>3.</w:t>
      </w:r>
      <w:r>
        <w:rPr>
          <w:rFonts w:hint="default" w:ascii="Times New Roman" w:hAnsi="Times New Roman" w:eastAsia="仿宋_GB2312" w:cs="Times New Roman"/>
          <w:szCs w:val="32"/>
        </w:rPr>
        <w:t>一般公共预算财政拨款基本支出决算情况。（按人员经费和公用经费分别进行说明）</w:t>
      </w:r>
    </w:p>
    <w:p>
      <w:pPr>
        <w:keepNext w:val="0"/>
        <w:keepLines w:val="0"/>
        <w:pageBreakBefore w:val="0"/>
        <w:numPr>
          <w:ilvl w:val="0"/>
          <w:numId w:val="0"/>
        </w:numPr>
        <w:kinsoku/>
        <w:wordWrap/>
        <w:overflowPunct/>
        <w:topLinePunct w:val="0"/>
        <w:autoSpaceDE/>
        <w:autoSpaceDN/>
        <w:bidi w:val="0"/>
        <w:adjustRightInd/>
        <w:spacing w:line="560" w:lineRule="exact"/>
        <w:ind w:left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rPr>
        <w:t>年，部门一般公共预算拨款支出总额为</w:t>
      </w:r>
      <w:r>
        <w:rPr>
          <w:rFonts w:hint="default" w:ascii="Times New Roman" w:hAnsi="Times New Roman" w:eastAsia="仿宋_GB2312" w:cs="Times New Roman"/>
          <w:sz w:val="32"/>
          <w:szCs w:val="32"/>
          <w:lang w:val="en-US" w:eastAsia="zh-CN"/>
        </w:rPr>
        <w:t>326.75</w:t>
      </w:r>
      <w:r>
        <w:rPr>
          <w:rFonts w:hint="default" w:ascii="Times New Roman" w:hAnsi="Times New Roman" w:eastAsia="仿宋_GB2312" w:cs="Times New Roman"/>
          <w:sz w:val="32"/>
          <w:szCs w:val="32"/>
        </w:rPr>
        <w:t>万元。</w:t>
      </w:r>
    </w:p>
    <w:p>
      <w:pPr>
        <w:keepNext w:val="0"/>
        <w:keepLines w:val="0"/>
        <w:pageBreakBefore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4.政府性基金财政拨款收支情况说明。</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本部门无政府性基金决算收支，并已公开空表。</w:t>
      </w:r>
    </w:p>
    <w:p>
      <w:pPr>
        <w:keepNext w:val="0"/>
        <w:keepLines w:val="0"/>
        <w:pageBreakBefore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5.国有资本经营财政拨款收支情况说明。</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本部门无国有资本经营决算拨款收支。</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（三）2018年度“三公”经费、培训费及会议费支出情况说明</w:t>
      </w:r>
    </w:p>
    <w:p>
      <w:pPr>
        <w:keepNext w:val="0"/>
        <w:keepLines w:val="0"/>
        <w:pageBreakBefore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1.“三公”经费财政拨款支出总体情况说明。</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 w:val="32"/>
          <w:szCs w:val="32"/>
        </w:rPr>
        <w:t>201</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 xml:space="preserve"> 年度一般公共预算财政拨款安排的“三公”经费支出中，</w:t>
      </w:r>
      <w:r>
        <w:rPr>
          <w:rFonts w:hint="default" w:ascii="Times New Roman" w:hAnsi="Times New Roman" w:eastAsia="仿宋_GB2312" w:cs="Times New Roman"/>
          <w:sz w:val="32"/>
          <w:szCs w:val="32"/>
          <w:lang w:val="en-US" w:eastAsia="zh-CN"/>
        </w:rPr>
        <w:t>三公经费支出2.07万元。</w:t>
      </w:r>
      <w:r>
        <w:rPr>
          <w:rFonts w:hint="default" w:ascii="Times New Roman" w:hAnsi="Times New Roman" w:eastAsia="仿宋_GB2312" w:cs="Times New Roman"/>
          <w:sz w:val="32"/>
          <w:szCs w:val="32"/>
        </w:rPr>
        <w:t>因公出国(境)费支出0万元，</w:t>
      </w:r>
      <w:r>
        <w:rPr>
          <w:rFonts w:hint="default" w:ascii="Times New Roman" w:hAnsi="Times New Roman" w:eastAsia="仿宋_GB2312" w:cs="Times New Roman"/>
          <w:sz w:val="32"/>
          <w:szCs w:val="32"/>
          <w:lang w:val="en-US" w:eastAsia="zh-CN"/>
        </w:rPr>
        <w:t>跟上年持平</w:t>
      </w:r>
      <w:r>
        <w:rPr>
          <w:rFonts w:hint="default" w:ascii="Times New Roman" w:hAnsi="Times New Roman" w:eastAsia="仿宋_GB2312" w:cs="Times New Roman"/>
          <w:sz w:val="32"/>
          <w:szCs w:val="32"/>
        </w:rPr>
        <w:t>；公务接待费支出0万元，</w:t>
      </w:r>
      <w:r>
        <w:rPr>
          <w:rFonts w:hint="default" w:ascii="Times New Roman" w:hAnsi="Times New Roman" w:eastAsia="仿宋_GB2312" w:cs="Times New Roman"/>
          <w:sz w:val="32"/>
          <w:szCs w:val="32"/>
          <w:lang w:val="en-US" w:eastAsia="zh-CN"/>
        </w:rPr>
        <w:t>跟上年持平</w:t>
      </w:r>
      <w:r>
        <w:rPr>
          <w:rFonts w:hint="default" w:ascii="Times New Roman" w:hAnsi="Times New Roman" w:eastAsia="仿宋_GB2312" w:cs="Times New Roman"/>
          <w:sz w:val="32"/>
          <w:szCs w:val="32"/>
        </w:rPr>
        <w:t>；公务用车</w:t>
      </w:r>
      <w:r>
        <w:rPr>
          <w:rFonts w:hint="default" w:ascii="Times New Roman" w:hAnsi="Times New Roman" w:eastAsia="仿宋_GB2312" w:cs="Times New Roman"/>
          <w:sz w:val="32"/>
          <w:szCs w:val="32"/>
          <w:lang w:val="en-US" w:eastAsia="zh-CN"/>
        </w:rPr>
        <w:t>运行维护</w:t>
      </w:r>
      <w:r>
        <w:rPr>
          <w:rFonts w:hint="default" w:ascii="Times New Roman" w:hAnsi="Times New Roman" w:eastAsia="仿宋_GB2312" w:cs="Times New Roman"/>
          <w:sz w:val="32"/>
          <w:szCs w:val="32"/>
        </w:rPr>
        <w:t>费支出2.</w:t>
      </w:r>
      <w:r>
        <w:rPr>
          <w:rFonts w:hint="default" w:ascii="Times New Roman" w:hAnsi="Times New Roman" w:eastAsia="仿宋_GB2312" w:cs="Times New Roman"/>
          <w:sz w:val="32"/>
          <w:szCs w:val="32"/>
          <w:lang w:val="en-US" w:eastAsia="zh-CN"/>
        </w:rPr>
        <w:t>07</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val="en-US" w:eastAsia="zh-CN"/>
        </w:rPr>
        <w:t>较上年减少0.23万元</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主要原因为：减少用车频率。</w:t>
      </w:r>
    </w:p>
    <w:p>
      <w:pPr>
        <w:keepNext w:val="0"/>
        <w:keepLines w:val="0"/>
        <w:pageBreakBefore w:val="0"/>
        <w:numPr>
          <w:ilvl w:val="0"/>
          <w:numId w:val="0"/>
        </w:numPr>
        <w:kinsoku/>
        <w:wordWrap/>
        <w:overflowPunct/>
        <w:topLinePunct w:val="0"/>
        <w:autoSpaceDE/>
        <w:autoSpaceDN/>
        <w:bidi w:val="0"/>
        <w:adjustRightInd/>
        <w:spacing w:line="240" w:lineRule="auto"/>
        <w:ind w:firstLine="640" w:firstLineChars="200"/>
        <w:textAlignment w:val="auto"/>
        <w:rPr>
          <w:rFonts w:hint="default" w:ascii="Times New Roman" w:hAnsi="Times New Roman" w:eastAsia="仿宋_GB2312" w:cs="Times New Roman"/>
          <w:szCs w:val="32"/>
        </w:rPr>
      </w:pP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1</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因公出国（境）支出情况。</w:t>
      </w:r>
    </w:p>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2018年因公出国（境）支出</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万元。</w:t>
      </w:r>
    </w:p>
    <w:p>
      <w:pPr>
        <w:keepNext w:val="0"/>
        <w:keepLines w:val="0"/>
        <w:pageBreakBefore w:val="0"/>
        <w:numPr>
          <w:ilvl w:val="0"/>
          <w:numId w:val="0"/>
        </w:numPr>
        <w:kinsoku/>
        <w:wordWrap/>
        <w:overflowPunct/>
        <w:topLinePunct w:val="0"/>
        <w:autoSpaceDE/>
        <w:autoSpaceDN/>
        <w:bidi w:val="0"/>
        <w:adjustRightInd/>
        <w:spacing w:line="240" w:lineRule="auto"/>
        <w:ind w:firstLine="640" w:firstLineChars="200"/>
        <w:textAlignment w:val="auto"/>
        <w:rPr>
          <w:rFonts w:hint="default" w:ascii="Times New Roman" w:hAnsi="Times New Roman" w:eastAsia="仿宋_GB2312" w:cs="Times New Roman"/>
          <w:szCs w:val="32"/>
        </w:rPr>
      </w:pP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2</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公务用车购置及运行维护费用支出情况。</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2018年</w:t>
      </w:r>
      <w:r>
        <w:rPr>
          <w:rFonts w:hint="default" w:ascii="Times New Roman" w:hAnsi="Times New Roman" w:eastAsia="仿宋_GB2312" w:cs="Times New Roman"/>
          <w:szCs w:val="32"/>
          <w:lang w:val="en-US" w:eastAsia="zh-CN"/>
        </w:rPr>
        <w:t>无</w:t>
      </w:r>
      <w:r>
        <w:rPr>
          <w:rFonts w:hint="default" w:ascii="Times New Roman" w:hAnsi="Times New Roman" w:eastAsia="仿宋_GB2312" w:cs="Times New Roman"/>
          <w:szCs w:val="32"/>
        </w:rPr>
        <w:t>购置车辆，支出</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万元，公务用车运行维护费支出</w:t>
      </w:r>
      <w:r>
        <w:rPr>
          <w:rFonts w:hint="default" w:ascii="Times New Roman" w:hAnsi="Times New Roman" w:eastAsia="仿宋_GB2312" w:cs="Times New Roman"/>
          <w:szCs w:val="32"/>
          <w:lang w:val="en-US" w:eastAsia="zh-CN"/>
        </w:rPr>
        <w:t>2.07</w:t>
      </w:r>
      <w:r>
        <w:rPr>
          <w:rFonts w:hint="default" w:ascii="Times New Roman" w:hAnsi="Times New Roman" w:eastAsia="仿宋_GB2312" w:cs="Times New Roman"/>
          <w:szCs w:val="32"/>
        </w:rPr>
        <w:t>万元</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 w:val="32"/>
          <w:szCs w:val="32"/>
          <w:lang w:val="en-US" w:eastAsia="zh-CN"/>
        </w:rPr>
        <w:t>主要原因为：减少用车频率。</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3</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公务接待费支出情况。</w:t>
      </w:r>
    </w:p>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Cs w:val="32"/>
          <w:lang w:eastAsia="zh-CN"/>
        </w:rPr>
      </w:pPr>
      <w:r>
        <w:rPr>
          <w:rFonts w:hint="default" w:ascii="Times New Roman" w:hAnsi="Times New Roman" w:eastAsia="仿宋_GB2312" w:cs="Times New Roman"/>
          <w:szCs w:val="32"/>
        </w:rPr>
        <w:t xml:space="preserve">     2018年公务接待支出</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万元</w:t>
      </w:r>
      <w:r>
        <w:rPr>
          <w:rFonts w:hint="default" w:ascii="Times New Roman" w:hAnsi="Times New Roman" w:eastAsia="仿宋_GB2312" w:cs="Times New Roman"/>
          <w:szCs w:val="32"/>
          <w:lang w:eastAsia="zh-CN"/>
        </w:rPr>
        <w:t>。</w:t>
      </w:r>
    </w:p>
    <w:p>
      <w:pPr>
        <w:keepNext w:val="0"/>
        <w:keepLines w:val="0"/>
        <w:pageBreakBefore w:val="0"/>
        <w:numPr>
          <w:ilvl w:val="0"/>
          <w:numId w:val="0"/>
        </w:numPr>
        <w:kinsoku/>
        <w:wordWrap/>
        <w:overflowPunct/>
        <w:topLinePunct w:val="0"/>
        <w:autoSpaceDE/>
        <w:autoSpaceDN/>
        <w:bidi w:val="0"/>
        <w:adjustRightInd/>
        <w:spacing w:line="560" w:lineRule="exact"/>
        <w:ind w:left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2.</w:t>
      </w:r>
      <w:r>
        <w:rPr>
          <w:rFonts w:hint="default" w:ascii="Times New Roman" w:hAnsi="Times New Roman" w:eastAsia="仿宋_GB2312" w:cs="Times New Roman"/>
          <w:szCs w:val="32"/>
        </w:rPr>
        <w:t>培训费支出情况。</w:t>
      </w:r>
    </w:p>
    <w:p>
      <w:pPr>
        <w:keepNext w:val="0"/>
        <w:keepLines w:val="0"/>
        <w:pageBreakBefore w:val="0"/>
        <w:numPr>
          <w:ilvl w:val="0"/>
          <w:numId w:val="0"/>
        </w:numPr>
        <w:kinsoku/>
        <w:wordWrap/>
        <w:overflowPunct/>
        <w:topLinePunct w:val="0"/>
        <w:autoSpaceDE/>
        <w:autoSpaceDN/>
        <w:bidi w:val="0"/>
        <w:adjustRightInd/>
        <w:spacing w:line="560" w:lineRule="exact"/>
        <w:ind w:leftChars="225"/>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rPr>
        <w:t>培训费支出</w:t>
      </w:r>
      <w:r>
        <w:rPr>
          <w:rFonts w:hint="default" w:ascii="Times New Roman" w:hAnsi="Times New Roman" w:eastAsia="仿宋_GB2312" w:cs="Times New Roman"/>
          <w:szCs w:val="32"/>
          <w:lang w:val="en-US" w:eastAsia="zh-CN"/>
        </w:rPr>
        <w:t>0.25万元。</w:t>
      </w:r>
    </w:p>
    <w:p>
      <w:pPr>
        <w:keepNext w:val="0"/>
        <w:keepLines w:val="0"/>
        <w:pageBreakBefore w:val="0"/>
        <w:numPr>
          <w:ilvl w:val="0"/>
          <w:numId w:val="0"/>
        </w:numPr>
        <w:kinsoku/>
        <w:wordWrap/>
        <w:overflowPunct/>
        <w:topLinePunct w:val="0"/>
        <w:autoSpaceDE/>
        <w:autoSpaceDN/>
        <w:bidi w:val="0"/>
        <w:adjustRightInd/>
        <w:spacing w:line="560" w:lineRule="exact"/>
        <w:ind w:left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3.</w:t>
      </w:r>
      <w:r>
        <w:rPr>
          <w:rFonts w:hint="default" w:ascii="Times New Roman" w:hAnsi="Times New Roman" w:eastAsia="仿宋_GB2312" w:cs="Times New Roman"/>
          <w:szCs w:val="32"/>
        </w:rPr>
        <w:t>会议费支出情况。</w:t>
      </w:r>
    </w:p>
    <w:p>
      <w:pPr>
        <w:keepNext w:val="0"/>
        <w:keepLines w:val="0"/>
        <w:pageBreakBefore w:val="0"/>
        <w:numPr>
          <w:ilvl w:val="0"/>
          <w:numId w:val="0"/>
        </w:numPr>
        <w:kinsoku/>
        <w:wordWrap/>
        <w:overflowPunct/>
        <w:topLinePunct w:val="0"/>
        <w:autoSpaceDE/>
        <w:autoSpaceDN/>
        <w:bidi w:val="0"/>
        <w:adjustRightInd/>
        <w:spacing w:line="560" w:lineRule="exact"/>
        <w:ind w:leftChars="225"/>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rPr>
        <w:t>会议费支出</w:t>
      </w:r>
      <w:r>
        <w:rPr>
          <w:rFonts w:hint="default" w:ascii="Times New Roman" w:hAnsi="Times New Roman" w:eastAsia="仿宋_GB2312" w:cs="Times New Roman"/>
          <w:szCs w:val="32"/>
          <w:lang w:val="en-US" w:eastAsia="zh-CN"/>
        </w:rPr>
        <w:t>0万元。</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六、2018年度部门绩效管理情况说明</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本单位</w:t>
      </w:r>
      <w:r>
        <w:rPr>
          <w:rFonts w:hint="default" w:ascii="Times New Roman" w:hAnsi="Times New Roman" w:eastAsia="仿宋_GB2312" w:cs="Times New Roman"/>
          <w:szCs w:val="32"/>
        </w:rPr>
        <w:t>2018年预算批复时</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lang w:val="en-US" w:eastAsia="zh-CN"/>
        </w:rPr>
        <w:t>不涉及</w:t>
      </w:r>
      <w:r>
        <w:rPr>
          <w:rFonts w:hint="default" w:ascii="Times New Roman" w:hAnsi="Times New Roman" w:eastAsia="仿宋_GB2312" w:cs="Times New Roman"/>
          <w:szCs w:val="32"/>
        </w:rPr>
        <w:t>绩效自评的项目。</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bookmarkStart w:id="0" w:name="_MON_1630234820"/>
      <w:bookmarkEnd w:id="0"/>
      <w:r>
        <w:rPr>
          <w:rFonts w:hint="default" w:ascii="Times New Roman" w:hAnsi="Times New Roman" w:eastAsia="黑体" w:cs="Times New Roman"/>
          <w:b/>
          <w:bCs/>
          <w:szCs w:val="32"/>
        </w:rPr>
        <w:t>七、其他重要事项的情况说明</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（一）机关运行经费支出情况</w:t>
      </w:r>
    </w:p>
    <w:p>
      <w:pPr>
        <w:keepNext w:val="0"/>
        <w:keepLines w:val="0"/>
        <w:pageBreakBefore w:val="0"/>
        <w:kinsoku/>
        <w:wordWrap/>
        <w:overflowPunct/>
        <w:topLinePunct w:val="0"/>
        <w:autoSpaceDE/>
        <w:autoSpaceDN/>
        <w:bidi w:val="0"/>
        <w:adjustRightInd/>
        <w:snapToGrid w:val="0"/>
        <w:spacing w:line="56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本单位属于事业单位，不涉及机关运行经费。</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楷体" w:cs="Times New Roman"/>
          <w:szCs w:val="32"/>
        </w:rPr>
        <w:t>（二）政府采购支出情况</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本部门2018年无政府采购支出。</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（三）国有资产占用及购置情况说明</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截至2018年末，</w:t>
      </w:r>
      <w:r>
        <w:rPr>
          <w:rFonts w:hint="default" w:ascii="Times New Roman" w:hAnsi="Times New Roman" w:eastAsia="仿宋_GB2312" w:cs="Times New Roman"/>
          <w:sz w:val="32"/>
          <w:szCs w:val="32"/>
        </w:rPr>
        <w:t>本部门所属单位共有车辆1辆。</w:t>
      </w:r>
      <w:r>
        <w:rPr>
          <w:rFonts w:hint="default" w:ascii="Times New Roman" w:hAnsi="Times New Roman" w:eastAsia="仿宋_GB2312" w:cs="Times New Roman"/>
          <w:szCs w:val="32"/>
        </w:rPr>
        <w:t>单价50万元以上的通用设备</w:t>
      </w:r>
      <w:r>
        <w:rPr>
          <w:rFonts w:hint="default" w:ascii="Times New Roman" w:hAnsi="Times New Roman" w:eastAsia="仿宋_GB2312" w:cs="Times New Roman"/>
          <w:szCs w:val="32"/>
          <w:lang w:val="en-US" w:eastAsia="zh-CN"/>
        </w:rPr>
        <w:t>1</w:t>
      </w:r>
      <w:r>
        <w:rPr>
          <w:rFonts w:hint="default" w:ascii="Times New Roman" w:hAnsi="Times New Roman" w:eastAsia="仿宋_GB2312" w:cs="Times New Roman"/>
          <w:szCs w:val="32"/>
        </w:rPr>
        <w:t>台；单价100万元以上的通用设备</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台。2018年当年购置车辆</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辆；购置单价50万元以上的设备</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台（套）；购置单价100万元以上的通用设备</w:t>
      </w:r>
      <w:r>
        <w:rPr>
          <w:rFonts w:hint="default" w:ascii="Times New Roman" w:hAnsi="Times New Roman" w:eastAsia="仿宋_GB2312" w:cs="Times New Roman"/>
          <w:szCs w:val="32"/>
          <w:lang w:val="en-US" w:eastAsia="zh-CN"/>
        </w:rPr>
        <w:t>0</w:t>
      </w:r>
      <w:r>
        <w:rPr>
          <w:rFonts w:hint="default" w:ascii="Times New Roman" w:hAnsi="Times New Roman" w:eastAsia="仿宋_GB2312" w:cs="Times New Roman"/>
          <w:szCs w:val="32"/>
        </w:rPr>
        <w:t>台。</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八、专业名词解释</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1.基本支出：指为保障机构正常运转、完成日常工作任务而发生的各项支出。</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2.项目支出：指单位为完成特定的行政工作任务或事业发展目标所发生的各项支出。</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3.“三公”经费：指部门使用一般公共预算财政拨款安排的因公出国（境）费、公务用车购置及运行费和公务接待费支出。</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4.财政拨款收入：指本级财政当年拨付的资金。</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1" w:name="_GoBack"/>
      <w:bookmarkEnd w:id="1"/>
    </w:p>
    <w:p>
      <w:pPr>
        <w:keepNext w:val="0"/>
        <w:keepLines w:val="0"/>
        <w:pageBreakBefore w:val="0"/>
        <w:widowControl w:val="0"/>
        <w:kinsoku/>
        <w:wordWrap w:val="0"/>
        <w:overflowPunct/>
        <w:topLinePunct w:val="0"/>
        <w:autoSpaceDE/>
        <w:autoSpaceDN/>
        <w:bidi w:val="0"/>
        <w:adjustRightInd/>
        <w:spacing w:line="560" w:lineRule="exact"/>
        <w:ind w:firstLine="640"/>
        <w:jc w:val="right"/>
        <w:textAlignment w:val="auto"/>
        <w:rPr>
          <w:rFonts w:hint="default" w:ascii="Times New Roman" w:hAnsi="Times New Roman" w:eastAsia="仿宋_GB2312" w:cs="Times New Roman"/>
          <w:szCs w:val="32"/>
          <w:lang w:val="en-US" w:eastAsia="zh-CN"/>
        </w:rPr>
      </w:pPr>
      <w:r>
        <w:rPr>
          <w:rFonts w:hint="eastAsia" w:ascii="Times New Roman" w:hAnsi="Times New Roman" w:eastAsia="仿宋_GB2312" w:cs="Times New Roman"/>
          <w:szCs w:val="32"/>
          <w:lang w:val="en-US" w:eastAsia="zh-CN"/>
        </w:rPr>
        <w:t xml:space="preserve"> </w:t>
      </w:r>
      <w:r>
        <w:rPr>
          <w:rFonts w:hint="default" w:ascii="Times New Roman" w:hAnsi="Times New Roman" w:eastAsia="仿宋_GB2312" w:cs="Times New Roman"/>
          <w:szCs w:val="32"/>
          <w:lang w:val="en-US" w:eastAsia="zh-CN"/>
        </w:rPr>
        <w:t>空港新城规划建设</w:t>
      </w:r>
      <w:r>
        <w:rPr>
          <w:rFonts w:hint="eastAsia" w:ascii="Times New Roman" w:hAnsi="Times New Roman" w:eastAsia="仿宋_GB2312" w:cs="Times New Roman"/>
          <w:szCs w:val="32"/>
          <w:lang w:val="en-US" w:eastAsia="zh-CN"/>
        </w:rPr>
        <w:t xml:space="preserve">文物局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0" w:firstLineChars="0"/>
        <w:jc w:val="righ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2019年9月</w:t>
      </w:r>
      <w:r>
        <w:rPr>
          <w:rFonts w:hint="eastAsia"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lang w:val="en-US" w:eastAsia="zh-CN"/>
        </w:rPr>
        <w:t>日</w:t>
      </w:r>
    </w:p>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cs="Times New Roman"/>
        </w:rPr>
      </w:pPr>
    </w:p>
    <w:sectPr>
      <w:pgSz w:w="11906" w:h="16838"/>
      <w:pgMar w:top="283" w:right="1800" w:bottom="283"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ECEBA"/>
    <w:multiLevelType w:val="singleLevel"/>
    <w:tmpl w:val="125ECEBA"/>
    <w:lvl w:ilvl="0" w:tentative="0">
      <w:start w:val="5"/>
      <w:numFmt w:val="chineseCounting"/>
      <w:suff w:val="nothing"/>
      <w:lvlText w:val="%1、"/>
      <w:lvlJc w:val="left"/>
      <w:rPr>
        <w:rFonts w:hint="eastAsia"/>
      </w:rPr>
    </w:lvl>
  </w:abstractNum>
  <w:abstractNum w:abstractNumId="1">
    <w:nsid w:val="45BD3087"/>
    <w:multiLevelType w:val="singleLevel"/>
    <w:tmpl w:val="45BD3087"/>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documentProtection w:enforcement="0"/>
  <w:defaultTabStop w:val="420"/>
  <w:drawingGridHorizontalSpacing w:val="158"/>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492444"/>
    <w:rsid w:val="005A6018"/>
    <w:rsid w:val="0096418A"/>
    <w:rsid w:val="00A46B83"/>
    <w:rsid w:val="00AF4CBD"/>
    <w:rsid w:val="00E8186E"/>
    <w:rsid w:val="00F47BEA"/>
    <w:rsid w:val="02B60B15"/>
    <w:rsid w:val="034179D9"/>
    <w:rsid w:val="054B396F"/>
    <w:rsid w:val="07AE521C"/>
    <w:rsid w:val="092B4994"/>
    <w:rsid w:val="095F5F03"/>
    <w:rsid w:val="0A49501D"/>
    <w:rsid w:val="0ABB2133"/>
    <w:rsid w:val="0ACC5265"/>
    <w:rsid w:val="0B556806"/>
    <w:rsid w:val="0C5E25D5"/>
    <w:rsid w:val="0E0A2E81"/>
    <w:rsid w:val="0E0B1E8D"/>
    <w:rsid w:val="0E596D80"/>
    <w:rsid w:val="0EE74CF3"/>
    <w:rsid w:val="10620AA7"/>
    <w:rsid w:val="10E3449E"/>
    <w:rsid w:val="11FA7A85"/>
    <w:rsid w:val="12E76E80"/>
    <w:rsid w:val="13DD5026"/>
    <w:rsid w:val="18163111"/>
    <w:rsid w:val="18717E72"/>
    <w:rsid w:val="1BB302DD"/>
    <w:rsid w:val="1C7210BE"/>
    <w:rsid w:val="1E1B4B61"/>
    <w:rsid w:val="1FD9266F"/>
    <w:rsid w:val="200B60CE"/>
    <w:rsid w:val="20DF789F"/>
    <w:rsid w:val="22EE1EAB"/>
    <w:rsid w:val="253303EA"/>
    <w:rsid w:val="269540B3"/>
    <w:rsid w:val="2709220B"/>
    <w:rsid w:val="28735948"/>
    <w:rsid w:val="28EB5A9C"/>
    <w:rsid w:val="29EC3955"/>
    <w:rsid w:val="2A624316"/>
    <w:rsid w:val="2B864346"/>
    <w:rsid w:val="2C9C2FAE"/>
    <w:rsid w:val="2ECA04B7"/>
    <w:rsid w:val="2F5C7F68"/>
    <w:rsid w:val="2FDD78CC"/>
    <w:rsid w:val="329B0193"/>
    <w:rsid w:val="32F16150"/>
    <w:rsid w:val="32F44A09"/>
    <w:rsid w:val="347E318A"/>
    <w:rsid w:val="35FB794F"/>
    <w:rsid w:val="3A096F81"/>
    <w:rsid w:val="3C216774"/>
    <w:rsid w:val="3D9A49BC"/>
    <w:rsid w:val="3E3D7A8B"/>
    <w:rsid w:val="3FC97D7E"/>
    <w:rsid w:val="403E1C0C"/>
    <w:rsid w:val="40C5481E"/>
    <w:rsid w:val="41606A0F"/>
    <w:rsid w:val="45164206"/>
    <w:rsid w:val="45197446"/>
    <w:rsid w:val="47166C1A"/>
    <w:rsid w:val="4754080A"/>
    <w:rsid w:val="491B7F17"/>
    <w:rsid w:val="49CA551D"/>
    <w:rsid w:val="49EF0A28"/>
    <w:rsid w:val="4AA57457"/>
    <w:rsid w:val="4E4D6057"/>
    <w:rsid w:val="4EE42ECE"/>
    <w:rsid w:val="51214658"/>
    <w:rsid w:val="512464F8"/>
    <w:rsid w:val="52803B75"/>
    <w:rsid w:val="52DA0C96"/>
    <w:rsid w:val="52E72809"/>
    <w:rsid w:val="52E77C75"/>
    <w:rsid w:val="52FE5027"/>
    <w:rsid w:val="532B4997"/>
    <w:rsid w:val="54C012B5"/>
    <w:rsid w:val="55E0616B"/>
    <w:rsid w:val="562B14A9"/>
    <w:rsid w:val="563C5F2A"/>
    <w:rsid w:val="5C1B2F5E"/>
    <w:rsid w:val="5C551539"/>
    <w:rsid w:val="5CB74A9E"/>
    <w:rsid w:val="5E097DAC"/>
    <w:rsid w:val="5E0F736E"/>
    <w:rsid w:val="5E492444"/>
    <w:rsid w:val="5E677FF0"/>
    <w:rsid w:val="5F142AA6"/>
    <w:rsid w:val="5FE72DB0"/>
    <w:rsid w:val="63384235"/>
    <w:rsid w:val="668D2B3F"/>
    <w:rsid w:val="68436A53"/>
    <w:rsid w:val="68E4588C"/>
    <w:rsid w:val="6A53559C"/>
    <w:rsid w:val="6A5443E3"/>
    <w:rsid w:val="6A747F7E"/>
    <w:rsid w:val="6CF20192"/>
    <w:rsid w:val="6D824FD7"/>
    <w:rsid w:val="6E0A72E7"/>
    <w:rsid w:val="6F44375E"/>
    <w:rsid w:val="710C2D14"/>
    <w:rsid w:val="71302103"/>
    <w:rsid w:val="72D15B5C"/>
    <w:rsid w:val="76801D57"/>
    <w:rsid w:val="76857A6F"/>
    <w:rsid w:val="78246814"/>
    <w:rsid w:val="78C020B0"/>
    <w:rsid w:val="79EA11C6"/>
    <w:rsid w:val="7CCE4EF4"/>
    <w:rsid w:val="7DE56D3A"/>
    <w:rsid w:val="7E0007C3"/>
    <w:rsid w:val="7E786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Arial"/>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rPr>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customStyle="1" w:styleId="11">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
        <c:rich>
          <a:bodyPr/>
          <a:lstStyle/>
          <a:p>
            <a:pPr>
              <a:defRPr/>
            </a:pPr>
          </a:p>
        </c:rich>
      </c:tx>
    </c:title>
    <c:autoTitleDeleted val="0"/>
    <c:plotArea>
      <c:layout/>
      <c:barChart>
        <c:barDir val="col"/>
        <c:grouping val="clustered"/>
        <c:varyColors val="0"/>
        <c:ser>
          <c:idx val="0"/>
          <c:order val="0"/>
          <c:tx>
            <c:strRef>
              <c:f>Sheet1!$B$1</c:f>
              <c:strCache>
                <c:ptCount val="1"/>
                <c:pt idx="0">
                  <c:v>编制人数</c:v>
                </c:pt>
              </c:strCache>
            </c:strRef>
          </c:tx>
          <c:spPr>
            <a:solidFill>
              <a:schemeClr val="accent1"/>
            </a:solidFill>
            <a:ln>
              <a:noFill/>
            </a:ln>
            <a:effectLst/>
          </c:spPr>
          <c:invertIfNegative val="0"/>
          <c:dLbls>
            <c:delete val="1"/>
          </c:dLbls>
          <c:cat>
            <c:strRef>
              <c:f>Sheet1!$A$2:$A$3</c:f>
              <c:strCache>
                <c:ptCount val="2"/>
                <c:pt idx="0">
                  <c:v>顺陵文管所</c:v>
                </c:pt>
                <c:pt idx="1">
                  <c:v>北杜文管所</c:v>
                </c:pt>
              </c:strCache>
            </c:strRef>
          </c:cat>
          <c:val>
            <c:numRef>
              <c:f>Sheet1!$B$2:$B$3</c:f>
              <c:numCache>
                <c:formatCode>General</c:formatCode>
                <c:ptCount val="2"/>
                <c:pt idx="0">
                  <c:v>8</c:v>
                </c:pt>
                <c:pt idx="1">
                  <c:v>5</c:v>
                </c:pt>
              </c:numCache>
            </c:numRef>
          </c:val>
        </c:ser>
        <c:ser>
          <c:idx val="1"/>
          <c:order val="1"/>
          <c:tx>
            <c:strRef>
              <c:f>Sheet1!$C$1</c:f>
              <c:strCache>
                <c:ptCount val="1"/>
                <c:pt idx="0">
                  <c:v>实有人数</c:v>
                </c:pt>
              </c:strCache>
            </c:strRef>
          </c:tx>
          <c:spPr>
            <a:solidFill>
              <a:schemeClr val="accent2"/>
            </a:solidFill>
            <a:ln>
              <a:noFill/>
            </a:ln>
            <a:effectLst/>
          </c:spPr>
          <c:invertIfNegative val="0"/>
          <c:dLbls>
            <c:delete val="1"/>
          </c:dLbls>
          <c:cat>
            <c:strRef>
              <c:f>Sheet1!$A$2:$A$3</c:f>
              <c:strCache>
                <c:ptCount val="2"/>
                <c:pt idx="0">
                  <c:v>顺陵文管所</c:v>
                </c:pt>
                <c:pt idx="1">
                  <c:v>北杜文管所</c:v>
                </c:pt>
              </c:strCache>
            </c:strRef>
          </c:cat>
          <c:val>
            <c:numRef>
              <c:f>Sheet1!$C$2:$C$3</c:f>
              <c:numCache>
                <c:formatCode>General</c:formatCode>
                <c:ptCount val="2"/>
                <c:pt idx="0">
                  <c:v>13</c:v>
                </c:pt>
                <c:pt idx="1">
                  <c:v>9</c:v>
                </c:pt>
              </c:numCache>
            </c:numRef>
          </c:val>
        </c:ser>
        <c:dLbls>
          <c:showLegendKey val="0"/>
          <c:showVal val="0"/>
          <c:showCatName val="0"/>
          <c:showSerName val="0"/>
          <c:showPercent val="0"/>
          <c:showBubbleSize val="0"/>
        </c:dLbls>
        <c:gapWidth val="219"/>
        <c:overlap val="-27"/>
        <c:axId val="483826120"/>
        <c:axId val="196072496"/>
      </c:barChart>
      <c:catAx>
        <c:axId val="48382612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6072496"/>
        <c:crosses val="autoZero"/>
        <c:auto val="1"/>
        <c:lblAlgn val="ctr"/>
        <c:lblOffset val="100"/>
        <c:noMultiLvlLbl val="0"/>
      </c:catAx>
      <c:valAx>
        <c:axId val="19607249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382612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金额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dLblPos val="bestFit"/>
              <c:showLegendKey val="0"/>
              <c:showVal val="1"/>
              <c:showCatName val="0"/>
              <c:showSerName val="0"/>
              <c:showPercent val="0"/>
              <c:showBubbleSize val="0"/>
              <c:extLst>
                <c:ext xmlns:c15="http://schemas.microsoft.com/office/drawing/2012/chart" uri="{CE6537A1-D6FC-4f65-9D91-7224C49458BB}"/>
              </c:extLst>
            </c:dLbl>
            <c:dLbl>
              <c:idx val="1"/>
              <c:layout/>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0.00%</c:formatCode>
                <c:ptCount val="2"/>
                <c:pt idx="0">
                  <c:v>0.975</c:v>
                </c:pt>
                <c:pt idx="1">
                  <c:v>0.025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323</Words>
  <Characters>1842</Characters>
  <Lines>15</Lines>
  <Paragraphs>4</Paragraphs>
  <TotalTime>2</TotalTime>
  <ScaleCrop>false</ScaleCrop>
  <LinksUpToDate>false</LinksUpToDate>
  <CharactersWithSpaces>2161</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2018-01-17T10:25:00Z</dcterms:created>
  <dc:creator>郭超(拟稿)</dc:creator>
  <cp:lastModifiedBy>Bluer</cp:lastModifiedBy>
  <cp:lastPrinted>2019-09-17T06:27:00Z</cp:lastPrinted>
  <dcterms:modified xsi:type="dcterms:W3CDTF">2019-11-20T09:22:40Z</dcterms:modified>
  <dc:title>附件1</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