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880" w:firstLineChars="200"/>
        <w:jc w:val="center"/>
        <w:rPr>
          <w:rFonts w:hint="eastAsia" w:ascii="方正小标宋_GBK" w:hAnsi="方正小标宋_GBK" w:eastAsia="方正小标宋_GBK" w:cs="方正小标宋_GBK"/>
          <w:color w:val="000000"/>
          <w:sz w:val="44"/>
          <w:szCs w:val="44"/>
          <w:shd w:val="clear" w:color="auto" w:fill="FFFFFF"/>
          <w:lang w:eastAsia="zh-CN"/>
        </w:rPr>
      </w:pPr>
      <w:r>
        <w:rPr>
          <w:rFonts w:hint="eastAsia" w:ascii="方正小标宋_GBK" w:hAnsi="方正小标宋_GBK" w:eastAsia="方正小标宋_GBK" w:cs="方正小标宋_GBK"/>
          <w:color w:val="000000"/>
          <w:sz w:val="44"/>
          <w:szCs w:val="44"/>
          <w:shd w:val="clear" w:color="auto" w:fill="FFFFFF"/>
          <w:lang w:val="en-US" w:eastAsia="zh-CN"/>
        </w:rPr>
        <w:t>西咸新区空港新城实行</w:t>
      </w:r>
      <w:r>
        <w:rPr>
          <w:rFonts w:hint="eastAsia" w:ascii="方正小标宋_GBK" w:hAnsi="方正小标宋_GBK" w:eastAsia="方正小标宋_GBK" w:cs="方正小标宋_GBK"/>
          <w:color w:val="000000"/>
          <w:sz w:val="44"/>
          <w:szCs w:val="44"/>
          <w:shd w:val="clear" w:color="auto" w:fill="FFFFFF"/>
        </w:rPr>
        <w:t>告知承诺制证明事项</w:t>
      </w:r>
      <w:r>
        <w:rPr>
          <w:rFonts w:hint="eastAsia" w:ascii="方正小标宋_GBK" w:hAnsi="方正小标宋_GBK" w:eastAsia="方正小标宋_GBK" w:cs="方正小标宋_GBK"/>
          <w:color w:val="000000"/>
          <w:sz w:val="44"/>
          <w:szCs w:val="44"/>
          <w:shd w:val="clear" w:color="auto" w:fill="FFFFFF"/>
          <w:lang w:eastAsia="zh-CN"/>
        </w:rPr>
        <w:t>清单</w:t>
      </w:r>
    </w:p>
    <w:p>
      <w:pPr>
        <w:pStyle w:val="2"/>
        <w:snapToGrid w:val="0"/>
        <w:rPr>
          <w:rFonts w:hint="eastAsia" w:ascii="黑体" w:hAnsi="黑体" w:eastAsia="黑体" w:cs="黑体"/>
          <w:sz w:val="30"/>
          <w:szCs w:val="30"/>
        </w:rPr>
      </w:pPr>
      <w:r>
        <w:rPr>
          <w:rFonts w:hint="eastAsia" w:ascii="方正仿宋_GBK" w:hAnsi="方正仿宋_GBK" w:eastAsia="方正仿宋_GBK" w:cs="方正仿宋_GBK"/>
          <w:sz w:val="30"/>
          <w:szCs w:val="30"/>
        </w:rPr>
        <w:t xml:space="preserve"> </w:t>
      </w:r>
      <w:r>
        <w:rPr>
          <w:rFonts w:hint="eastAsia" w:ascii="黑体" w:hAnsi="黑体" w:eastAsia="黑体" w:cs="黑体"/>
          <w:sz w:val="30"/>
          <w:szCs w:val="30"/>
        </w:rPr>
        <w:t xml:space="preserve"> </w:t>
      </w:r>
    </w:p>
    <w:p>
      <w:pPr>
        <w:rPr>
          <w:rFonts w:hint="eastAsia"/>
        </w:rPr>
      </w:pPr>
    </w:p>
    <w:tbl>
      <w:tblPr>
        <w:tblStyle w:val="7"/>
        <w:tblW w:w="13675" w:type="dxa"/>
        <w:tblInd w:w="91" w:type="dxa"/>
        <w:shd w:val="clear" w:color="auto" w:fill="auto"/>
        <w:tblLayout w:type="fixed"/>
        <w:tblCellMar>
          <w:top w:w="0" w:type="dxa"/>
          <w:left w:w="108" w:type="dxa"/>
          <w:bottom w:w="0" w:type="dxa"/>
          <w:right w:w="108" w:type="dxa"/>
        </w:tblCellMar>
      </w:tblPr>
      <w:tblGrid>
        <w:gridCol w:w="765"/>
        <w:gridCol w:w="1285"/>
        <w:gridCol w:w="1275"/>
        <w:gridCol w:w="6270"/>
        <w:gridCol w:w="1965"/>
        <w:gridCol w:w="1260"/>
        <w:gridCol w:w="855"/>
      </w:tblGrid>
      <w:tr>
        <w:tblPrEx>
          <w:shd w:val="clear" w:color="auto" w:fill="auto"/>
          <w:tblCellMar>
            <w:top w:w="0" w:type="dxa"/>
            <w:left w:w="108" w:type="dxa"/>
            <w:bottom w:w="0" w:type="dxa"/>
            <w:right w:w="108" w:type="dxa"/>
          </w:tblCellMar>
        </w:tblPrEx>
        <w:trPr>
          <w:trHeight w:val="623"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220" w:hanging="241" w:hangingChars="100"/>
              <w:jc w:val="center"/>
              <w:textAlignment w:val="center"/>
              <w:rPr>
                <w:rFonts w:hint="eastAsia" w:asciiTheme="majorEastAsia" w:hAnsiTheme="majorEastAsia" w:eastAsiaTheme="majorEastAsia" w:cstheme="majorEastAsia"/>
                <w:b/>
                <w:bCs/>
                <w:i w:val="0"/>
                <w:iCs w:val="0"/>
                <w:color w:val="000000"/>
                <w:sz w:val="24"/>
                <w:szCs w:val="24"/>
                <w:u w:val="none"/>
              </w:rPr>
            </w:pPr>
            <w:r>
              <w:rPr>
                <w:rFonts w:hint="eastAsia" w:asciiTheme="majorEastAsia" w:hAnsiTheme="majorEastAsia" w:eastAsiaTheme="majorEastAsia" w:cstheme="majorEastAsia"/>
                <w:b/>
                <w:bCs/>
                <w:i w:val="0"/>
                <w:iCs w:val="0"/>
                <w:color w:val="000000"/>
                <w:kern w:val="0"/>
                <w:sz w:val="24"/>
                <w:szCs w:val="24"/>
                <w:u w:val="none"/>
                <w:lang w:val="en-US" w:eastAsia="zh-CN" w:bidi="ar"/>
              </w:rPr>
              <w:t>序号</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220" w:hanging="241" w:hangingChars="100"/>
              <w:jc w:val="center"/>
              <w:textAlignment w:val="center"/>
              <w:rPr>
                <w:rFonts w:hint="eastAsia" w:asciiTheme="majorEastAsia" w:hAnsiTheme="majorEastAsia" w:eastAsiaTheme="majorEastAsia" w:cstheme="majorEastAsia"/>
                <w:b/>
                <w:bCs/>
                <w:i w:val="0"/>
                <w:iCs w:val="0"/>
                <w:color w:val="000000"/>
                <w:sz w:val="24"/>
                <w:szCs w:val="24"/>
                <w:u w:val="none"/>
              </w:rPr>
            </w:pPr>
            <w:r>
              <w:rPr>
                <w:rFonts w:hint="eastAsia" w:asciiTheme="majorEastAsia" w:hAnsiTheme="majorEastAsia" w:eastAsiaTheme="majorEastAsia" w:cstheme="majorEastAsia"/>
                <w:b/>
                <w:bCs/>
                <w:i w:val="0"/>
                <w:iCs w:val="0"/>
                <w:color w:val="000000"/>
                <w:kern w:val="0"/>
                <w:sz w:val="24"/>
                <w:szCs w:val="24"/>
                <w:u w:val="none"/>
                <w:lang w:val="en-US" w:eastAsia="zh-CN" w:bidi="ar"/>
              </w:rPr>
              <w:t>办理单位</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000000"/>
                <w:sz w:val="24"/>
                <w:szCs w:val="24"/>
                <w:u w:val="none"/>
              </w:rPr>
            </w:pPr>
            <w:r>
              <w:rPr>
                <w:rFonts w:hint="eastAsia" w:asciiTheme="majorEastAsia" w:hAnsiTheme="majorEastAsia" w:eastAsiaTheme="majorEastAsia" w:cstheme="majorEastAsia"/>
                <w:b/>
                <w:bCs/>
                <w:i w:val="0"/>
                <w:iCs w:val="0"/>
                <w:color w:val="000000"/>
                <w:kern w:val="0"/>
                <w:sz w:val="24"/>
                <w:szCs w:val="24"/>
                <w:u w:val="none"/>
                <w:lang w:val="en-US" w:eastAsia="zh-CN" w:bidi="ar"/>
              </w:rPr>
              <w:t>政务服务事项名称</w:t>
            </w:r>
          </w:p>
        </w:tc>
        <w:tc>
          <w:tcPr>
            <w:tcW w:w="62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000000"/>
                <w:sz w:val="24"/>
                <w:szCs w:val="24"/>
                <w:u w:val="none"/>
              </w:rPr>
            </w:pPr>
            <w:r>
              <w:rPr>
                <w:rFonts w:hint="eastAsia" w:asciiTheme="majorEastAsia" w:hAnsiTheme="majorEastAsia" w:eastAsiaTheme="majorEastAsia" w:cstheme="majorEastAsia"/>
                <w:b/>
                <w:bCs/>
                <w:i w:val="0"/>
                <w:iCs w:val="0"/>
                <w:color w:val="000000"/>
                <w:kern w:val="0"/>
                <w:sz w:val="24"/>
                <w:szCs w:val="24"/>
                <w:u w:val="none"/>
                <w:lang w:val="en-US" w:eastAsia="zh-CN" w:bidi="ar"/>
              </w:rPr>
              <w:t>设定依据</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000000"/>
                <w:sz w:val="24"/>
                <w:szCs w:val="24"/>
                <w:u w:val="none"/>
              </w:rPr>
            </w:pPr>
            <w:r>
              <w:rPr>
                <w:rFonts w:hint="eastAsia" w:asciiTheme="majorEastAsia" w:hAnsiTheme="majorEastAsia" w:eastAsiaTheme="majorEastAsia" w:cstheme="majorEastAsia"/>
                <w:b/>
                <w:bCs/>
                <w:i w:val="0"/>
                <w:iCs w:val="0"/>
                <w:color w:val="000000"/>
                <w:kern w:val="0"/>
                <w:sz w:val="24"/>
                <w:szCs w:val="24"/>
                <w:u w:val="none"/>
                <w:lang w:val="en-US" w:eastAsia="zh-CN" w:bidi="ar"/>
              </w:rPr>
              <w:t>实行告知承诺制的证明材料</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000000"/>
                <w:sz w:val="24"/>
                <w:szCs w:val="24"/>
                <w:u w:val="none"/>
              </w:rPr>
            </w:pPr>
            <w:r>
              <w:rPr>
                <w:rFonts w:hint="eastAsia" w:asciiTheme="majorEastAsia" w:hAnsiTheme="majorEastAsia" w:eastAsiaTheme="majorEastAsia" w:cstheme="majorEastAsia"/>
                <w:b/>
                <w:bCs/>
                <w:i w:val="0"/>
                <w:iCs w:val="0"/>
                <w:color w:val="000000"/>
                <w:kern w:val="0"/>
                <w:sz w:val="24"/>
                <w:szCs w:val="24"/>
                <w:u w:val="none"/>
                <w:lang w:val="en-US" w:eastAsia="zh-CN" w:bidi="ar"/>
              </w:rPr>
              <w:t>开具单位</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000000"/>
                <w:sz w:val="24"/>
                <w:szCs w:val="24"/>
                <w:u w:val="none"/>
              </w:rPr>
            </w:pPr>
            <w:r>
              <w:rPr>
                <w:rFonts w:hint="eastAsia" w:asciiTheme="majorEastAsia" w:hAnsiTheme="majorEastAsia" w:eastAsiaTheme="majorEastAsia" w:cstheme="majorEastAsia"/>
                <w:b/>
                <w:bCs/>
                <w:i w:val="0"/>
                <w:iCs w:val="0"/>
                <w:color w:val="000000"/>
                <w:kern w:val="0"/>
                <w:sz w:val="24"/>
                <w:szCs w:val="24"/>
                <w:u w:val="none"/>
                <w:lang w:val="en-US" w:eastAsia="zh-CN" w:bidi="ar"/>
              </w:rPr>
              <w:t>备注</w:t>
            </w:r>
          </w:p>
        </w:tc>
      </w:tr>
      <w:tr>
        <w:tblPrEx>
          <w:tblCellMar>
            <w:top w:w="0" w:type="dxa"/>
            <w:left w:w="108" w:type="dxa"/>
            <w:bottom w:w="0" w:type="dxa"/>
            <w:right w:w="108" w:type="dxa"/>
          </w:tblCellMar>
        </w:tblPrEx>
        <w:trPr>
          <w:trHeight w:val="128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行政</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审批局</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sz w:val="24"/>
                <w:szCs w:val="24"/>
              </w:rPr>
              <w:t xml:space="preserve">民办学校办学许可证 </w:t>
            </w:r>
          </w:p>
        </w:tc>
        <w:tc>
          <w:tcPr>
            <w:tcW w:w="627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hanging="8"/>
              <w:jc w:val="both"/>
              <w:rPr>
                <w:rFonts w:hint="eastAsia" w:ascii="仿宋" w:hAnsi="仿宋" w:eastAsia="仿宋" w:cs="仿宋"/>
                <w:i w:val="0"/>
                <w:iCs w:val="0"/>
                <w:color w:val="000000"/>
                <w:sz w:val="24"/>
                <w:szCs w:val="24"/>
                <w:u w:val="none"/>
              </w:rPr>
            </w:pPr>
            <w:r>
              <w:rPr>
                <w:rFonts w:hint="eastAsia" w:ascii="仿宋" w:hAnsi="仿宋" w:eastAsia="仿宋" w:cs="仿宋"/>
                <w:sz w:val="24"/>
                <w:szCs w:val="24"/>
              </w:rPr>
              <w:t>《中华人民共和国民办教育促进法》第十条 举办民办学校的社会组织，应当具有法人资格。举办民办学校的个人，应当具有政治权利和完全民事行为能力。民办学校应当具备法人条件。</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sz w:val="24"/>
                <w:szCs w:val="24"/>
              </w:rPr>
              <w:t xml:space="preserve">无犯罪记录证明、完全民事行为能力证明材料 </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298" w:leftChars="-93" w:firstLine="300" w:firstLineChars="125"/>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sz w:val="24"/>
                <w:szCs w:val="24"/>
              </w:rPr>
              <w:t>公安部门</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0"/>
                <w:szCs w:val="20"/>
                <w:u w:val="none"/>
              </w:rPr>
            </w:pPr>
          </w:p>
        </w:tc>
      </w:tr>
      <w:tr>
        <w:tblPrEx>
          <w:tblCellMar>
            <w:top w:w="0" w:type="dxa"/>
            <w:left w:w="108" w:type="dxa"/>
            <w:bottom w:w="0" w:type="dxa"/>
            <w:right w:w="108" w:type="dxa"/>
          </w:tblCellMar>
        </w:tblPrEx>
        <w:trPr>
          <w:trHeight w:val="174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tabs>
                <w:tab w:val="left" w:pos="277"/>
              </w:tabs>
              <w:ind w:right="-208" w:rightChars="-65"/>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行政</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审批局</w:t>
            </w:r>
            <w:r>
              <w:rPr>
                <w:rFonts w:hint="eastAsia" w:ascii="仿宋" w:hAnsi="仿宋" w:eastAsia="仿宋" w:cs="仿宋"/>
                <w:i w:val="0"/>
                <w:iCs w:val="0"/>
                <w:color w:val="000000"/>
                <w:kern w:val="0"/>
                <w:sz w:val="24"/>
                <w:szCs w:val="24"/>
                <w:u w:val="none"/>
                <w:lang w:val="en-US" w:eastAsia="zh-CN" w:bidi="ar"/>
              </w:rPr>
              <w:tab/>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仿宋" w:hAnsi="仿宋" w:eastAsia="仿宋" w:cs="仿宋"/>
                <w:sz w:val="24"/>
                <w:szCs w:val="24"/>
              </w:rPr>
            </w:pPr>
            <w:r>
              <w:rPr>
                <w:rFonts w:hint="eastAsia" w:ascii="仿宋" w:hAnsi="仿宋" w:eastAsia="仿宋" w:cs="仿宋"/>
                <w:sz w:val="24"/>
                <w:szCs w:val="24"/>
              </w:rPr>
              <w:t>取水</w:t>
            </w:r>
          </w:p>
          <w:p>
            <w:pPr>
              <w:keepNext w:val="0"/>
              <w:keepLines w:val="0"/>
              <w:widowControl/>
              <w:suppressLineNumbers w:val="0"/>
              <w:jc w:val="both"/>
              <w:textAlignment w:val="center"/>
              <w:rPr>
                <w:rFonts w:hint="eastAsia" w:ascii="仿宋" w:hAnsi="仿宋" w:eastAsia="仿宋" w:cs="仿宋"/>
                <w:sz w:val="24"/>
                <w:szCs w:val="24"/>
              </w:rPr>
            </w:pPr>
            <w:r>
              <w:rPr>
                <w:rFonts w:hint="eastAsia" w:ascii="仿宋" w:hAnsi="仿宋" w:eastAsia="仿宋" w:cs="仿宋"/>
                <w:sz w:val="24"/>
                <w:szCs w:val="24"/>
              </w:rPr>
              <w:t>许可</w:t>
            </w:r>
          </w:p>
        </w:tc>
        <w:tc>
          <w:tcPr>
            <w:tcW w:w="627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firstLine="480" w:firstLineChars="0"/>
              <w:jc w:val="both"/>
              <w:rPr>
                <w:rFonts w:hint="eastAsia" w:ascii="仿宋" w:hAnsi="仿宋" w:eastAsia="仿宋" w:cs="仿宋"/>
                <w:sz w:val="24"/>
                <w:szCs w:val="24"/>
              </w:rPr>
            </w:pPr>
            <w:r>
              <w:rPr>
                <w:rFonts w:hint="eastAsia" w:ascii="仿宋" w:hAnsi="仿宋" w:eastAsia="仿宋" w:cs="仿宋"/>
                <w:sz w:val="24"/>
                <w:szCs w:val="24"/>
              </w:rPr>
              <w:t>1、《取水许可与水资源费征收管理条例》第十一条：申请取水应当提交下列材料：（一）申请书；（二）与第三者利害关系的相关说明；（三）属于备案项目的，提供有关备案材料；（四）国务院水行政主管部门规定的其他材料。建设项目需要取水的，申请人还应当提交建设项目水资源论证报告书。论证报告书应当包括取水水源、用水合理性以及对生态与环境的影响等内容。</w:t>
            </w:r>
            <w:r>
              <w:rPr>
                <w:rFonts w:hint="eastAsia" w:ascii="仿宋" w:hAnsi="仿宋" w:eastAsia="仿宋" w:cs="仿宋"/>
                <w:sz w:val="24"/>
                <w:szCs w:val="24"/>
              </w:rPr>
              <w:br w:type="page"/>
            </w:r>
            <w:r>
              <w:rPr>
                <w:rFonts w:hint="eastAsia" w:ascii="仿宋" w:hAnsi="仿宋" w:eastAsia="仿宋" w:cs="仿宋"/>
                <w:sz w:val="24"/>
                <w:szCs w:val="24"/>
              </w:rPr>
              <w:t>2、《取水许可管理办法》第十条《取水条例》第十一条第一款第四项所称的国务院水行政主管部门规定的其他材料包括：（一）取水单位或者个人的法定身份证明文件；（二）有利害关系第三者的承诺书或者其他文件；（三）建设项目水资源论证报告书的审查意见；（四）不需要编制建设项目水资源论证报告书的，应当提交建设项目水资源论证表；（五）利用已批准的入河排污口退水的，应当出具具有管辖权的县级以上地方人民政府水行政主管部门或者流域管理机构的同意文件。</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sz w:val="24"/>
                <w:szCs w:val="24"/>
                <w:lang w:val="en-US"/>
              </w:rPr>
              <w:t>证明退水的合法性和合理性</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sz w:val="24"/>
                <w:szCs w:val="24"/>
              </w:rPr>
            </w:pPr>
            <w:r>
              <w:rPr>
                <w:rFonts w:hint="eastAsia" w:ascii="仿宋" w:hAnsi="仿宋" w:eastAsia="仿宋" w:cs="仿宋"/>
                <w:sz w:val="24"/>
                <w:szCs w:val="24"/>
              </w:rPr>
              <w:t>生态环境局</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0"/>
                <w:szCs w:val="20"/>
                <w:u w:val="none"/>
              </w:rPr>
            </w:pPr>
          </w:p>
        </w:tc>
      </w:tr>
      <w:tr>
        <w:tblPrEx>
          <w:tblCellMar>
            <w:top w:w="0" w:type="dxa"/>
            <w:left w:w="108" w:type="dxa"/>
            <w:bottom w:w="0" w:type="dxa"/>
            <w:right w:w="108" w:type="dxa"/>
          </w:tblCellMar>
        </w:tblPrEx>
        <w:trPr>
          <w:trHeight w:val="81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sz w:val="24"/>
                <w:szCs w:val="24"/>
                <w:lang w:eastAsia="zh-CN"/>
              </w:rPr>
              <w:t>应急管理局</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sz w:val="24"/>
                <w:szCs w:val="24"/>
              </w:rPr>
              <w:t>非煤矿山建设项目安全设施设计审查时需提交</w:t>
            </w:r>
          </w:p>
        </w:tc>
        <w:tc>
          <w:tcPr>
            <w:tcW w:w="6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sz w:val="24"/>
                <w:szCs w:val="24"/>
              </w:rPr>
              <w:t>《建设项目安全设施“三同时”监督管理办法》（原国 家安全监管总局令第36号）第十二条第五项“建设项目 安全预评价报告及相关文件资料；”</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sz w:val="24"/>
                <w:szCs w:val="24"/>
                <w:lang w:val="en-US" w:eastAsia="zh-CN"/>
              </w:rPr>
              <w:t>非煤矿山建设项目安全预评价相关文件资料</w:t>
            </w:r>
            <w:r>
              <w:rPr>
                <w:rFonts w:hint="eastAsia" w:ascii="仿宋" w:hAnsi="仿宋" w:eastAsia="仿宋" w:cs="仿宋"/>
                <w:sz w:val="24"/>
                <w:szCs w:val="24"/>
              </w:rPr>
              <w:t xml:space="preserve"> </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sz w:val="24"/>
                <w:szCs w:val="24"/>
                <w:lang w:val="en-US" w:eastAsia="zh-CN"/>
              </w:rPr>
              <w:t>具有资质的安全评价机构</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0"/>
                <w:szCs w:val="20"/>
                <w:u w:val="none"/>
              </w:rPr>
            </w:pPr>
          </w:p>
        </w:tc>
      </w:tr>
      <w:tr>
        <w:tblPrEx>
          <w:tblCellMar>
            <w:top w:w="0" w:type="dxa"/>
            <w:left w:w="108" w:type="dxa"/>
            <w:bottom w:w="0" w:type="dxa"/>
            <w:right w:w="108" w:type="dxa"/>
          </w:tblCellMar>
        </w:tblPrEx>
        <w:trPr>
          <w:trHeight w:val="78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4</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lang w:eastAsia="zh-CN"/>
              </w:rPr>
            </w:pPr>
            <w:r>
              <w:rPr>
                <w:rFonts w:hint="eastAsia" w:ascii="仿宋" w:hAnsi="仿宋" w:eastAsia="仿宋" w:cs="仿宋"/>
                <w:i w:val="0"/>
                <w:iCs w:val="0"/>
                <w:color w:val="000000"/>
                <w:sz w:val="24"/>
                <w:szCs w:val="24"/>
                <w:u w:val="none"/>
                <w:lang w:eastAsia="zh-CN"/>
              </w:rPr>
              <w:t>政法工作部</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r>
              <w:rPr>
                <w:rFonts w:hint="eastAsia" w:ascii="仿宋" w:hAnsi="仿宋" w:eastAsia="仿宋" w:cs="仿宋"/>
                <w:sz w:val="24"/>
                <w:szCs w:val="24"/>
              </w:rPr>
              <w:t>基层法律服务工作者执业许可</w:t>
            </w:r>
          </w:p>
        </w:tc>
        <w:tc>
          <w:tcPr>
            <w:tcW w:w="62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lang w:eastAsia="zh-CN"/>
              </w:rPr>
            </w:pPr>
            <w:r>
              <w:rPr>
                <w:rFonts w:hint="eastAsia" w:ascii="仿宋" w:hAnsi="仿宋" w:eastAsia="仿宋" w:cs="仿宋"/>
                <w:sz w:val="24"/>
                <w:szCs w:val="24"/>
              </w:rPr>
              <w:t xml:space="preserve">《国务院对确需保留的行政审批项目设定行政许可的决定》（2004年6月29日国务院令第412号,2009年1月29日予以修改）附件第75项：基层法律服务工作者执业核准。实施机关：省级或其授权的下一级人民政府司法行政主管部门。 《国务院关于第六批取消和调整行政审批项目的决定》（国发〔2012〕52号）第10项：基层法律服务工作者执业核准，下放至设区的市级人民政府司法行政部门。 </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sz w:val="24"/>
                <w:szCs w:val="24"/>
              </w:rPr>
              <w:t>基层法律服务所同意接收申请人的证明</w:t>
            </w:r>
            <w:r>
              <w:rPr>
                <w:rFonts w:hint="eastAsia" w:ascii="仿宋" w:hAnsi="仿宋" w:eastAsia="仿宋" w:cs="仿宋"/>
                <w:sz w:val="24"/>
                <w:szCs w:val="24"/>
                <w:lang w:eastAsia="zh-CN"/>
              </w:rPr>
              <w:t>材料</w:t>
            </w:r>
            <w:r>
              <w:rPr>
                <w:rFonts w:hint="eastAsia" w:ascii="仿宋" w:hAnsi="仿宋" w:eastAsia="仿宋" w:cs="仿宋"/>
                <w:sz w:val="24"/>
                <w:szCs w:val="24"/>
              </w:rPr>
              <w:t xml:space="preserve"> </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24"/>
                <w:szCs w:val="24"/>
                <w:u w:val="none"/>
              </w:rPr>
            </w:pPr>
            <w:r>
              <w:rPr>
                <w:rFonts w:hint="eastAsia" w:ascii="仿宋" w:hAnsi="仿宋" w:eastAsia="仿宋" w:cs="仿宋"/>
                <w:sz w:val="24"/>
                <w:szCs w:val="24"/>
              </w:rPr>
              <w:t>基层法律服务所</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0"/>
                <w:szCs w:val="20"/>
                <w:u w:val="none"/>
              </w:rPr>
            </w:pPr>
          </w:p>
        </w:tc>
      </w:tr>
      <w:tr>
        <w:tblPrEx>
          <w:tblCellMar>
            <w:top w:w="0" w:type="dxa"/>
            <w:left w:w="108" w:type="dxa"/>
            <w:bottom w:w="0" w:type="dxa"/>
            <w:right w:w="108" w:type="dxa"/>
          </w:tblCellMar>
        </w:tblPrEx>
        <w:trPr>
          <w:trHeight w:val="78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5</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sz w:val="24"/>
                <w:szCs w:val="24"/>
                <w:lang w:val="en-US" w:eastAsia="zh-CN"/>
              </w:rPr>
              <w:t>人社民政局</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sz w:val="24"/>
                <w:szCs w:val="24"/>
                <w:lang w:eastAsia="zh-CN"/>
              </w:rPr>
              <w:t>工伤认定</w:t>
            </w:r>
          </w:p>
        </w:tc>
        <w:tc>
          <w:tcPr>
            <w:tcW w:w="627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hanging="8" w:firstLineChars="0"/>
              <w:jc w:val="both"/>
              <w:rPr>
                <w:rFonts w:hint="eastAsia" w:ascii="仿宋" w:hAnsi="仿宋" w:eastAsia="仿宋" w:cs="仿宋"/>
                <w:sz w:val="24"/>
                <w:szCs w:val="24"/>
                <w:lang w:val="en-US" w:eastAsia="zh-CN"/>
              </w:rPr>
            </w:pPr>
            <w:r>
              <w:rPr>
                <w:rFonts w:hint="eastAsia" w:ascii="仿宋" w:hAnsi="仿宋" w:eastAsia="仿宋" w:cs="仿宋"/>
                <w:i w:val="0"/>
                <w:iCs w:val="0"/>
                <w:color w:val="000000"/>
                <w:sz w:val="24"/>
                <w:szCs w:val="24"/>
                <w:u w:val="none"/>
                <w:lang w:eastAsia="zh-CN"/>
              </w:rPr>
              <w:tab/>
            </w:r>
            <w:r>
              <w:rPr>
                <w:rFonts w:hint="eastAsia" w:ascii="仿宋" w:hAnsi="仿宋" w:eastAsia="仿宋" w:cs="仿宋"/>
                <w:sz w:val="24"/>
                <w:szCs w:val="24"/>
                <w:lang w:val="en-US" w:eastAsia="zh-CN"/>
              </w:rPr>
              <w:t>1.《工伤保险条例》 第五条</w:t>
            </w:r>
          </w:p>
          <w:p>
            <w:pPr>
              <w:tabs>
                <w:tab w:val="left" w:pos="575"/>
              </w:tabs>
              <w:jc w:val="left"/>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sz w:val="24"/>
                <w:szCs w:val="24"/>
                <w:lang w:val="en-US" w:eastAsia="zh-CN"/>
              </w:rPr>
              <w:t>2.《关于工伤认定事权调整有关工作的通知》 陕西咸人社民发〔2018〕144号</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hanging="8" w:firstLineChars="0"/>
              <w:jc w:val="both"/>
              <w:rPr>
                <w:rFonts w:hint="eastAsia" w:ascii="仿宋" w:hAnsi="仿宋" w:eastAsia="仿宋" w:cs="仿宋"/>
                <w:sz w:val="24"/>
                <w:szCs w:val="24"/>
                <w:lang w:eastAsia="zh-CN"/>
              </w:rPr>
            </w:pPr>
            <w:r>
              <w:rPr>
                <w:rFonts w:hint="eastAsia" w:ascii="仿宋" w:hAnsi="仿宋" w:eastAsia="仿宋" w:cs="仿宋"/>
                <w:sz w:val="24"/>
                <w:szCs w:val="24"/>
                <w:lang w:val="en-US" w:eastAsia="zh-CN"/>
              </w:rPr>
              <w:t>1.与用人单位存在劳动关系（包括事实劳动关系）的证明材料；</w:t>
            </w:r>
          </w:p>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sz w:val="24"/>
                <w:szCs w:val="24"/>
                <w:lang w:val="en-US" w:eastAsia="zh-CN"/>
              </w:rPr>
              <w:t>2.医疗诊断证明或者职业病诊断证明书（或者职业病诊断鉴定书）。</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24"/>
                <w:szCs w:val="24"/>
                <w:u w:val="none"/>
                <w:lang w:eastAsia="zh-CN"/>
              </w:rPr>
            </w:pPr>
            <w:r>
              <w:rPr>
                <w:rFonts w:hint="eastAsia" w:ascii="仿宋" w:hAnsi="仿宋" w:eastAsia="仿宋" w:cs="仿宋"/>
                <w:i w:val="0"/>
                <w:iCs w:val="0"/>
                <w:color w:val="000000"/>
                <w:sz w:val="24"/>
                <w:szCs w:val="24"/>
                <w:u w:val="none"/>
                <w:lang w:eastAsia="zh-CN"/>
              </w:rPr>
              <w:t>人社民政局；所在单位；医疗机构</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0"/>
                <w:szCs w:val="20"/>
                <w:u w:val="none"/>
              </w:rPr>
            </w:pPr>
          </w:p>
        </w:tc>
      </w:tr>
      <w:tr>
        <w:tblPrEx>
          <w:tblCellMar>
            <w:top w:w="0" w:type="dxa"/>
            <w:left w:w="108" w:type="dxa"/>
            <w:bottom w:w="0" w:type="dxa"/>
            <w:right w:w="108" w:type="dxa"/>
          </w:tblCellMar>
        </w:tblPrEx>
        <w:trPr>
          <w:trHeight w:val="159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6</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sz w:val="24"/>
                <w:szCs w:val="24"/>
                <w:u w:val="none"/>
              </w:rPr>
              <w:t>自然资源和规划局</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sz w:val="24"/>
                <w:szCs w:val="24"/>
                <w:u w:val="none"/>
              </w:rPr>
              <w:t>国有企业改制土地使用权处置方案审批</w:t>
            </w:r>
          </w:p>
        </w:tc>
        <w:tc>
          <w:tcPr>
            <w:tcW w:w="62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sz w:val="24"/>
                <w:szCs w:val="24"/>
                <w:u w:val="none"/>
              </w:rPr>
              <w:t>《国有企业改革中划拨土地使用权管理暂行规定》(原国家土地管理局令(1998)第8号)和国土资源部《关于加强土地资产管理促进国有企业改革和发展的若干意见》(国土资发[1999]433号)等。</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tabs>
                <w:tab w:val="left" w:pos="1132"/>
              </w:tabs>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《不动产权证》或权属证明材料</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bidi w:val="0"/>
              <w:jc w:val="left"/>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自然资源和规划部门</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0"/>
                <w:szCs w:val="20"/>
                <w:u w:val="none"/>
              </w:rPr>
            </w:pPr>
          </w:p>
        </w:tc>
      </w:tr>
      <w:tr>
        <w:tblPrEx>
          <w:tblCellMar>
            <w:top w:w="0" w:type="dxa"/>
            <w:left w:w="108" w:type="dxa"/>
            <w:bottom w:w="0" w:type="dxa"/>
            <w:right w:w="108" w:type="dxa"/>
          </w:tblCellMar>
        </w:tblPrEx>
        <w:trPr>
          <w:trHeight w:val="125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7</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line="390" w:lineRule="atLeast"/>
              <w:ind w:left="0" w:leftChars="0" w:right="0" w:rightChars="0"/>
              <w:jc w:val="left"/>
              <w:rPr>
                <w:rFonts w:hint="eastAsia" w:ascii="仿宋" w:hAnsi="仿宋" w:eastAsia="仿宋" w:cs="仿宋"/>
                <w:i w:val="0"/>
                <w:iCs w:val="0"/>
                <w:caps w:val="0"/>
                <w:color w:val="191919"/>
                <w:spacing w:val="0"/>
                <w:kern w:val="0"/>
                <w:sz w:val="24"/>
                <w:szCs w:val="24"/>
                <w:lang w:val="en-US" w:eastAsia="zh-CN" w:bidi="ar-SA"/>
              </w:rPr>
            </w:pPr>
            <w:r>
              <w:rPr>
                <w:rFonts w:hint="eastAsia" w:ascii="仿宋" w:hAnsi="仿宋" w:eastAsia="仿宋" w:cs="仿宋"/>
                <w:i w:val="0"/>
                <w:iCs w:val="0"/>
                <w:caps w:val="0"/>
                <w:color w:val="191919"/>
                <w:spacing w:val="0"/>
                <w:kern w:val="0"/>
                <w:sz w:val="24"/>
                <w:szCs w:val="24"/>
                <w:lang w:val="en-US" w:eastAsia="zh-CN" w:bidi="ar-SA"/>
              </w:rPr>
              <w:t>市场监督管理分局</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line="390" w:lineRule="atLeast"/>
              <w:ind w:left="0" w:leftChars="0" w:right="0" w:rightChars="0"/>
              <w:jc w:val="left"/>
              <w:rPr>
                <w:rFonts w:hint="eastAsia" w:ascii="仿宋" w:hAnsi="仿宋" w:eastAsia="仿宋" w:cs="仿宋"/>
                <w:kern w:val="0"/>
                <w:sz w:val="24"/>
                <w:szCs w:val="24"/>
                <w:lang w:val="zh-CN" w:eastAsia="zh-CN" w:bidi="zh-CN"/>
              </w:rPr>
            </w:pPr>
            <w:r>
              <w:rPr>
                <w:rFonts w:hint="eastAsia" w:ascii="仿宋" w:hAnsi="仿宋" w:eastAsia="仿宋" w:cs="仿宋"/>
                <w:kern w:val="0"/>
                <w:sz w:val="24"/>
                <w:szCs w:val="24"/>
                <w:lang w:val="zh-CN" w:eastAsia="zh-CN" w:bidi="zh-CN"/>
              </w:rPr>
              <w:t>公司设立登记</w:t>
            </w:r>
          </w:p>
        </w:tc>
        <w:tc>
          <w:tcPr>
            <w:tcW w:w="627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line="390" w:lineRule="atLeast"/>
              <w:ind w:left="0" w:leftChars="0" w:right="0" w:rightChars="0"/>
              <w:jc w:val="left"/>
              <w:rPr>
                <w:rFonts w:hint="eastAsia" w:ascii="仿宋" w:hAnsi="仿宋" w:eastAsia="仿宋" w:cs="仿宋"/>
                <w:i w:val="0"/>
                <w:iCs w:val="0"/>
                <w:caps w:val="0"/>
                <w:color w:val="191919"/>
                <w:spacing w:val="0"/>
                <w:kern w:val="0"/>
                <w:sz w:val="24"/>
                <w:szCs w:val="24"/>
                <w:lang w:val="en-US" w:eastAsia="zh-CN" w:bidi="ar-SA"/>
              </w:rPr>
            </w:pPr>
            <w:r>
              <w:rPr>
                <w:rFonts w:hint="eastAsia" w:ascii="仿宋" w:hAnsi="仿宋" w:eastAsia="仿宋" w:cs="仿宋"/>
                <w:i w:val="0"/>
                <w:iCs w:val="0"/>
                <w:caps w:val="0"/>
                <w:color w:val="191919"/>
                <w:spacing w:val="0"/>
                <w:sz w:val="24"/>
                <w:szCs w:val="24"/>
                <w:lang w:eastAsia="zh-CN"/>
              </w:rPr>
              <w:t>《企业登记管理条例》</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0"/>
              </w:numPr>
              <w:ind w:left="0" w:leftChars="0" w:firstLine="480" w:firstLineChars="200"/>
              <w:jc w:val="both"/>
              <w:rPr>
                <w:rFonts w:hint="eastAsia" w:ascii="仿宋" w:hAnsi="仿宋" w:eastAsia="仿宋" w:cs="仿宋"/>
                <w:kern w:val="0"/>
                <w:sz w:val="24"/>
                <w:szCs w:val="24"/>
                <w:lang w:val="en-US" w:eastAsia="zh-CN" w:bidi="zh-CN"/>
              </w:rPr>
            </w:pPr>
            <w:r>
              <w:rPr>
                <w:rFonts w:hint="eastAsia" w:ascii="仿宋" w:hAnsi="仿宋" w:eastAsia="仿宋" w:cs="仿宋"/>
                <w:kern w:val="0"/>
                <w:sz w:val="24"/>
                <w:szCs w:val="24"/>
                <w:lang w:val="zh-CN" w:eastAsia="zh-CN" w:bidi="zh-CN"/>
              </w:rPr>
              <w:t>住所证明</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0"/>
              </w:numPr>
              <w:ind w:left="0" w:leftChars="0" w:firstLine="0" w:firstLineChars="0"/>
              <w:jc w:val="left"/>
              <w:rPr>
                <w:rFonts w:hint="eastAsia" w:ascii="仿宋" w:hAnsi="仿宋" w:eastAsia="仿宋" w:cs="仿宋"/>
                <w:i w:val="0"/>
                <w:iCs w:val="0"/>
                <w:caps w:val="0"/>
                <w:color w:val="191919"/>
                <w:spacing w:val="0"/>
                <w:kern w:val="2"/>
                <w:sz w:val="24"/>
                <w:szCs w:val="24"/>
                <w:lang w:val="en-US" w:eastAsia="zh-CN" w:bidi="ar-SA"/>
              </w:rPr>
            </w:pPr>
            <w:r>
              <w:rPr>
                <w:rFonts w:hint="eastAsia" w:ascii="仿宋" w:hAnsi="仿宋" w:eastAsia="仿宋" w:cs="仿宋"/>
                <w:i w:val="0"/>
                <w:iCs w:val="0"/>
                <w:caps w:val="0"/>
                <w:color w:val="191919"/>
                <w:spacing w:val="0"/>
                <w:sz w:val="24"/>
                <w:szCs w:val="24"/>
                <w:lang w:eastAsia="zh-CN"/>
              </w:rPr>
              <w:t>房屋产权所有人</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574" w:leftChars="0" w:hanging="574" w:hangingChars="287"/>
              <w:jc w:val="center"/>
              <w:rPr>
                <w:rFonts w:hint="eastAsia" w:ascii="仿宋_GB2312" w:hAnsi="仿宋_GB2312" w:eastAsia="仿宋_GB2312" w:cs="仿宋_GB2312"/>
                <w:kern w:val="0"/>
                <w:sz w:val="20"/>
                <w:szCs w:val="20"/>
                <w:lang w:val="zh-CN" w:eastAsia="zh-CN" w:bidi="zh-CN"/>
              </w:rPr>
            </w:pPr>
          </w:p>
        </w:tc>
      </w:tr>
      <w:tr>
        <w:tblPrEx>
          <w:tblCellMar>
            <w:top w:w="0" w:type="dxa"/>
            <w:left w:w="108" w:type="dxa"/>
            <w:bottom w:w="0" w:type="dxa"/>
            <w:right w:w="108" w:type="dxa"/>
          </w:tblCellMar>
        </w:tblPrEx>
        <w:trPr>
          <w:trHeight w:val="345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8</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公安分局</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仿宋" w:hAnsi="仿宋" w:eastAsia="仿宋" w:cs="仿宋"/>
                <w:kern w:val="2"/>
                <w:sz w:val="24"/>
                <w:szCs w:val="24"/>
                <w:lang w:val="en-US" w:eastAsia="zh-CN" w:bidi="ar-SA"/>
              </w:rPr>
            </w:pP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特种行业</w:t>
            </w:r>
            <w:r>
              <w:rPr>
                <w:rFonts w:hint="eastAsia" w:ascii="仿宋" w:hAnsi="仿宋" w:eastAsia="仿宋" w:cs="仿宋"/>
                <w:sz w:val="24"/>
                <w:szCs w:val="24"/>
              </w:rPr>
              <w:t>许可证</w:t>
            </w:r>
            <w:r>
              <w:rPr>
                <w:rFonts w:hint="eastAsia" w:ascii="仿宋" w:hAnsi="仿宋" w:eastAsia="仿宋" w:cs="仿宋"/>
                <w:sz w:val="24"/>
                <w:szCs w:val="24"/>
                <w:lang w:eastAsia="zh-CN"/>
              </w:rPr>
              <w:t>核</w:t>
            </w:r>
            <w:r>
              <w:rPr>
                <w:rFonts w:hint="eastAsia" w:ascii="仿宋" w:hAnsi="仿宋" w:eastAsia="仿宋" w:cs="仿宋"/>
                <w:sz w:val="24"/>
                <w:szCs w:val="24"/>
              </w:rPr>
              <w:t xml:space="preserve">发  </w:t>
            </w:r>
          </w:p>
        </w:tc>
        <w:tc>
          <w:tcPr>
            <w:tcW w:w="627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hanging="8" w:firstLineChars="0"/>
              <w:jc w:val="both"/>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旅馆业治安管理办法</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国务院对确需保留的行政审批项目设定行政许可的决定</w:t>
            </w:r>
            <w:r>
              <w:rPr>
                <w:rFonts w:hint="eastAsia" w:ascii="仿宋" w:hAnsi="仿宋" w:eastAsia="仿宋" w:cs="仿宋"/>
                <w:sz w:val="24"/>
                <w:szCs w:val="24"/>
                <w:lang w:eastAsia="zh-CN"/>
              </w:rPr>
              <w:t>》；</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widowControl/>
              <w:suppressLineNumbers w:val="0"/>
              <w:rPr>
                <w:rFonts w:hint="eastAsia" w:ascii="仿宋" w:hAnsi="仿宋" w:eastAsia="仿宋" w:cs="仿宋"/>
                <w:sz w:val="24"/>
                <w:szCs w:val="24"/>
              </w:rPr>
            </w:pPr>
            <w:r>
              <w:rPr>
                <w:rFonts w:hint="eastAsia" w:ascii="仿宋" w:hAnsi="仿宋" w:eastAsia="仿宋" w:cs="仿宋"/>
                <w:sz w:val="24"/>
                <w:szCs w:val="24"/>
              </w:rPr>
              <w:t>申请单位上级主管机关的批复</w:t>
            </w:r>
            <w:r>
              <w:rPr>
                <w:rFonts w:hint="eastAsia" w:ascii="仿宋" w:hAnsi="仿宋" w:eastAsia="仿宋" w:cs="仿宋"/>
                <w:sz w:val="24"/>
                <w:szCs w:val="24"/>
                <w:lang w:eastAsia="zh-CN"/>
              </w:rPr>
              <w:t>；</w:t>
            </w:r>
            <w:r>
              <w:rPr>
                <w:rFonts w:hint="eastAsia" w:ascii="仿宋" w:hAnsi="仿宋" w:eastAsia="仿宋" w:cs="仿宋"/>
                <w:sz w:val="24"/>
                <w:szCs w:val="24"/>
              </w:rPr>
              <w:t>申请单位对于房屋享有所有权或者使用权的证明，房屋工程质量竣工核定书</w:t>
            </w:r>
            <w:r>
              <w:rPr>
                <w:rFonts w:hint="eastAsia" w:ascii="仿宋" w:hAnsi="仿宋" w:eastAsia="仿宋" w:cs="仿宋"/>
                <w:sz w:val="24"/>
                <w:szCs w:val="24"/>
                <w:lang w:eastAsia="zh-CN"/>
              </w:rPr>
              <w:t>；</w:t>
            </w:r>
            <w:r>
              <w:rPr>
                <w:rFonts w:hint="eastAsia" w:ascii="仿宋" w:hAnsi="仿宋" w:eastAsia="仿宋" w:cs="仿宋"/>
                <w:sz w:val="24"/>
                <w:szCs w:val="24"/>
              </w:rPr>
              <w:t>《消防鉴定书》</w:t>
            </w:r>
          </w:p>
          <w:p>
            <w:pPr>
              <w:ind w:firstLine="240" w:firstLineChars="100"/>
              <w:jc w:val="both"/>
              <w:rPr>
                <w:rFonts w:hint="eastAsia" w:ascii="仿宋" w:hAnsi="仿宋" w:eastAsia="仿宋" w:cs="仿宋"/>
                <w:kern w:val="2"/>
                <w:sz w:val="24"/>
                <w:szCs w:val="24"/>
                <w:lang w:val="en-US" w:eastAsia="zh-CN" w:bidi="ar-SA"/>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申请单位上级主管机关；消防部门开具的</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0"/>
                <w:szCs w:val="20"/>
                <w:u w:val="none"/>
              </w:rPr>
            </w:pPr>
          </w:p>
        </w:tc>
      </w:tr>
      <w:tr>
        <w:tblPrEx>
          <w:tblCellMar>
            <w:top w:w="0" w:type="dxa"/>
            <w:left w:w="108" w:type="dxa"/>
            <w:bottom w:w="0" w:type="dxa"/>
            <w:right w:w="108" w:type="dxa"/>
          </w:tblCellMar>
        </w:tblPrEx>
        <w:trPr>
          <w:trHeight w:val="1659"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9</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公安分局</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公章刻制业特种行业许可证核发</w:t>
            </w:r>
          </w:p>
        </w:tc>
        <w:tc>
          <w:tcPr>
            <w:tcW w:w="6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00"/>
              <w:jc w:val="left"/>
              <w:rPr>
                <w:rFonts w:hint="eastAsia" w:ascii="仿宋" w:hAnsi="仿宋" w:eastAsia="仿宋" w:cs="仿宋"/>
                <w:sz w:val="24"/>
                <w:szCs w:val="24"/>
              </w:rPr>
            </w:pPr>
            <w:r>
              <w:rPr>
                <w:rFonts w:hint="eastAsia" w:ascii="仿宋" w:hAnsi="仿宋" w:eastAsia="仿宋" w:cs="仿宋"/>
                <w:sz w:val="24"/>
                <w:szCs w:val="24"/>
                <w:lang w:eastAsia="zh-CN"/>
              </w:rPr>
              <w:t>《国务院对确需保留的行政审批项目设定行政许可的决定》</w:t>
            </w:r>
            <w:r>
              <w:rPr>
                <w:rFonts w:hint="eastAsia" w:ascii="仿宋" w:hAnsi="仿宋" w:eastAsia="仿宋" w:cs="仿宋"/>
                <w:color w:val="333333"/>
                <w:kern w:val="0"/>
                <w:sz w:val="24"/>
                <w:szCs w:val="24"/>
                <w:lang w:val="en-US" w:eastAsia="zh-CN" w:bidi="ar"/>
              </w:rPr>
              <w:t>目录第37项规定</w:t>
            </w:r>
          </w:p>
          <w:p>
            <w:pPr>
              <w:ind w:left="0" w:leftChars="0" w:hanging="8" w:firstLineChars="0"/>
              <w:jc w:val="both"/>
              <w:rPr>
                <w:rFonts w:hint="eastAsia" w:ascii="仿宋" w:hAnsi="仿宋" w:eastAsia="仿宋" w:cs="仿宋"/>
                <w:kern w:val="2"/>
                <w:sz w:val="24"/>
                <w:szCs w:val="24"/>
                <w:lang w:val="en-US" w:eastAsia="zh-CN" w:bidi="ar-SA"/>
              </w:rPr>
            </w:pP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hanging="8" w:firstLineChars="0"/>
              <w:jc w:val="both"/>
              <w:rPr>
                <w:rFonts w:hint="eastAsia" w:ascii="仿宋" w:hAnsi="仿宋" w:eastAsia="仿宋" w:cs="仿宋"/>
                <w:kern w:val="2"/>
                <w:sz w:val="24"/>
                <w:szCs w:val="24"/>
                <w:lang w:val="en-US" w:eastAsia="zh-CN" w:bidi="ar-SA"/>
              </w:rPr>
            </w:pPr>
          </w:p>
          <w:p>
            <w:pPr>
              <w:ind w:left="0" w:leftChars="0" w:hanging="8" w:firstLineChars="0"/>
              <w:jc w:val="both"/>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《营业执照》；违法犯罪查询证明；</w:t>
            </w:r>
          </w:p>
          <w:p>
            <w:pPr>
              <w:ind w:left="0" w:leftChars="0" w:hanging="8" w:firstLineChars="0"/>
              <w:jc w:val="both"/>
              <w:rPr>
                <w:rFonts w:hint="eastAsia" w:ascii="仿宋" w:hAnsi="仿宋" w:eastAsia="仿宋" w:cs="仿宋"/>
                <w:kern w:val="2"/>
                <w:sz w:val="24"/>
                <w:szCs w:val="24"/>
                <w:lang w:val="en-US" w:eastAsia="zh-CN" w:bidi="ar-SA"/>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工商行政管理机关；受理审批公安机关提供</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0"/>
                <w:szCs w:val="20"/>
                <w:u w:val="none"/>
              </w:rPr>
            </w:pPr>
          </w:p>
        </w:tc>
      </w:tr>
      <w:tr>
        <w:tblPrEx>
          <w:tblCellMar>
            <w:top w:w="0" w:type="dxa"/>
            <w:left w:w="108" w:type="dxa"/>
            <w:bottom w:w="0" w:type="dxa"/>
            <w:right w:w="108" w:type="dxa"/>
          </w:tblCellMar>
        </w:tblPrEx>
        <w:trPr>
          <w:trHeight w:val="78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10</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公安分局</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保安培训许可证核发</w:t>
            </w:r>
          </w:p>
        </w:tc>
        <w:tc>
          <w:tcPr>
            <w:tcW w:w="62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《保安服务管理条例》（国务院令第564号），《公安机关实施保安服务管理条例办法》（公安部令第112号）</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保安服务许可证、工商营业执照；</w:t>
            </w:r>
          </w:p>
          <w:p>
            <w:pPr>
              <w:jc w:val="both"/>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批准成立的相关证明文件</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工商行政管理机关；上级主管部门</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0"/>
                <w:szCs w:val="20"/>
                <w:u w:val="none"/>
              </w:rPr>
            </w:pPr>
          </w:p>
        </w:tc>
      </w:tr>
      <w:tr>
        <w:tblPrEx>
          <w:tblCellMar>
            <w:top w:w="0" w:type="dxa"/>
            <w:left w:w="108" w:type="dxa"/>
            <w:bottom w:w="0" w:type="dxa"/>
            <w:right w:w="108" w:type="dxa"/>
          </w:tblCellMar>
        </w:tblPrEx>
        <w:trPr>
          <w:trHeight w:val="78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11</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城管交通局</w:t>
            </w:r>
          </w:p>
          <w:p>
            <w:pPr>
              <w:jc w:val="center"/>
              <w:rPr>
                <w:rFonts w:hint="eastAsia" w:ascii="仿宋" w:hAnsi="仿宋" w:eastAsia="仿宋" w:cs="仿宋"/>
                <w:i w:val="0"/>
                <w:iCs w:val="0"/>
                <w:color w:val="000000"/>
                <w:sz w:val="24"/>
                <w:szCs w:val="24"/>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道路货物运输经营</w:t>
            </w:r>
            <w:r>
              <w:rPr>
                <w:rFonts w:hint="eastAsia" w:ascii="仿宋" w:hAnsi="仿宋" w:eastAsia="仿宋" w:cs="仿宋"/>
                <w:sz w:val="24"/>
                <w:szCs w:val="24"/>
              </w:rPr>
              <w:t>许可</w:t>
            </w:r>
          </w:p>
        </w:tc>
        <w:tc>
          <w:tcPr>
            <w:tcW w:w="62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仿宋" w:hAnsi="仿宋" w:eastAsia="仿宋" w:cs="仿宋"/>
                <w:kern w:val="2"/>
                <w:sz w:val="24"/>
                <w:szCs w:val="24"/>
                <w:lang w:val="en-US" w:eastAsia="zh-CN" w:bidi="ar-SA"/>
              </w:rPr>
            </w:pPr>
            <w:r>
              <w:rPr>
                <w:rFonts w:hint="eastAsia" w:ascii="仿宋" w:hAnsi="仿宋" w:eastAsia="仿宋" w:cs="仿宋"/>
                <w:sz w:val="24"/>
                <w:szCs w:val="24"/>
              </w:rPr>
              <w:t>《</w:t>
            </w:r>
            <w:r>
              <w:rPr>
                <w:rFonts w:hint="eastAsia" w:ascii="仿宋" w:hAnsi="仿宋" w:eastAsia="仿宋" w:cs="仿宋"/>
                <w:sz w:val="24"/>
                <w:szCs w:val="24"/>
                <w:lang w:val="en-US" w:eastAsia="zh-CN"/>
              </w:rPr>
              <w:t>中华人民共和国道路运输条例</w:t>
            </w:r>
            <w:r>
              <w:rPr>
                <w:rFonts w:hint="eastAsia" w:ascii="仿宋" w:hAnsi="仿宋" w:eastAsia="仿宋" w:cs="仿宋"/>
                <w:sz w:val="24"/>
                <w:szCs w:val="24"/>
              </w:rPr>
              <w:t>》第</w:t>
            </w:r>
            <w:r>
              <w:rPr>
                <w:rFonts w:hint="eastAsia" w:ascii="仿宋" w:hAnsi="仿宋" w:eastAsia="仿宋" w:cs="仿宋"/>
                <w:sz w:val="24"/>
                <w:szCs w:val="24"/>
                <w:lang w:val="en-US" w:eastAsia="zh-CN"/>
              </w:rPr>
              <w:t>二十一</w:t>
            </w:r>
            <w:r>
              <w:rPr>
                <w:rFonts w:hint="eastAsia" w:ascii="仿宋" w:hAnsi="仿宋" w:eastAsia="仿宋" w:cs="仿宋"/>
                <w:sz w:val="24"/>
                <w:szCs w:val="24"/>
              </w:rPr>
              <w:t>条</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申请从事货运经营的，应当具备下列条件：（二)有符合本条例第二十二条规定条件的驾驶人员。”</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hanging="8" w:firstLineChars="0"/>
              <w:jc w:val="both"/>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驾驶证、从业资格证</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hanging="8" w:firstLineChars="0"/>
              <w:jc w:val="left"/>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交通主管部门、公安交管部门</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688" w:leftChars="0" w:hanging="688" w:hangingChars="287"/>
              <w:jc w:val="left"/>
              <w:rPr>
                <w:rFonts w:hint="eastAsia" w:ascii="仿宋_GB2312" w:hAnsi="仿宋_GB2312" w:eastAsia="仿宋_GB2312" w:cs="仿宋_GB2312"/>
                <w:kern w:val="2"/>
                <w:sz w:val="24"/>
                <w:szCs w:val="24"/>
                <w:lang w:val="en-US" w:eastAsia="zh-CN" w:bidi="ar-SA"/>
              </w:rPr>
            </w:pPr>
          </w:p>
        </w:tc>
      </w:tr>
      <w:tr>
        <w:tblPrEx>
          <w:tblCellMar>
            <w:top w:w="0" w:type="dxa"/>
            <w:left w:w="108" w:type="dxa"/>
            <w:bottom w:w="0" w:type="dxa"/>
            <w:right w:w="108" w:type="dxa"/>
          </w:tblCellMar>
        </w:tblPrEx>
        <w:trPr>
          <w:trHeight w:val="78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12</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城管交通局</w:t>
            </w:r>
          </w:p>
          <w:p>
            <w:pPr>
              <w:jc w:val="center"/>
              <w:rPr>
                <w:rFonts w:hint="eastAsia" w:ascii="仿宋" w:hAnsi="仿宋" w:eastAsia="仿宋" w:cs="仿宋"/>
                <w:i w:val="0"/>
                <w:iCs w:val="0"/>
                <w:color w:val="000000"/>
                <w:sz w:val="24"/>
                <w:szCs w:val="24"/>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道路客运站经营</w:t>
            </w:r>
            <w:r>
              <w:rPr>
                <w:rFonts w:hint="eastAsia" w:ascii="仿宋" w:hAnsi="仿宋" w:eastAsia="仿宋" w:cs="仿宋"/>
                <w:sz w:val="24"/>
                <w:szCs w:val="24"/>
              </w:rPr>
              <w:t>许可</w:t>
            </w:r>
          </w:p>
        </w:tc>
        <w:tc>
          <w:tcPr>
            <w:tcW w:w="62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仿宋" w:hAnsi="仿宋" w:eastAsia="仿宋" w:cs="仿宋"/>
                <w:kern w:val="2"/>
                <w:sz w:val="24"/>
                <w:szCs w:val="24"/>
                <w:lang w:val="en-US" w:eastAsia="zh-CN" w:bidi="ar-SA"/>
              </w:rPr>
            </w:pPr>
            <w:r>
              <w:rPr>
                <w:rFonts w:hint="eastAsia" w:ascii="仿宋" w:hAnsi="仿宋" w:eastAsia="仿宋" w:cs="仿宋"/>
                <w:sz w:val="24"/>
                <w:szCs w:val="24"/>
              </w:rPr>
              <w:t>《</w:t>
            </w:r>
            <w:r>
              <w:rPr>
                <w:rFonts w:hint="eastAsia" w:ascii="仿宋" w:hAnsi="仿宋" w:eastAsia="仿宋" w:cs="仿宋"/>
                <w:sz w:val="24"/>
                <w:szCs w:val="24"/>
                <w:lang w:val="en-US" w:eastAsia="zh-CN"/>
              </w:rPr>
              <w:t>中华人民共和国道路运输条例</w:t>
            </w:r>
            <w:r>
              <w:rPr>
                <w:rFonts w:hint="eastAsia" w:ascii="仿宋" w:hAnsi="仿宋" w:eastAsia="仿宋" w:cs="仿宋"/>
                <w:sz w:val="24"/>
                <w:szCs w:val="24"/>
              </w:rPr>
              <w:t>》</w:t>
            </w:r>
            <w:r>
              <w:rPr>
                <w:rFonts w:hint="eastAsia" w:ascii="仿宋" w:hAnsi="仿宋" w:eastAsia="仿宋" w:cs="仿宋"/>
                <w:sz w:val="24"/>
                <w:szCs w:val="24"/>
                <w:lang w:val="en-US" w:eastAsia="zh-CN"/>
              </w:rPr>
              <w:t>第三十六条“申请从事道路运输站（场）经营的，应当具备下列条件：（二）有相应的专业人员和管理人员。”</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专业资格证明</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人社部门</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_GB2312" w:hAnsi="仿宋_GB2312" w:eastAsia="仿宋_GB2312" w:cs="仿宋_GB2312"/>
                <w:kern w:val="2"/>
                <w:sz w:val="24"/>
                <w:szCs w:val="24"/>
                <w:lang w:val="en-US" w:eastAsia="zh-CN" w:bidi="ar-SA"/>
              </w:rPr>
            </w:pPr>
          </w:p>
        </w:tc>
      </w:tr>
      <w:tr>
        <w:tblPrEx>
          <w:tblCellMar>
            <w:top w:w="0" w:type="dxa"/>
            <w:left w:w="108" w:type="dxa"/>
            <w:bottom w:w="0" w:type="dxa"/>
            <w:right w:w="108" w:type="dxa"/>
          </w:tblCellMar>
        </w:tblPrEx>
        <w:trPr>
          <w:trHeight w:val="78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13</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城管交通局</w:t>
            </w:r>
          </w:p>
          <w:p>
            <w:pPr>
              <w:jc w:val="center"/>
              <w:rPr>
                <w:rFonts w:hint="eastAsia" w:ascii="仿宋" w:hAnsi="仿宋" w:eastAsia="仿宋" w:cs="仿宋"/>
                <w:i w:val="0"/>
                <w:iCs w:val="0"/>
                <w:color w:val="000000"/>
                <w:sz w:val="24"/>
                <w:szCs w:val="24"/>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港口经营许可</w:t>
            </w:r>
          </w:p>
        </w:tc>
        <w:tc>
          <w:tcPr>
            <w:tcW w:w="62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中华人民共和国港口法》第二十三条 “取得港口经营许可，应当有固定的经营场所，有与经营业务相适应的设施、设备、专业技术人员和管理人员，并应当具备法律、法规规定的其他条件。”</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固定经营场所证明</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住建部门</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688" w:leftChars="0" w:hanging="688" w:hangingChars="287"/>
              <w:jc w:val="center"/>
              <w:rPr>
                <w:rFonts w:hint="eastAsia" w:ascii="仿宋_GB2312" w:hAnsi="仿宋_GB2312" w:eastAsia="仿宋_GB2312" w:cs="仿宋_GB2312"/>
                <w:kern w:val="2"/>
                <w:sz w:val="24"/>
                <w:szCs w:val="24"/>
                <w:lang w:val="en-US" w:eastAsia="zh-CN" w:bidi="ar-SA"/>
              </w:rPr>
            </w:pPr>
          </w:p>
        </w:tc>
      </w:tr>
      <w:tr>
        <w:tblPrEx>
          <w:tblCellMar>
            <w:top w:w="0" w:type="dxa"/>
            <w:left w:w="108" w:type="dxa"/>
            <w:bottom w:w="0" w:type="dxa"/>
            <w:right w:w="108" w:type="dxa"/>
          </w:tblCellMar>
        </w:tblPrEx>
        <w:trPr>
          <w:trHeight w:val="78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14</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城管交通局</w:t>
            </w:r>
          </w:p>
          <w:p>
            <w:pPr>
              <w:jc w:val="center"/>
              <w:rPr>
                <w:rFonts w:hint="eastAsia" w:ascii="仿宋" w:hAnsi="仿宋" w:eastAsia="仿宋" w:cs="仿宋"/>
                <w:i w:val="0"/>
                <w:iCs w:val="0"/>
                <w:color w:val="000000"/>
                <w:sz w:val="24"/>
                <w:szCs w:val="24"/>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港口经营许可</w:t>
            </w:r>
          </w:p>
        </w:tc>
        <w:tc>
          <w:tcPr>
            <w:tcW w:w="62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中华人民共和国港口法》第二十三条 “取得港口经营许可，应当有固定的经营场所，有与经营业务相适应的设施、设备、专业技术人员和管理人员，并应当具备法律、法规规定的其他条件。”</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设施、设备证明材料</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both"/>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港口经营人</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688" w:leftChars="0" w:hanging="688" w:hangingChars="287"/>
              <w:jc w:val="center"/>
              <w:rPr>
                <w:rFonts w:hint="eastAsia" w:eastAsia="仿宋_GB2312" w:cs="仿宋_GB2312" w:asciiTheme="minorHAnsi" w:hAnsiTheme="minorHAnsi"/>
                <w:kern w:val="2"/>
                <w:sz w:val="24"/>
                <w:szCs w:val="24"/>
                <w:lang w:val="en-US" w:eastAsia="zh-CN" w:bidi="ar-SA"/>
              </w:rPr>
            </w:pPr>
          </w:p>
        </w:tc>
      </w:tr>
      <w:tr>
        <w:tblPrEx>
          <w:tblCellMar>
            <w:top w:w="0" w:type="dxa"/>
            <w:left w:w="108" w:type="dxa"/>
            <w:bottom w:w="0" w:type="dxa"/>
            <w:right w:w="108" w:type="dxa"/>
          </w:tblCellMar>
        </w:tblPrEx>
        <w:trPr>
          <w:trHeight w:val="78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15</w:t>
            </w:r>
          </w:p>
        </w:tc>
        <w:tc>
          <w:tcPr>
            <w:tcW w:w="12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城管交通局</w:t>
            </w:r>
          </w:p>
          <w:p>
            <w:pPr>
              <w:jc w:val="center"/>
              <w:rPr>
                <w:rFonts w:hint="eastAsia" w:ascii="仿宋" w:hAnsi="仿宋" w:eastAsia="仿宋" w:cs="仿宋"/>
                <w:i w:val="0"/>
                <w:iCs w:val="0"/>
                <w:color w:val="000000"/>
                <w:sz w:val="24"/>
                <w:szCs w:val="24"/>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港口经营许可</w:t>
            </w:r>
          </w:p>
        </w:tc>
        <w:tc>
          <w:tcPr>
            <w:tcW w:w="62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中华人民共和国港口法》第二十三条 “取得港口经营许可，应当有固定的经营场所，有与经营业务相适应的设施、设备、专业技术人员和管理人员，并应当具备法律、法规规定的其他条件。”</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专业资格证明</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both"/>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人社部门</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688" w:leftChars="0" w:hanging="688" w:hangingChars="287"/>
              <w:jc w:val="center"/>
              <w:rPr>
                <w:rFonts w:hint="eastAsia" w:eastAsia="仿宋_GB2312" w:cs="仿宋_GB2312" w:asciiTheme="minorHAnsi" w:hAnsiTheme="minorHAnsi"/>
                <w:kern w:val="2"/>
                <w:sz w:val="24"/>
                <w:szCs w:val="24"/>
                <w:lang w:val="en-US" w:eastAsia="zh-CN" w:bidi="ar-SA"/>
              </w:rPr>
            </w:pPr>
          </w:p>
        </w:tc>
      </w:tr>
    </w:tbl>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textAlignment w:val="auto"/>
        <w:rPr>
          <w:rFonts w:hint="eastAsia" w:ascii="仿宋_GB2312" w:hAnsi="仿宋_GB2312" w:eastAsia="仿宋_GB2312" w:cs="仿宋_GB2312"/>
          <w:sz w:val="28"/>
          <w:szCs w:val="28"/>
        </w:rPr>
        <w:sectPr>
          <w:footerReference r:id="rId3" w:type="default"/>
          <w:pgSz w:w="16838" w:h="11906" w:orient="landscape"/>
          <w:pgMar w:top="1588" w:right="1893" w:bottom="1588" w:left="1985" w:header="851" w:footer="1474" w:gutter="0"/>
          <w:pgBorders>
            <w:top w:val="none" w:sz="0" w:space="0"/>
            <w:left w:val="none" w:sz="0" w:space="0"/>
            <w:bottom w:val="none" w:sz="0" w:space="0"/>
            <w:right w:val="none" w:sz="0" w:space="0"/>
          </w:pgBorders>
          <w:pgNumType w:fmt="numberInDash"/>
          <w:cols w:space="720" w:num="1"/>
          <w:docGrid w:linePitch="579" w:charSpace="-2374"/>
        </w:sectPr>
      </w:pPr>
      <w:bookmarkStart w:id="0" w:name="_GoBack"/>
      <w:bookmarkEnd w:id="0"/>
    </w:p>
    <w:p>
      <w:pPr>
        <w:rPr>
          <w:rFonts w:hint="default"/>
          <w:lang w:val="en-US" w:eastAsia="zh-CN"/>
        </w:rPr>
      </w:pPr>
    </w:p>
    <w:sectPr>
      <w:footerReference r:id="rId4" w:type="default"/>
      <w:footerReference r:id="rId5" w:type="even"/>
      <w:type w:val="continuous"/>
      <w:pgSz w:w="11906" w:h="16838"/>
      <w:pgMar w:top="2098" w:right="1474" w:bottom="1984" w:left="1587" w:header="851" w:footer="992" w:gutter="0"/>
      <w:pgNumType w:fmt="numberInDash" w:start="2"/>
      <w:cols w:space="720" w:num="1"/>
      <w:rtlGutter w:val="0"/>
      <w:docGrid w:type="linesAndChars" w:linePitch="466" w:charSpace="15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文星仿宋">
    <w:altName w:val="仿宋"/>
    <w:panose1 w:val="02010604000101010101"/>
    <w:charset w:val="00"/>
    <w:family w:val="auto"/>
    <w:pitch w:val="default"/>
    <w:sig w:usb0="00000000" w:usb1="00000000" w:usb2="00000010" w:usb3="00000000" w:csb0="00040001" w:csb1="00000000"/>
  </w:font>
  <w:font w:name="方正小标宋_GBK">
    <w:altName w:val="方正小标宋简体"/>
    <w:panose1 w:val="03000509000000000000"/>
    <w:charset w:val="86"/>
    <w:family w:val="script"/>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zSVju0AAAAAUBAAAPAAAAAAAA&#10;AAEAIAAAACIAAABkcnMvZG93bnJldi54bWxQSwECFAAUAAAACACHTuJAyMZ+WxoCAAAhBAAADgAA&#10;AAAAAAABACAAAAAfAQAAZHJzL2Uyb0RvYy54bWxQSwUGAAAAAAYABgBZAQAAqwUAAAAA&#10;">
              <v:fill on="f" focussize="0,0"/>
              <v:stroke on="f" weight="0.5pt"/>
              <v:imagedata o:title=""/>
              <o:lock v:ext="edit" aspectratio="f"/>
              <v:textbox inset="0mm,0mm,0mm,0mm" style="mso-fit-shape-to-text:t;">
                <w:txbxContent>
                  <w:p>
                    <w:pPr>
                      <w:pStyle w:val="4"/>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drawingGridHorizontalSpacing w:val="164"/>
  <w:drawingGridVerticalSpacing w:val="233"/>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8B3E1E"/>
    <w:rsid w:val="000167B6"/>
    <w:rsid w:val="0023229D"/>
    <w:rsid w:val="005F2D13"/>
    <w:rsid w:val="00816AF5"/>
    <w:rsid w:val="008C088E"/>
    <w:rsid w:val="008D2101"/>
    <w:rsid w:val="008E3F62"/>
    <w:rsid w:val="00E717DC"/>
    <w:rsid w:val="00ED0D4B"/>
    <w:rsid w:val="00F93F0E"/>
    <w:rsid w:val="01210957"/>
    <w:rsid w:val="02075659"/>
    <w:rsid w:val="02F9244A"/>
    <w:rsid w:val="041447F0"/>
    <w:rsid w:val="049579F2"/>
    <w:rsid w:val="04BB7104"/>
    <w:rsid w:val="056620E6"/>
    <w:rsid w:val="06701481"/>
    <w:rsid w:val="096D4FE9"/>
    <w:rsid w:val="0D2A55EB"/>
    <w:rsid w:val="0D8E008F"/>
    <w:rsid w:val="0DB23A9A"/>
    <w:rsid w:val="0DE81CD2"/>
    <w:rsid w:val="0F662E27"/>
    <w:rsid w:val="0FA45233"/>
    <w:rsid w:val="10FE1941"/>
    <w:rsid w:val="144869A4"/>
    <w:rsid w:val="14F16F02"/>
    <w:rsid w:val="15412133"/>
    <w:rsid w:val="1617143C"/>
    <w:rsid w:val="18E779F0"/>
    <w:rsid w:val="1A1562CB"/>
    <w:rsid w:val="1DB50A13"/>
    <w:rsid w:val="1ED16B2A"/>
    <w:rsid w:val="1EEF2E5E"/>
    <w:rsid w:val="1F93553E"/>
    <w:rsid w:val="21E95716"/>
    <w:rsid w:val="2268343D"/>
    <w:rsid w:val="258F0BA7"/>
    <w:rsid w:val="26043399"/>
    <w:rsid w:val="26066B9B"/>
    <w:rsid w:val="275421DE"/>
    <w:rsid w:val="28090A90"/>
    <w:rsid w:val="29CF2F0B"/>
    <w:rsid w:val="2A3E0EEF"/>
    <w:rsid w:val="2A8B3E1E"/>
    <w:rsid w:val="2B4A3608"/>
    <w:rsid w:val="2B707308"/>
    <w:rsid w:val="2B9A387D"/>
    <w:rsid w:val="2ED93252"/>
    <w:rsid w:val="3062009E"/>
    <w:rsid w:val="307879A5"/>
    <w:rsid w:val="31C83829"/>
    <w:rsid w:val="32DF18A9"/>
    <w:rsid w:val="33130D59"/>
    <w:rsid w:val="33911537"/>
    <w:rsid w:val="355C320D"/>
    <w:rsid w:val="35946161"/>
    <w:rsid w:val="35C32EB1"/>
    <w:rsid w:val="366A4576"/>
    <w:rsid w:val="3815189B"/>
    <w:rsid w:val="38977787"/>
    <w:rsid w:val="39360261"/>
    <w:rsid w:val="3AD3395A"/>
    <w:rsid w:val="3D182D57"/>
    <w:rsid w:val="3E182A7F"/>
    <w:rsid w:val="3EA17358"/>
    <w:rsid w:val="434825CA"/>
    <w:rsid w:val="43E35AE0"/>
    <w:rsid w:val="43E51DC6"/>
    <w:rsid w:val="445A4EAD"/>
    <w:rsid w:val="448E6355"/>
    <w:rsid w:val="461D7462"/>
    <w:rsid w:val="465C7F22"/>
    <w:rsid w:val="46B73E53"/>
    <w:rsid w:val="47CF0F0F"/>
    <w:rsid w:val="495A4520"/>
    <w:rsid w:val="4A272CA3"/>
    <w:rsid w:val="4B8C00E6"/>
    <w:rsid w:val="4D02765E"/>
    <w:rsid w:val="4F695E40"/>
    <w:rsid w:val="4FC74ABD"/>
    <w:rsid w:val="505028D9"/>
    <w:rsid w:val="512C7BE9"/>
    <w:rsid w:val="531C532B"/>
    <w:rsid w:val="53694AD3"/>
    <w:rsid w:val="5523265C"/>
    <w:rsid w:val="56D51808"/>
    <w:rsid w:val="57AA06F9"/>
    <w:rsid w:val="58F279BD"/>
    <w:rsid w:val="59ED2114"/>
    <w:rsid w:val="5A2728EE"/>
    <w:rsid w:val="5A6C0A9C"/>
    <w:rsid w:val="5BF46DA9"/>
    <w:rsid w:val="5C9741D0"/>
    <w:rsid w:val="5DE14BEB"/>
    <w:rsid w:val="61F21787"/>
    <w:rsid w:val="63903245"/>
    <w:rsid w:val="647F7A0D"/>
    <w:rsid w:val="65D156EE"/>
    <w:rsid w:val="6BA06FC3"/>
    <w:rsid w:val="6CB34A8C"/>
    <w:rsid w:val="6CE43F41"/>
    <w:rsid w:val="6CFF5879"/>
    <w:rsid w:val="6DD0215E"/>
    <w:rsid w:val="6E0B5B28"/>
    <w:rsid w:val="6FB5237A"/>
    <w:rsid w:val="718511AA"/>
    <w:rsid w:val="73CE30F0"/>
    <w:rsid w:val="755C6BE4"/>
    <w:rsid w:val="7731155E"/>
    <w:rsid w:val="77DF7DB5"/>
    <w:rsid w:val="77E12353"/>
    <w:rsid w:val="77F87D9A"/>
    <w:rsid w:val="7A4E73D9"/>
    <w:rsid w:val="7A6747E8"/>
    <w:rsid w:val="7B2A6054"/>
    <w:rsid w:val="7C4F7B8B"/>
    <w:rsid w:val="7C5F57BE"/>
    <w:rsid w:val="7CAC0F3A"/>
    <w:rsid w:val="7ED55929"/>
    <w:rsid w:val="7FA303E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仿宋_GB2312" w:asciiTheme="minorHAnsi" w:hAnsiTheme="minorHAnsi" w:cstheme="minorBidi"/>
      <w:kern w:val="2"/>
      <w:sz w:val="32"/>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rFonts w:eastAsia="文星仿宋"/>
      <w:sz w:val="32"/>
    </w:rPr>
  </w:style>
  <w:style w:type="paragraph" w:styleId="3">
    <w:name w:val="Balloon Text"/>
    <w:basedOn w:val="1"/>
    <w:semiHidden/>
    <w:qFormat/>
    <w:uiPriority w:val="0"/>
    <w:rPr>
      <w:sz w:val="18"/>
      <w:szCs w:val="18"/>
    </w:rPr>
  </w:style>
  <w:style w:type="paragraph" w:styleId="4">
    <w:name w:val="footer"/>
    <w:basedOn w:val="1"/>
    <w:link w:val="21"/>
    <w:qFormat/>
    <w:uiPriority w:val="0"/>
    <w:pPr>
      <w:tabs>
        <w:tab w:val="center" w:pos="4153"/>
        <w:tab w:val="right" w:pos="8306"/>
      </w:tabs>
      <w:snapToGrid w:val="0"/>
      <w:jc w:val="left"/>
    </w:pPr>
    <w:rPr>
      <w:sz w:val="18"/>
      <w:szCs w:val="18"/>
    </w:rPr>
  </w:style>
  <w:style w:type="paragraph" w:styleId="5">
    <w:name w:val="header"/>
    <w:basedOn w:val="1"/>
    <w:link w:val="2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widowControl/>
      <w:spacing w:before="60" w:beforeLines="0" w:after="100" w:afterLines="0" w:afterAutospacing="1"/>
      <w:ind w:left="300" w:right="225"/>
      <w:jc w:val="left"/>
    </w:pPr>
    <w:rPr>
      <w:rFonts w:ascii="宋体" w:hAnsi="宋体" w:cs="宋体"/>
      <w:kern w:val="0"/>
      <w:sz w:val="24"/>
      <w:szCs w:val="20"/>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bCs/>
    </w:rPr>
  </w:style>
  <w:style w:type="character" w:styleId="11">
    <w:name w:val="FollowedHyperlink"/>
    <w:basedOn w:val="9"/>
    <w:qFormat/>
    <w:uiPriority w:val="0"/>
    <w:rPr>
      <w:color w:val="2D64B3"/>
      <w:u w:val="none"/>
    </w:rPr>
  </w:style>
  <w:style w:type="character" w:styleId="12">
    <w:name w:val="Emphasis"/>
    <w:basedOn w:val="9"/>
    <w:qFormat/>
    <w:uiPriority w:val="0"/>
  </w:style>
  <w:style w:type="character" w:styleId="13">
    <w:name w:val="HTML Definition"/>
    <w:basedOn w:val="9"/>
    <w:qFormat/>
    <w:uiPriority w:val="0"/>
  </w:style>
  <w:style w:type="character" w:styleId="14">
    <w:name w:val="HTML Variable"/>
    <w:basedOn w:val="9"/>
    <w:qFormat/>
    <w:uiPriority w:val="0"/>
  </w:style>
  <w:style w:type="character" w:styleId="15">
    <w:name w:val="Hyperlink"/>
    <w:basedOn w:val="9"/>
    <w:qFormat/>
    <w:uiPriority w:val="0"/>
    <w:rPr>
      <w:color w:val="333333"/>
      <w:u w:val="none"/>
    </w:rPr>
  </w:style>
  <w:style w:type="character" w:styleId="16">
    <w:name w:val="HTML Code"/>
    <w:basedOn w:val="9"/>
    <w:qFormat/>
    <w:uiPriority w:val="0"/>
    <w:rPr>
      <w:rFonts w:hint="eastAsia" w:ascii="Arial" w:hAnsi="Arial" w:cs="Arial"/>
      <w:sz w:val="20"/>
    </w:rPr>
  </w:style>
  <w:style w:type="character" w:styleId="17">
    <w:name w:val="HTML Cite"/>
    <w:basedOn w:val="9"/>
    <w:qFormat/>
    <w:uiPriority w:val="0"/>
  </w:style>
  <w:style w:type="character" w:styleId="18">
    <w:name w:val="HTML Keyboard"/>
    <w:basedOn w:val="9"/>
    <w:qFormat/>
    <w:uiPriority w:val="0"/>
    <w:rPr>
      <w:rFonts w:hint="default" w:ascii="Arial" w:hAnsi="Arial" w:cs="Arial"/>
      <w:sz w:val="20"/>
    </w:rPr>
  </w:style>
  <w:style w:type="character" w:styleId="19">
    <w:name w:val="HTML Sample"/>
    <w:basedOn w:val="9"/>
    <w:qFormat/>
    <w:uiPriority w:val="0"/>
    <w:rPr>
      <w:rFonts w:hint="default" w:ascii="Arial" w:hAnsi="Arial" w:cs="Arial"/>
    </w:rPr>
  </w:style>
  <w:style w:type="character" w:customStyle="1" w:styleId="20">
    <w:name w:val="页眉 Char"/>
    <w:basedOn w:val="9"/>
    <w:link w:val="5"/>
    <w:qFormat/>
    <w:uiPriority w:val="0"/>
    <w:rPr>
      <w:kern w:val="2"/>
      <w:sz w:val="18"/>
      <w:szCs w:val="18"/>
    </w:rPr>
  </w:style>
  <w:style w:type="character" w:customStyle="1" w:styleId="21">
    <w:name w:val="页脚 Char"/>
    <w:basedOn w:val="9"/>
    <w:link w:val="4"/>
    <w:qFormat/>
    <w:uiPriority w:val="0"/>
    <w:rPr>
      <w:kern w:val="2"/>
      <w:sz w:val="18"/>
      <w:szCs w:val="18"/>
    </w:rPr>
  </w:style>
  <w:style w:type="character" w:customStyle="1" w:styleId="22">
    <w:name w:val="symbol"/>
    <w:basedOn w:val="9"/>
    <w:qFormat/>
    <w:uiPriority w:val="0"/>
  </w:style>
  <w:style w:type="character" w:customStyle="1" w:styleId="23">
    <w:name w:val="after2"/>
    <w:basedOn w:val="9"/>
    <w:qFormat/>
    <w:uiPriority w:val="0"/>
    <w:rPr>
      <w:sz w:val="0"/>
      <w:szCs w:val="0"/>
      <w:bdr w:val="dashed" w:color="auto" w:sz="48" w:space="0"/>
    </w:rPr>
  </w:style>
  <w:style w:type="character" w:customStyle="1" w:styleId="24">
    <w:name w:val="color-lighter"/>
    <w:basedOn w:val="9"/>
    <w:qFormat/>
    <w:uiPriority w:val="0"/>
    <w:rPr>
      <w:color w:val="FFC856"/>
    </w:rPr>
  </w:style>
  <w:style w:type="character" w:customStyle="1" w:styleId="25">
    <w:name w:val="color-light"/>
    <w:basedOn w:val="9"/>
    <w:qFormat/>
    <w:uiPriority w:val="0"/>
    <w:rPr>
      <w:color w:val="EF4D4A"/>
    </w:rPr>
  </w:style>
  <w:style w:type="character" w:customStyle="1" w:styleId="26">
    <w:name w:val="hover7"/>
    <w:basedOn w:val="9"/>
    <w:qFormat/>
    <w:uiPriority w:val="0"/>
  </w:style>
  <w:style w:type="character" w:customStyle="1" w:styleId="27">
    <w:name w:val="after"/>
    <w:basedOn w:val="9"/>
    <w:qFormat/>
    <w:uiPriority w:val="0"/>
    <w:rPr>
      <w:sz w:val="0"/>
      <w:szCs w:val="0"/>
      <w:bdr w:val="dashed" w:color="auto" w:sz="48" w:space="0"/>
    </w:rPr>
  </w:style>
  <w:style w:type="character" w:customStyle="1" w:styleId="28">
    <w:name w:val="hover12"/>
    <w:basedOn w:val="9"/>
    <w:qFormat/>
    <w:uiPriority w:val="0"/>
    <w:rPr>
      <w:shd w:val="clear" w:fill="003D96"/>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home\guest\E:\&#20844;&#25991;&#27169;&#26495;\&#20989;&#22836;.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函头.dot</Template>
  <Pages>2</Pages>
  <Words>0</Words>
  <Characters>0</Characters>
  <Lines>1</Lines>
  <Paragraphs>1</Paragraphs>
  <TotalTime>34</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2021-02-25T14:46:00Z</dcterms:created>
  <dc:creator>蓝色游侠</dc:creator>
  <cp:lastModifiedBy>咖啡有点甜</cp:lastModifiedBy>
  <cp:lastPrinted>2021-06-22T02:25:00Z</cp:lastPrinted>
  <dcterms:modified xsi:type="dcterms:W3CDTF">2021-06-23T03:58:45Z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KSOSaveFontToCloudKey">
    <vt:lpwstr>414057550_btnclosed</vt:lpwstr>
  </property>
  <property fmtid="{D5CDD505-2E9C-101B-9397-08002B2CF9AE}" pid="4" name="ICV">
    <vt:lpwstr>AB582AC1BC4F4CCF854C9CD3E30909ED</vt:lpwstr>
  </property>
</Properties>
</file>