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小标宋简体" w:hAnsi="宋体" w:eastAsia="黑体" w:cs="宋体"/>
          <w:sz w:val="32"/>
          <w:szCs w:val="32"/>
        </w:rPr>
      </w:pPr>
      <w:r>
        <w:rPr>
          <w:rFonts w:hint="eastAsia" w:ascii="黑体" w:hAnsi="黑体" w:eastAsia="黑体" w:cs="仿宋_GB2312"/>
          <w:sz w:val="32"/>
          <w:szCs w:val="32"/>
        </w:rPr>
        <w:t>附件4</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方正小标宋简体" w:hAnsi="宋体" w:eastAsia="方正小标宋简体" w:cs="宋体"/>
          <w:sz w:val="36"/>
          <w:szCs w:val="36"/>
        </w:rPr>
      </w:pPr>
      <w:bookmarkStart w:id="0" w:name="_GoBack"/>
      <w:r>
        <w:rPr>
          <w:rFonts w:hint="eastAsia" w:ascii="方正小标宋简体" w:hAnsi="宋体" w:eastAsia="方正小标宋简体" w:cs="宋体"/>
          <w:sz w:val="36"/>
          <w:szCs w:val="36"/>
        </w:rPr>
        <w:t>外地户籍符合政策规定准入类学生一览表</w:t>
      </w:r>
    </w:p>
    <w:bookmarkEnd w:id="0"/>
    <w:tbl>
      <w:tblPr>
        <w:tblStyle w:val="8"/>
        <w:tblW w:w="9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14"/>
        <w:gridCol w:w="4554"/>
        <w:gridCol w:w="3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79" w:hRule="exact"/>
          <w:jc w:val="center"/>
        </w:trPr>
        <w:tc>
          <w:tcPr>
            <w:tcW w:w="614" w:type="dxa"/>
            <w:vAlign w:val="center"/>
          </w:tcPr>
          <w:p>
            <w:pPr>
              <w:spacing w:line="400" w:lineRule="exact"/>
              <w:jc w:val="center"/>
              <w:rPr>
                <w:rFonts w:ascii="黑体" w:hAnsi="黑体" w:eastAsia="黑体" w:cs="仿宋_GB2312"/>
                <w:bCs/>
                <w:sz w:val="24"/>
                <w:szCs w:val="24"/>
              </w:rPr>
            </w:pPr>
            <w:r>
              <w:rPr>
                <w:rFonts w:hint="eastAsia" w:ascii="黑体" w:hAnsi="黑体" w:eastAsia="黑体" w:cs="仿宋_GB2312"/>
                <w:bCs/>
                <w:sz w:val="24"/>
                <w:szCs w:val="24"/>
              </w:rPr>
              <w:t>序号</w:t>
            </w:r>
          </w:p>
        </w:tc>
        <w:tc>
          <w:tcPr>
            <w:tcW w:w="4554" w:type="dxa"/>
            <w:vAlign w:val="center"/>
          </w:tcPr>
          <w:p>
            <w:pPr>
              <w:spacing w:line="400" w:lineRule="exact"/>
              <w:jc w:val="center"/>
              <w:rPr>
                <w:rFonts w:ascii="黑体" w:hAnsi="黑体" w:eastAsia="黑体" w:cs="仿宋_GB2312"/>
                <w:bCs/>
                <w:sz w:val="24"/>
                <w:szCs w:val="24"/>
              </w:rPr>
            </w:pPr>
            <w:r>
              <w:rPr>
                <w:rFonts w:hint="eastAsia" w:ascii="黑体" w:hAnsi="黑体" w:eastAsia="黑体" w:cs="仿宋_GB2312"/>
                <w:bCs/>
                <w:sz w:val="24"/>
                <w:szCs w:val="24"/>
              </w:rPr>
              <w:t>对</w:t>
            </w:r>
            <w:r>
              <w:rPr>
                <w:rFonts w:ascii="黑体" w:hAnsi="黑体" w:eastAsia="黑体" w:cs="仿宋_GB2312"/>
                <w:bCs/>
                <w:sz w:val="24"/>
                <w:szCs w:val="24"/>
              </w:rPr>
              <w:t xml:space="preserve"> </w:t>
            </w:r>
            <w:r>
              <w:rPr>
                <w:rFonts w:hint="eastAsia" w:ascii="黑体" w:hAnsi="黑体" w:eastAsia="黑体" w:cs="仿宋_GB2312"/>
                <w:bCs/>
                <w:sz w:val="24"/>
                <w:szCs w:val="24"/>
              </w:rPr>
              <w:t>象</w:t>
            </w:r>
          </w:p>
        </w:tc>
        <w:tc>
          <w:tcPr>
            <w:tcW w:w="3854" w:type="dxa"/>
            <w:vAlign w:val="center"/>
          </w:tcPr>
          <w:p>
            <w:pPr>
              <w:spacing w:line="400" w:lineRule="exact"/>
              <w:jc w:val="center"/>
              <w:rPr>
                <w:rFonts w:ascii="黑体" w:hAnsi="黑体" w:eastAsia="黑体" w:cs="仿宋_GB2312"/>
                <w:bCs/>
                <w:sz w:val="24"/>
                <w:szCs w:val="24"/>
              </w:rPr>
            </w:pPr>
            <w:r>
              <w:rPr>
                <w:rFonts w:hint="eastAsia" w:ascii="黑体" w:hAnsi="黑体" w:eastAsia="黑体" w:cs="仿宋_GB2312"/>
                <w:bCs/>
                <w:sz w:val="24"/>
                <w:szCs w:val="24"/>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979" w:hRule="exact"/>
          <w:jc w:val="center"/>
        </w:trPr>
        <w:tc>
          <w:tcPr>
            <w:tcW w:w="614" w:type="dxa"/>
            <w:vAlign w:val="center"/>
          </w:tcPr>
          <w:p>
            <w:pPr>
              <w:spacing w:line="280" w:lineRule="exact"/>
              <w:ind w:left="720" w:hanging="720" w:hangingChars="300"/>
              <w:jc w:val="center"/>
              <w:rPr>
                <w:rFonts w:ascii="仿宋_GB2312" w:hAnsi="仿宋_GB2312" w:eastAsia="仿宋_GB2312" w:cs="仿宋_GB2312"/>
                <w:sz w:val="24"/>
                <w:szCs w:val="24"/>
              </w:rPr>
            </w:pPr>
            <w:r>
              <w:rPr>
                <w:rFonts w:ascii="仿宋_GB2312" w:hAnsi="仿宋_GB2312" w:eastAsia="仿宋_GB2312" w:cs="仿宋_GB2312"/>
                <w:sz w:val="24"/>
                <w:szCs w:val="24"/>
              </w:rPr>
              <w:t>1</w:t>
            </w:r>
          </w:p>
        </w:tc>
        <w:tc>
          <w:tcPr>
            <w:tcW w:w="45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驻国家确定的艰苦边远地区和西藏自治区，军队划定的三类以上岛屿，以及在飞行、潜艇、航天、涉核等高风险、高危岗位工作的军人子女</w:t>
            </w:r>
          </w:p>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pacing w:val="-4"/>
                <w:sz w:val="24"/>
                <w:szCs w:val="24"/>
              </w:rPr>
              <w:t>烈士、因公牺牲军人和人民警察、一至四级伤残军人和人民警察、公安一级、二级英雄模范的适龄子女</w:t>
            </w:r>
          </w:p>
        </w:tc>
        <w:tc>
          <w:tcPr>
            <w:tcW w:w="38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部队师以上政治机关认定后出具的介绍信。</w:t>
            </w:r>
          </w:p>
          <w:p>
            <w:pPr>
              <w:spacing w:line="280" w:lineRule="exact"/>
              <w:rPr>
                <w:rFonts w:ascii="仿宋_GB2312" w:hAnsi="仿宋_GB2312" w:eastAsia="仿宋_GB2312" w:cs="仿宋_GB2312"/>
                <w:sz w:val="24"/>
                <w:szCs w:val="24"/>
              </w:rPr>
            </w:pPr>
          </w:p>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烈士证明书、因公牺牲证明书、残疾军人证、残疾警察证和原籍区县民政局介绍信，公安英模证书。</w:t>
            </w:r>
          </w:p>
          <w:p>
            <w:pPr>
              <w:spacing w:line="280" w:lineRule="exact"/>
              <w:ind w:left="720" w:hanging="720" w:hangingChars="300"/>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8" w:hRule="exact"/>
          <w:jc w:val="center"/>
        </w:trPr>
        <w:tc>
          <w:tcPr>
            <w:tcW w:w="614" w:type="dxa"/>
            <w:vAlign w:val="center"/>
          </w:tcPr>
          <w:p>
            <w:pPr>
              <w:spacing w:line="280" w:lineRule="exact"/>
              <w:ind w:left="720" w:hanging="720" w:hangingChars="300"/>
              <w:jc w:val="center"/>
              <w:rPr>
                <w:rFonts w:ascii="仿宋_GB2312" w:hAnsi="仿宋_GB2312" w:eastAsia="仿宋_GB2312" w:cs="仿宋_GB2312"/>
                <w:sz w:val="24"/>
                <w:szCs w:val="24"/>
              </w:rPr>
            </w:pPr>
            <w:r>
              <w:rPr>
                <w:rFonts w:ascii="仿宋_GB2312" w:hAnsi="仿宋_GB2312" w:eastAsia="仿宋_GB2312" w:cs="仿宋_GB2312"/>
                <w:sz w:val="24"/>
                <w:szCs w:val="24"/>
              </w:rPr>
              <w:t>2</w:t>
            </w:r>
          </w:p>
        </w:tc>
        <w:tc>
          <w:tcPr>
            <w:tcW w:w="45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长期从事地质勘探等野外工作人员，委托本市监护人照顾的适龄子女</w:t>
            </w:r>
          </w:p>
        </w:tc>
        <w:tc>
          <w:tcPr>
            <w:tcW w:w="3854" w:type="dxa"/>
            <w:vAlign w:val="center"/>
          </w:tcPr>
          <w:p>
            <w:pPr>
              <w:spacing w:line="280" w:lineRule="exact"/>
              <w:ind w:left="720" w:hanging="720" w:hangingChars="300"/>
              <w:rPr>
                <w:rFonts w:ascii="仿宋_GB2312" w:hAnsi="仿宋_GB2312" w:eastAsia="仿宋_GB2312" w:cs="仿宋_GB2312"/>
                <w:sz w:val="24"/>
                <w:szCs w:val="24"/>
              </w:rPr>
            </w:pPr>
            <w:r>
              <w:rPr>
                <w:rFonts w:hint="eastAsia" w:ascii="仿宋_GB2312" w:hAnsi="仿宋_GB2312" w:eastAsia="仿宋_GB2312" w:cs="仿宋_GB2312"/>
                <w:sz w:val="24"/>
                <w:szCs w:val="24"/>
              </w:rPr>
              <w:t>父母工作单位主管厅</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局</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介绍信。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8" w:hRule="exact"/>
          <w:jc w:val="center"/>
        </w:trPr>
        <w:tc>
          <w:tcPr>
            <w:tcW w:w="614" w:type="dxa"/>
            <w:vAlign w:val="center"/>
          </w:tcPr>
          <w:p>
            <w:pPr>
              <w:spacing w:line="280" w:lineRule="exact"/>
              <w:ind w:left="720" w:hanging="720" w:hangingChars="300"/>
              <w:jc w:val="center"/>
              <w:rPr>
                <w:rFonts w:ascii="仿宋_GB2312" w:hAnsi="仿宋_GB2312" w:eastAsia="仿宋_GB2312" w:cs="仿宋_GB2312"/>
                <w:sz w:val="24"/>
                <w:szCs w:val="24"/>
              </w:rPr>
            </w:pPr>
            <w:r>
              <w:rPr>
                <w:rFonts w:ascii="仿宋_GB2312" w:hAnsi="仿宋_GB2312" w:eastAsia="仿宋_GB2312" w:cs="仿宋_GB2312"/>
                <w:sz w:val="24"/>
                <w:szCs w:val="24"/>
              </w:rPr>
              <w:t>3</w:t>
            </w:r>
          </w:p>
        </w:tc>
        <w:tc>
          <w:tcPr>
            <w:tcW w:w="45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按规定引进高层次人才适龄子女</w:t>
            </w:r>
          </w:p>
        </w:tc>
        <w:tc>
          <w:tcPr>
            <w:tcW w:w="38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市人才办认定的相关证明。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82" w:hRule="exact"/>
          <w:jc w:val="center"/>
        </w:trPr>
        <w:tc>
          <w:tcPr>
            <w:tcW w:w="614" w:type="dxa"/>
            <w:vAlign w:val="center"/>
          </w:tcPr>
          <w:p>
            <w:pPr>
              <w:spacing w:line="280" w:lineRule="exact"/>
              <w:ind w:left="720" w:hanging="720" w:hangingChars="300"/>
              <w:jc w:val="center"/>
              <w:rPr>
                <w:rFonts w:ascii="仿宋_GB2312" w:hAnsi="仿宋_GB2312" w:eastAsia="仿宋_GB2312" w:cs="仿宋_GB2312"/>
                <w:sz w:val="24"/>
                <w:szCs w:val="24"/>
              </w:rPr>
            </w:pPr>
            <w:r>
              <w:rPr>
                <w:rFonts w:ascii="仿宋_GB2312" w:hAnsi="仿宋_GB2312" w:eastAsia="仿宋_GB2312" w:cs="仿宋_GB2312"/>
                <w:sz w:val="24"/>
                <w:szCs w:val="24"/>
              </w:rPr>
              <w:t>4</w:t>
            </w:r>
          </w:p>
        </w:tc>
        <w:tc>
          <w:tcPr>
            <w:tcW w:w="45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留学归国创业人员适龄子女</w:t>
            </w:r>
          </w:p>
        </w:tc>
        <w:tc>
          <w:tcPr>
            <w:tcW w:w="38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我国驻外使领馆出具的留学归国人员证明或教育部开具的国（境）外学历学位认证书，营业执照等。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9" w:hRule="exact"/>
          <w:jc w:val="center"/>
        </w:trPr>
        <w:tc>
          <w:tcPr>
            <w:tcW w:w="614" w:type="dxa"/>
            <w:vAlign w:val="center"/>
          </w:tcPr>
          <w:p>
            <w:pPr>
              <w:spacing w:line="280" w:lineRule="exact"/>
              <w:ind w:left="720" w:hanging="720" w:hangingChars="300"/>
              <w:jc w:val="center"/>
              <w:rPr>
                <w:rFonts w:ascii="仿宋_GB2312" w:hAnsi="仿宋_GB2312" w:eastAsia="仿宋_GB2312" w:cs="仿宋_GB2312"/>
                <w:sz w:val="24"/>
                <w:szCs w:val="24"/>
              </w:rPr>
            </w:pPr>
            <w:r>
              <w:rPr>
                <w:rFonts w:ascii="仿宋_GB2312" w:hAnsi="仿宋_GB2312" w:eastAsia="仿宋_GB2312" w:cs="仿宋_GB2312"/>
                <w:sz w:val="24"/>
                <w:szCs w:val="24"/>
              </w:rPr>
              <w:t>5</w:t>
            </w:r>
          </w:p>
        </w:tc>
        <w:tc>
          <w:tcPr>
            <w:tcW w:w="45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为我市经济社会做出重大贡献人员的适龄子女</w:t>
            </w:r>
          </w:p>
        </w:tc>
        <w:tc>
          <w:tcPr>
            <w:tcW w:w="38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荣誉市民证书或区县以上政府相关证明。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58" w:hRule="exact"/>
          <w:jc w:val="center"/>
        </w:trPr>
        <w:tc>
          <w:tcPr>
            <w:tcW w:w="614" w:type="dxa"/>
            <w:vAlign w:val="center"/>
          </w:tcPr>
          <w:p>
            <w:pPr>
              <w:spacing w:line="280" w:lineRule="exact"/>
              <w:ind w:left="720" w:hanging="720" w:hangingChars="300"/>
              <w:jc w:val="center"/>
              <w:rPr>
                <w:rFonts w:ascii="仿宋_GB2312" w:hAnsi="仿宋_GB2312" w:eastAsia="仿宋_GB2312" w:cs="仿宋_GB2312"/>
                <w:sz w:val="24"/>
                <w:szCs w:val="24"/>
              </w:rPr>
            </w:pPr>
            <w:r>
              <w:rPr>
                <w:rFonts w:ascii="仿宋_GB2312" w:hAnsi="仿宋_GB2312" w:eastAsia="仿宋_GB2312" w:cs="仿宋_GB2312"/>
                <w:sz w:val="24"/>
                <w:szCs w:val="24"/>
              </w:rPr>
              <w:t>6</w:t>
            </w:r>
          </w:p>
        </w:tc>
        <w:tc>
          <w:tcPr>
            <w:tcW w:w="45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长期患重病人员和失去监护子女能力的残</w:t>
            </w:r>
          </w:p>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疾人委托本市监护人照顾的适龄子女</w:t>
            </w:r>
          </w:p>
        </w:tc>
        <w:tc>
          <w:tcPr>
            <w:tcW w:w="38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区县级以上医院危重病证明，残疾证。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9" w:hRule="exact"/>
          <w:jc w:val="center"/>
        </w:trPr>
        <w:tc>
          <w:tcPr>
            <w:tcW w:w="614" w:type="dxa"/>
            <w:vAlign w:val="center"/>
          </w:tcPr>
          <w:p>
            <w:pPr>
              <w:spacing w:line="280" w:lineRule="exact"/>
              <w:ind w:left="720" w:hanging="720" w:hangingChars="300"/>
              <w:jc w:val="center"/>
              <w:rPr>
                <w:rFonts w:ascii="仿宋_GB2312" w:hAnsi="仿宋_GB2312" w:eastAsia="仿宋_GB2312" w:cs="仿宋_GB2312"/>
                <w:sz w:val="24"/>
                <w:szCs w:val="24"/>
              </w:rPr>
            </w:pPr>
            <w:r>
              <w:rPr>
                <w:rFonts w:ascii="仿宋_GB2312" w:hAnsi="仿宋_GB2312" w:eastAsia="仿宋_GB2312" w:cs="仿宋_GB2312"/>
                <w:sz w:val="24"/>
                <w:szCs w:val="24"/>
              </w:rPr>
              <w:t>7</w:t>
            </w:r>
          </w:p>
        </w:tc>
        <w:tc>
          <w:tcPr>
            <w:tcW w:w="45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我市接收的复转退伍军人的适龄子女</w:t>
            </w:r>
          </w:p>
        </w:tc>
        <w:tc>
          <w:tcPr>
            <w:tcW w:w="38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区县以上退役军人事务局接收证明材料，父母本人复转退伍证件。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9" w:hRule="exact"/>
          <w:jc w:val="center"/>
        </w:trPr>
        <w:tc>
          <w:tcPr>
            <w:tcW w:w="614" w:type="dxa"/>
            <w:vAlign w:val="center"/>
          </w:tcPr>
          <w:p>
            <w:pPr>
              <w:spacing w:line="280" w:lineRule="exact"/>
              <w:ind w:left="720" w:hanging="720" w:hangingChars="300"/>
              <w:jc w:val="center"/>
              <w:rPr>
                <w:rFonts w:ascii="仿宋_GB2312" w:hAnsi="仿宋_GB2312" w:eastAsia="仿宋_GB2312" w:cs="仿宋_GB2312"/>
                <w:sz w:val="24"/>
                <w:szCs w:val="24"/>
              </w:rPr>
            </w:pPr>
            <w:r>
              <w:rPr>
                <w:rFonts w:ascii="仿宋_GB2312" w:hAnsi="仿宋_GB2312" w:eastAsia="仿宋_GB2312" w:cs="仿宋_GB2312"/>
                <w:sz w:val="24"/>
                <w:szCs w:val="24"/>
              </w:rPr>
              <w:t>8</w:t>
            </w:r>
          </w:p>
        </w:tc>
        <w:tc>
          <w:tcPr>
            <w:tcW w:w="45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华侨适龄子女</w:t>
            </w:r>
          </w:p>
        </w:tc>
        <w:tc>
          <w:tcPr>
            <w:tcW w:w="38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市级以上侨务部门出具的身份证明、华侨与入学儿童少年关系证明、居住证明。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63" w:hRule="exact"/>
          <w:jc w:val="center"/>
        </w:trPr>
        <w:tc>
          <w:tcPr>
            <w:tcW w:w="614" w:type="dxa"/>
            <w:vAlign w:val="center"/>
          </w:tcPr>
          <w:p>
            <w:pPr>
              <w:spacing w:line="280" w:lineRule="exact"/>
              <w:ind w:left="720" w:hanging="720" w:hangingChars="300"/>
              <w:jc w:val="center"/>
              <w:rPr>
                <w:rFonts w:ascii="仿宋_GB2312" w:hAnsi="仿宋_GB2312" w:eastAsia="仿宋_GB2312" w:cs="仿宋_GB2312"/>
                <w:sz w:val="24"/>
                <w:szCs w:val="24"/>
              </w:rPr>
            </w:pPr>
            <w:r>
              <w:rPr>
                <w:rFonts w:ascii="仿宋_GB2312" w:hAnsi="仿宋_GB2312" w:eastAsia="仿宋_GB2312" w:cs="仿宋_GB2312"/>
                <w:sz w:val="24"/>
                <w:szCs w:val="24"/>
              </w:rPr>
              <w:t>9</w:t>
            </w:r>
          </w:p>
        </w:tc>
        <w:tc>
          <w:tcPr>
            <w:tcW w:w="45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香港和澳门籍适龄儿童少年</w:t>
            </w:r>
          </w:p>
        </w:tc>
        <w:tc>
          <w:tcPr>
            <w:tcW w:w="38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监护人和本人的有效身份证件、居住证明。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3" w:hRule="exact"/>
          <w:jc w:val="center"/>
        </w:trPr>
        <w:tc>
          <w:tcPr>
            <w:tcW w:w="614" w:type="dxa"/>
            <w:vAlign w:val="center"/>
          </w:tcPr>
          <w:p>
            <w:pPr>
              <w:spacing w:line="280" w:lineRule="exact"/>
              <w:ind w:left="720" w:hanging="720" w:hangingChars="300"/>
              <w:jc w:val="center"/>
              <w:rPr>
                <w:rFonts w:ascii="仿宋_GB2312" w:hAnsi="仿宋_GB2312" w:eastAsia="仿宋_GB2312" w:cs="仿宋_GB2312"/>
                <w:sz w:val="24"/>
                <w:szCs w:val="24"/>
              </w:rPr>
            </w:pPr>
            <w:r>
              <w:rPr>
                <w:rFonts w:ascii="仿宋_GB2312" w:hAnsi="仿宋_GB2312" w:eastAsia="仿宋_GB2312" w:cs="仿宋_GB2312"/>
                <w:sz w:val="24"/>
                <w:szCs w:val="24"/>
              </w:rPr>
              <w:t>10</w:t>
            </w:r>
          </w:p>
        </w:tc>
        <w:tc>
          <w:tcPr>
            <w:tcW w:w="45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台湾籍适龄儿童少年</w:t>
            </w:r>
          </w:p>
        </w:tc>
        <w:tc>
          <w:tcPr>
            <w:tcW w:w="38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西安市台办出具的证明，监护人和本人的有效身份证件、居住证明。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5" w:hRule="exact"/>
          <w:jc w:val="center"/>
        </w:trPr>
        <w:tc>
          <w:tcPr>
            <w:tcW w:w="614" w:type="dxa"/>
            <w:vAlign w:val="center"/>
          </w:tcPr>
          <w:p>
            <w:pPr>
              <w:spacing w:line="280" w:lineRule="exact"/>
              <w:jc w:val="center"/>
              <w:rPr>
                <w:rFonts w:ascii="仿宋_GB2312" w:hAnsi="仿宋_GB2312" w:eastAsia="仿宋_GB2312" w:cs="仿宋_GB2312"/>
                <w:spacing w:val="-4"/>
                <w:sz w:val="24"/>
                <w:szCs w:val="24"/>
              </w:rPr>
            </w:pPr>
            <w:r>
              <w:rPr>
                <w:rFonts w:ascii="仿宋_GB2312" w:hAnsi="仿宋_GB2312" w:eastAsia="仿宋_GB2312" w:cs="仿宋_GB2312"/>
                <w:spacing w:val="-4"/>
                <w:sz w:val="24"/>
                <w:szCs w:val="24"/>
              </w:rPr>
              <w:t>11</w:t>
            </w:r>
          </w:p>
        </w:tc>
        <w:tc>
          <w:tcPr>
            <w:tcW w:w="45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外国驻我外交人员或使领馆外交人员的适龄子女</w:t>
            </w:r>
          </w:p>
        </w:tc>
        <w:tc>
          <w:tcPr>
            <w:tcW w:w="3854" w:type="dxa"/>
            <w:vAlign w:val="center"/>
          </w:tcPr>
          <w:p>
            <w:pPr>
              <w:spacing w:line="280" w:lineRule="exact"/>
              <w:rPr>
                <w:rFonts w:ascii="仿宋_GB2312" w:hAnsi="仿宋_GB2312" w:eastAsia="仿宋_GB2312" w:cs="仿宋_GB2312"/>
                <w:sz w:val="24"/>
                <w:szCs w:val="24"/>
              </w:rPr>
            </w:pPr>
            <w:r>
              <w:rPr>
                <w:rFonts w:hint="eastAsia" w:ascii="仿宋_GB2312" w:hAnsi="仿宋_GB2312" w:eastAsia="仿宋_GB2312" w:cs="仿宋_GB2312"/>
                <w:sz w:val="24"/>
                <w:szCs w:val="24"/>
              </w:rPr>
              <w:t>监护人的有效外交身份证件及监护人与儿童少年的关系证明。</w:t>
            </w:r>
          </w:p>
        </w:tc>
      </w:tr>
    </w:tbl>
    <w:p>
      <w:pPr>
        <w:keepNext w:val="0"/>
        <w:keepLines w:val="0"/>
        <w:pageBreakBefore w:val="0"/>
        <w:widowControl w:val="0"/>
        <w:kinsoku/>
        <w:wordWrap/>
        <w:overflowPunct/>
        <w:topLinePunct w:val="0"/>
        <w:autoSpaceDE/>
        <w:autoSpaceDN/>
        <w:bidi w:val="0"/>
        <w:adjustRightInd/>
        <w:snapToGrid/>
        <w:spacing w:line="0" w:lineRule="atLeast"/>
        <w:ind w:left="720" w:hanging="720" w:hangingChars="300"/>
        <w:textAlignment w:val="auto"/>
        <w:rPr>
          <w:rFonts w:ascii="仿宋_GB2312" w:hAnsi="仿宋_GB2312" w:eastAsia="仿宋_GB2312" w:cs="仿宋_GB2312"/>
          <w:sz w:val="22"/>
          <w:szCs w:val="22"/>
        </w:rPr>
      </w:pPr>
      <w:r>
        <w:rPr>
          <w:rFonts w:hint="eastAsia" w:ascii="仿宋_GB2312" w:hAnsi="仿宋_GB2312" w:eastAsia="仿宋_GB2312" w:cs="仿宋_GB2312"/>
          <w:sz w:val="24"/>
        </w:rPr>
        <w:t>注：</w:t>
      </w:r>
      <w:r>
        <w:rPr>
          <w:rFonts w:ascii="仿宋_GB2312" w:hAnsi="仿宋_GB2312" w:eastAsia="仿宋_GB2312" w:cs="仿宋_GB2312"/>
          <w:sz w:val="24"/>
        </w:rPr>
        <w:t xml:space="preserve"> </w:t>
      </w:r>
      <w:r>
        <w:rPr>
          <w:rFonts w:ascii="仿宋_GB2312" w:hAnsi="仿宋_GB2312" w:eastAsia="仿宋_GB2312" w:cs="仿宋_GB2312"/>
          <w:sz w:val="22"/>
          <w:szCs w:val="22"/>
        </w:rPr>
        <w:t>1.1—7</w:t>
      </w:r>
      <w:r>
        <w:rPr>
          <w:rFonts w:hint="eastAsia" w:ascii="仿宋_GB2312" w:hAnsi="仿宋_GB2312" w:eastAsia="仿宋_GB2312" w:cs="仿宋_GB2312"/>
          <w:sz w:val="22"/>
          <w:szCs w:val="22"/>
        </w:rPr>
        <w:t>类政策规定准入的学生除提供上表所列证件外，还需持有户籍所在地政府街道办或乡镇以上人民政府开具的在当地无监护条件的学生流出证明、父母（或监护人）身份证件和我市居住证或我市居住证明或户口簿。</w:t>
      </w:r>
    </w:p>
    <w:p>
      <w:pPr>
        <w:keepNext w:val="0"/>
        <w:keepLines w:val="0"/>
        <w:pageBreakBefore w:val="0"/>
        <w:widowControl w:val="0"/>
        <w:kinsoku/>
        <w:wordWrap/>
        <w:overflowPunct/>
        <w:topLinePunct w:val="0"/>
        <w:autoSpaceDE/>
        <w:autoSpaceDN/>
        <w:bidi w:val="0"/>
        <w:adjustRightInd/>
        <w:snapToGrid/>
        <w:spacing w:line="0" w:lineRule="atLeast"/>
        <w:ind w:firstLine="550" w:firstLineChars="250"/>
        <w:textAlignment w:val="auto"/>
        <w:rPr>
          <w:rFonts w:hint="eastAsia" w:ascii="仿宋_GB2312" w:hAnsi="仿宋_GB2312" w:eastAsia="仿宋_GB2312" w:cs="仿宋_GB2312"/>
          <w:sz w:val="22"/>
          <w:szCs w:val="22"/>
        </w:rPr>
      </w:pPr>
      <w:r>
        <w:rPr>
          <w:rFonts w:ascii="仿宋_GB2312" w:hAnsi="仿宋_GB2312" w:eastAsia="仿宋_GB2312" w:cs="仿宋_GB2312"/>
          <w:sz w:val="22"/>
          <w:szCs w:val="22"/>
        </w:rPr>
        <w:t>2.</w:t>
      </w:r>
      <w:r>
        <w:rPr>
          <w:rFonts w:hint="eastAsia" w:ascii="仿宋_GB2312" w:hAnsi="仿宋_GB2312" w:eastAsia="仿宋_GB2312" w:cs="仿宋_GB2312"/>
          <w:sz w:val="22"/>
          <w:szCs w:val="22"/>
        </w:rPr>
        <w:t>其他特殊情况由各区县、开发区教育局根据有关政策确定。</w:t>
      </w:r>
    </w:p>
    <w:p>
      <w:pPr>
        <w:pStyle w:val="2"/>
        <w:rPr>
          <w:rFonts w:hint="eastAsia"/>
          <w:sz w:val="24"/>
          <w:szCs w:val="16"/>
        </w:rPr>
      </w:pPr>
    </w:p>
    <w:sectPr>
      <w:footerReference r:id="rId3" w:type="default"/>
      <w:pgSz w:w="11906" w:h="16838"/>
      <w:pgMar w:top="2098" w:right="1474" w:bottom="1984" w:left="1587" w:header="340" w:footer="454" w:gutter="0"/>
      <w:paperSrc w:first="7" w:other="7"/>
      <w:pgNumType w:fmt="numberInDash" w:start="2"/>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5"/>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21 -</w:t>
                    </w:r>
                    <w:r>
                      <w:rPr>
                        <w:rFonts w:ascii="宋体" w:hAnsi="宋体"/>
                        <w:sz w:val="28"/>
                        <w:szCs w:val="28"/>
                      </w:rPr>
                      <w:fldChar w:fldCharType="end"/>
                    </w:r>
                  </w:p>
                </w:txbxContent>
              </v:textbox>
            </v:shape>
          </w:pict>
        </mc:Fallback>
      </mc:AlternateConten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NotTrackMoves/>
  <w:attachedTemplate r:id="rId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0662"/>
    <w:rsid w:val="000010E0"/>
    <w:rsid w:val="00062219"/>
    <w:rsid w:val="000803D1"/>
    <w:rsid w:val="000837DD"/>
    <w:rsid w:val="00084B24"/>
    <w:rsid w:val="00091498"/>
    <w:rsid w:val="00095501"/>
    <w:rsid w:val="000A1B2D"/>
    <w:rsid w:val="000A2AD6"/>
    <w:rsid w:val="000C3991"/>
    <w:rsid w:val="000C4D2B"/>
    <w:rsid w:val="000D2BC8"/>
    <w:rsid w:val="000E3B1E"/>
    <w:rsid w:val="000E41D0"/>
    <w:rsid w:val="000E4260"/>
    <w:rsid w:val="000F746C"/>
    <w:rsid w:val="0010092D"/>
    <w:rsid w:val="00123BF1"/>
    <w:rsid w:val="00125895"/>
    <w:rsid w:val="001363C9"/>
    <w:rsid w:val="0013785F"/>
    <w:rsid w:val="001939C7"/>
    <w:rsid w:val="001B3E28"/>
    <w:rsid w:val="001E4DF2"/>
    <w:rsid w:val="001F12A8"/>
    <w:rsid w:val="001F7E6C"/>
    <w:rsid w:val="002051E9"/>
    <w:rsid w:val="0020592A"/>
    <w:rsid w:val="00216857"/>
    <w:rsid w:val="00227FAD"/>
    <w:rsid w:val="00232763"/>
    <w:rsid w:val="002355A8"/>
    <w:rsid w:val="00250662"/>
    <w:rsid w:val="00251A45"/>
    <w:rsid w:val="002567B4"/>
    <w:rsid w:val="00264729"/>
    <w:rsid w:val="002B15F8"/>
    <w:rsid w:val="002E4244"/>
    <w:rsid w:val="002F4655"/>
    <w:rsid w:val="002F5296"/>
    <w:rsid w:val="003062AD"/>
    <w:rsid w:val="00310093"/>
    <w:rsid w:val="0031221C"/>
    <w:rsid w:val="00316F6F"/>
    <w:rsid w:val="00346876"/>
    <w:rsid w:val="00352259"/>
    <w:rsid w:val="00353047"/>
    <w:rsid w:val="003544A8"/>
    <w:rsid w:val="00357E1A"/>
    <w:rsid w:val="00360A6D"/>
    <w:rsid w:val="003730BC"/>
    <w:rsid w:val="0038203D"/>
    <w:rsid w:val="003877A1"/>
    <w:rsid w:val="003929D0"/>
    <w:rsid w:val="003957AF"/>
    <w:rsid w:val="003C4ADA"/>
    <w:rsid w:val="003D641E"/>
    <w:rsid w:val="00402EC2"/>
    <w:rsid w:val="004215FA"/>
    <w:rsid w:val="004223BE"/>
    <w:rsid w:val="00426934"/>
    <w:rsid w:val="0043613A"/>
    <w:rsid w:val="00456306"/>
    <w:rsid w:val="00463697"/>
    <w:rsid w:val="00490240"/>
    <w:rsid w:val="0049084C"/>
    <w:rsid w:val="0049584F"/>
    <w:rsid w:val="004A5D68"/>
    <w:rsid w:val="004C7AFD"/>
    <w:rsid w:val="004D0D1F"/>
    <w:rsid w:val="004D25E0"/>
    <w:rsid w:val="004D67A1"/>
    <w:rsid w:val="00506819"/>
    <w:rsid w:val="00513B1F"/>
    <w:rsid w:val="00514F30"/>
    <w:rsid w:val="00517E4B"/>
    <w:rsid w:val="00533141"/>
    <w:rsid w:val="00540FDE"/>
    <w:rsid w:val="005461CA"/>
    <w:rsid w:val="00556283"/>
    <w:rsid w:val="005844D6"/>
    <w:rsid w:val="005D1C54"/>
    <w:rsid w:val="005D27F8"/>
    <w:rsid w:val="006038D0"/>
    <w:rsid w:val="006053C2"/>
    <w:rsid w:val="00620B92"/>
    <w:rsid w:val="00623DEF"/>
    <w:rsid w:val="006267B8"/>
    <w:rsid w:val="00651056"/>
    <w:rsid w:val="00657418"/>
    <w:rsid w:val="00662B37"/>
    <w:rsid w:val="0067379F"/>
    <w:rsid w:val="006841D7"/>
    <w:rsid w:val="006B24DB"/>
    <w:rsid w:val="006C7F93"/>
    <w:rsid w:val="006D7533"/>
    <w:rsid w:val="00716D6E"/>
    <w:rsid w:val="00731799"/>
    <w:rsid w:val="007405F3"/>
    <w:rsid w:val="00746E0F"/>
    <w:rsid w:val="00756569"/>
    <w:rsid w:val="00761D89"/>
    <w:rsid w:val="00781FF3"/>
    <w:rsid w:val="00791527"/>
    <w:rsid w:val="007A3CCA"/>
    <w:rsid w:val="007A5869"/>
    <w:rsid w:val="007B64BC"/>
    <w:rsid w:val="007D5C43"/>
    <w:rsid w:val="007E5DE9"/>
    <w:rsid w:val="007F0B2C"/>
    <w:rsid w:val="007F1974"/>
    <w:rsid w:val="00806525"/>
    <w:rsid w:val="00822941"/>
    <w:rsid w:val="008251D2"/>
    <w:rsid w:val="00857776"/>
    <w:rsid w:val="00867F16"/>
    <w:rsid w:val="00874423"/>
    <w:rsid w:val="008758AD"/>
    <w:rsid w:val="0087752B"/>
    <w:rsid w:val="0089257E"/>
    <w:rsid w:val="008B4C5D"/>
    <w:rsid w:val="008C2A49"/>
    <w:rsid w:val="008C2CE2"/>
    <w:rsid w:val="008C566B"/>
    <w:rsid w:val="008D2693"/>
    <w:rsid w:val="008E44DC"/>
    <w:rsid w:val="009006F7"/>
    <w:rsid w:val="009011CC"/>
    <w:rsid w:val="00901909"/>
    <w:rsid w:val="00950497"/>
    <w:rsid w:val="009670BB"/>
    <w:rsid w:val="0099612A"/>
    <w:rsid w:val="00997D4E"/>
    <w:rsid w:val="009E327F"/>
    <w:rsid w:val="009E5FD1"/>
    <w:rsid w:val="009F564A"/>
    <w:rsid w:val="00A10354"/>
    <w:rsid w:val="00A1584D"/>
    <w:rsid w:val="00A1649D"/>
    <w:rsid w:val="00A52427"/>
    <w:rsid w:val="00A60BF5"/>
    <w:rsid w:val="00A6500A"/>
    <w:rsid w:val="00A65CA2"/>
    <w:rsid w:val="00A77FC0"/>
    <w:rsid w:val="00A90F7B"/>
    <w:rsid w:val="00A92DAC"/>
    <w:rsid w:val="00A974C3"/>
    <w:rsid w:val="00AC558B"/>
    <w:rsid w:val="00AD6306"/>
    <w:rsid w:val="00AE1329"/>
    <w:rsid w:val="00B245D4"/>
    <w:rsid w:val="00B33F61"/>
    <w:rsid w:val="00B47B0E"/>
    <w:rsid w:val="00B74E21"/>
    <w:rsid w:val="00B773FB"/>
    <w:rsid w:val="00BD647A"/>
    <w:rsid w:val="00C73475"/>
    <w:rsid w:val="00C95510"/>
    <w:rsid w:val="00CA1CA4"/>
    <w:rsid w:val="00CA7567"/>
    <w:rsid w:val="00CB17A0"/>
    <w:rsid w:val="00CB7334"/>
    <w:rsid w:val="00CC16A0"/>
    <w:rsid w:val="00CD3680"/>
    <w:rsid w:val="00CF7CF9"/>
    <w:rsid w:val="00D03220"/>
    <w:rsid w:val="00D4114A"/>
    <w:rsid w:val="00D63499"/>
    <w:rsid w:val="00D9574A"/>
    <w:rsid w:val="00D97B7F"/>
    <w:rsid w:val="00DB6006"/>
    <w:rsid w:val="00DB680F"/>
    <w:rsid w:val="00DC445A"/>
    <w:rsid w:val="00DE1BA8"/>
    <w:rsid w:val="00DE1C51"/>
    <w:rsid w:val="00DE316F"/>
    <w:rsid w:val="00DE346A"/>
    <w:rsid w:val="00DF5253"/>
    <w:rsid w:val="00E07D11"/>
    <w:rsid w:val="00E117B6"/>
    <w:rsid w:val="00E171CF"/>
    <w:rsid w:val="00E26F21"/>
    <w:rsid w:val="00E40B97"/>
    <w:rsid w:val="00E40BA7"/>
    <w:rsid w:val="00E77180"/>
    <w:rsid w:val="00E86A13"/>
    <w:rsid w:val="00E87828"/>
    <w:rsid w:val="00E93713"/>
    <w:rsid w:val="00EB3947"/>
    <w:rsid w:val="00ED7399"/>
    <w:rsid w:val="00EF601F"/>
    <w:rsid w:val="00F07FF1"/>
    <w:rsid w:val="00F2011D"/>
    <w:rsid w:val="00F213C0"/>
    <w:rsid w:val="00F62ED0"/>
    <w:rsid w:val="00F74441"/>
    <w:rsid w:val="00F81ACC"/>
    <w:rsid w:val="00F8302F"/>
    <w:rsid w:val="00F94997"/>
    <w:rsid w:val="00F94A32"/>
    <w:rsid w:val="00F9508F"/>
    <w:rsid w:val="00FB2E61"/>
    <w:rsid w:val="00FD64C9"/>
    <w:rsid w:val="00FE1CE4"/>
    <w:rsid w:val="01A43427"/>
    <w:rsid w:val="01D9492D"/>
    <w:rsid w:val="02AE6FE2"/>
    <w:rsid w:val="03457261"/>
    <w:rsid w:val="03582A4E"/>
    <w:rsid w:val="04212DB5"/>
    <w:rsid w:val="054E5D06"/>
    <w:rsid w:val="06070D2D"/>
    <w:rsid w:val="06AA3CEE"/>
    <w:rsid w:val="07D45A6A"/>
    <w:rsid w:val="07F51CE8"/>
    <w:rsid w:val="08C665EF"/>
    <w:rsid w:val="0974257A"/>
    <w:rsid w:val="099B01A2"/>
    <w:rsid w:val="0A133F45"/>
    <w:rsid w:val="0A3F0637"/>
    <w:rsid w:val="0B5C0BCD"/>
    <w:rsid w:val="0CD61F2A"/>
    <w:rsid w:val="0CE9148A"/>
    <w:rsid w:val="0CF77A39"/>
    <w:rsid w:val="0D654522"/>
    <w:rsid w:val="0EEF3B2A"/>
    <w:rsid w:val="0F5E3B42"/>
    <w:rsid w:val="0F7D5544"/>
    <w:rsid w:val="0FA579F3"/>
    <w:rsid w:val="104C3833"/>
    <w:rsid w:val="11252E9F"/>
    <w:rsid w:val="11BF21DD"/>
    <w:rsid w:val="11F61D1A"/>
    <w:rsid w:val="12597A01"/>
    <w:rsid w:val="12F11DDB"/>
    <w:rsid w:val="13E0221B"/>
    <w:rsid w:val="14695C72"/>
    <w:rsid w:val="14F00C5E"/>
    <w:rsid w:val="15EB7DCB"/>
    <w:rsid w:val="1638450D"/>
    <w:rsid w:val="18A76113"/>
    <w:rsid w:val="18AB2509"/>
    <w:rsid w:val="19464E6F"/>
    <w:rsid w:val="1B920F12"/>
    <w:rsid w:val="1EE4305D"/>
    <w:rsid w:val="20AC49D5"/>
    <w:rsid w:val="20D302D3"/>
    <w:rsid w:val="21001E2E"/>
    <w:rsid w:val="21974E40"/>
    <w:rsid w:val="21E56DAF"/>
    <w:rsid w:val="265F24FA"/>
    <w:rsid w:val="27D25D8A"/>
    <w:rsid w:val="27F832F5"/>
    <w:rsid w:val="29361A6E"/>
    <w:rsid w:val="2AAC498A"/>
    <w:rsid w:val="2C5914E4"/>
    <w:rsid w:val="2E0B3C91"/>
    <w:rsid w:val="2F721B6D"/>
    <w:rsid w:val="30124B38"/>
    <w:rsid w:val="32907E3D"/>
    <w:rsid w:val="33DB5919"/>
    <w:rsid w:val="34504A3B"/>
    <w:rsid w:val="34F22914"/>
    <w:rsid w:val="358A39FB"/>
    <w:rsid w:val="35D5054E"/>
    <w:rsid w:val="36943A96"/>
    <w:rsid w:val="376D54D5"/>
    <w:rsid w:val="38B259BC"/>
    <w:rsid w:val="39360837"/>
    <w:rsid w:val="39AA74D7"/>
    <w:rsid w:val="3AD10FEC"/>
    <w:rsid w:val="3AD870BC"/>
    <w:rsid w:val="3BC91BDA"/>
    <w:rsid w:val="3BD90EB2"/>
    <w:rsid w:val="3BE368E9"/>
    <w:rsid w:val="3D4D6166"/>
    <w:rsid w:val="3D7C103C"/>
    <w:rsid w:val="3F0825A9"/>
    <w:rsid w:val="406F642C"/>
    <w:rsid w:val="40E40F3D"/>
    <w:rsid w:val="413C6A52"/>
    <w:rsid w:val="41A30E27"/>
    <w:rsid w:val="42442C36"/>
    <w:rsid w:val="44AA0067"/>
    <w:rsid w:val="45B13F4A"/>
    <w:rsid w:val="45F44CB8"/>
    <w:rsid w:val="46934199"/>
    <w:rsid w:val="46F00617"/>
    <w:rsid w:val="471B42CA"/>
    <w:rsid w:val="47A84D7D"/>
    <w:rsid w:val="47BB2E17"/>
    <w:rsid w:val="47E17356"/>
    <w:rsid w:val="4A854134"/>
    <w:rsid w:val="4A9A15A2"/>
    <w:rsid w:val="4B554798"/>
    <w:rsid w:val="4BA205F2"/>
    <w:rsid w:val="4C4F327B"/>
    <w:rsid w:val="4C6A5290"/>
    <w:rsid w:val="4CA47F39"/>
    <w:rsid w:val="4CD05410"/>
    <w:rsid w:val="4F5F0A27"/>
    <w:rsid w:val="526568B5"/>
    <w:rsid w:val="5326047F"/>
    <w:rsid w:val="55AD5DC8"/>
    <w:rsid w:val="56D24201"/>
    <w:rsid w:val="57E43C5D"/>
    <w:rsid w:val="58337FCF"/>
    <w:rsid w:val="593F760C"/>
    <w:rsid w:val="5B36226E"/>
    <w:rsid w:val="5B5417A9"/>
    <w:rsid w:val="5CF72C12"/>
    <w:rsid w:val="5D8B3AD0"/>
    <w:rsid w:val="60624492"/>
    <w:rsid w:val="609760FA"/>
    <w:rsid w:val="63B31B63"/>
    <w:rsid w:val="63F22C91"/>
    <w:rsid w:val="642949BA"/>
    <w:rsid w:val="656E50D2"/>
    <w:rsid w:val="672A1C9F"/>
    <w:rsid w:val="67942F40"/>
    <w:rsid w:val="68064030"/>
    <w:rsid w:val="68C04430"/>
    <w:rsid w:val="6B4347DD"/>
    <w:rsid w:val="6CA75C30"/>
    <w:rsid w:val="70B2138F"/>
    <w:rsid w:val="72BA1046"/>
    <w:rsid w:val="7490028F"/>
    <w:rsid w:val="78072F1A"/>
    <w:rsid w:val="78525420"/>
    <w:rsid w:val="78603C7D"/>
    <w:rsid w:val="78CF4D5F"/>
    <w:rsid w:val="797267B8"/>
    <w:rsid w:val="7AC167DE"/>
    <w:rsid w:val="7B030DFD"/>
    <w:rsid w:val="7B8224BD"/>
    <w:rsid w:val="7CAA4EAA"/>
    <w:rsid w:val="7DEE1A14"/>
    <w:rsid w:val="7EF6616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eastAsia="仿宋_GB2312"/>
      <w:sz w:val="32"/>
      <w:szCs w:val="20"/>
    </w:rPr>
  </w:style>
  <w:style w:type="paragraph" w:styleId="3">
    <w:name w:val="Date"/>
    <w:basedOn w:val="1"/>
    <w:next w:val="1"/>
    <w:link w:val="18"/>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15"/>
    <w:qFormat/>
    <w:uiPriority w:val="0"/>
    <w:pPr>
      <w:tabs>
        <w:tab w:val="center" w:pos="4153"/>
        <w:tab w:val="right" w:pos="8306"/>
      </w:tabs>
      <w:snapToGrid w:val="0"/>
      <w:jc w:val="left"/>
    </w:pPr>
    <w:rPr>
      <w:sz w:val="18"/>
      <w:szCs w:val="18"/>
    </w:rPr>
  </w:style>
  <w:style w:type="paragraph" w:styleId="6">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page number"/>
    <w:basedOn w:val="10"/>
    <w:qFormat/>
    <w:uiPriority w:val="0"/>
    <w:rPr>
      <w:rFonts w:ascii="仿宋_GB2312" w:eastAsia="仿宋_GB2312"/>
      <w:b/>
      <w:szCs w:val="32"/>
    </w:rPr>
  </w:style>
  <w:style w:type="character" w:styleId="13">
    <w:name w:val="FollowedHyperlink"/>
    <w:basedOn w:val="10"/>
    <w:unhideWhenUsed/>
    <w:qFormat/>
    <w:uiPriority w:val="0"/>
    <w:rPr>
      <w:color w:val="333333"/>
      <w:u w:val="none"/>
    </w:rPr>
  </w:style>
  <w:style w:type="character" w:styleId="14">
    <w:name w:val="Hyperlink"/>
    <w:basedOn w:val="10"/>
    <w:unhideWhenUsed/>
    <w:qFormat/>
    <w:uiPriority w:val="0"/>
    <w:rPr>
      <w:rFonts w:ascii="仿宋_GB2312" w:eastAsia="仿宋_GB2312"/>
      <w:b/>
      <w:color w:val="0000FF"/>
      <w:szCs w:val="32"/>
      <w:u w:val="single"/>
    </w:rPr>
  </w:style>
  <w:style w:type="character" w:customStyle="1" w:styleId="15">
    <w:name w:val="页脚 Char"/>
    <w:link w:val="5"/>
    <w:qFormat/>
    <w:uiPriority w:val="99"/>
    <w:rPr>
      <w:rFonts w:ascii="仿宋_GB2312" w:eastAsia="仿宋_GB2312"/>
      <w:b/>
      <w:kern w:val="2"/>
      <w:sz w:val="18"/>
      <w:szCs w:val="18"/>
    </w:rPr>
  </w:style>
  <w:style w:type="character" w:customStyle="1" w:styleId="16">
    <w:name w:val="页眉 Char"/>
    <w:link w:val="6"/>
    <w:qFormat/>
    <w:uiPriority w:val="0"/>
    <w:rPr>
      <w:rFonts w:ascii="仿宋_GB2312" w:eastAsia="仿宋_GB2312"/>
      <w:b/>
      <w:kern w:val="2"/>
      <w:sz w:val="18"/>
      <w:szCs w:val="18"/>
    </w:rPr>
  </w:style>
  <w:style w:type="paragraph" w:customStyle="1" w:styleId="17">
    <w:name w:val="Char"/>
    <w:basedOn w:val="1"/>
    <w:qFormat/>
    <w:uiPriority w:val="0"/>
    <w:rPr>
      <w:rFonts w:ascii="仿宋_GB2312" w:eastAsia="仿宋_GB2312"/>
      <w:b/>
      <w:szCs w:val="32"/>
    </w:rPr>
  </w:style>
  <w:style w:type="character" w:customStyle="1" w:styleId="18">
    <w:name w:val="日期 Char"/>
    <w:link w:val="3"/>
    <w:qFormat/>
    <w:uiPriority w:val="0"/>
    <w:rPr>
      <w:rFonts w:ascii="仿宋_GB2312" w:eastAsia="仿宋_GB2312"/>
      <w:b/>
      <w:kern w:val="2"/>
      <w:sz w:val="21"/>
      <w:szCs w:val="24"/>
    </w:rPr>
  </w:style>
  <w:style w:type="paragraph" w:customStyle="1" w:styleId="19">
    <w:name w:val="p0"/>
    <w:basedOn w:val="1"/>
    <w:qFormat/>
    <w:uiPriority w:val="0"/>
    <w:pPr>
      <w:widowControl/>
    </w:pPr>
    <w:rPr>
      <w:kern w:val="0"/>
      <w:szCs w:val="21"/>
    </w:rPr>
  </w:style>
  <w:style w:type="paragraph" w:styleId="20">
    <w:name w:val="List Paragraph"/>
    <w:basedOn w:val="1"/>
    <w:qFormat/>
    <w:uiPriority w:val="34"/>
    <w:pPr>
      <w:ind w:firstLine="420" w:firstLineChars="200"/>
    </w:pPr>
  </w:style>
  <w:style w:type="character" w:customStyle="1" w:styleId="21">
    <w:name w:val="tj"/>
    <w:basedOn w:val="10"/>
    <w:qFormat/>
    <w:uiPriority w:val="0"/>
    <w:rPr>
      <w:color w:val="FFFFFF"/>
      <w:sz w:val="21"/>
      <w:szCs w:val="21"/>
      <w:shd w:val="clear" w:color="auto" w:fill="348CEC"/>
    </w:rPr>
  </w:style>
  <w:style w:type="character" w:customStyle="1" w:styleId="22">
    <w:name w:val="origin"/>
    <w:basedOn w:val="10"/>
    <w:qFormat/>
    <w:uiPriority w:val="0"/>
  </w:style>
  <w:style w:type="character" w:customStyle="1" w:styleId="23">
    <w:name w:val="lb-left"/>
    <w:basedOn w:val="10"/>
    <w:qFormat/>
    <w:uiPriority w:val="0"/>
  </w:style>
  <w:style w:type="character" w:customStyle="1" w:styleId="24">
    <w:name w:val="lb-right"/>
    <w:basedOn w:val="10"/>
    <w:qFormat/>
    <w:uiPriority w:val="0"/>
  </w:style>
  <w:style w:type="character" w:customStyle="1" w:styleId="25">
    <w:name w:val="before3"/>
    <w:basedOn w:val="10"/>
    <w:qFormat/>
    <w:uiPriority w:val="0"/>
  </w:style>
  <w:style w:type="character" w:customStyle="1" w:styleId="26">
    <w:name w:val="search-kw2"/>
    <w:basedOn w:val="10"/>
    <w:qFormat/>
    <w:uiPriority w:val="0"/>
  </w:style>
  <w:style w:type="character" w:customStyle="1" w:styleId="27">
    <w:name w:val="bds_more"/>
    <w:basedOn w:val="10"/>
    <w:qFormat/>
    <w:uiPriority w:val="0"/>
  </w:style>
  <w:style w:type="character" w:customStyle="1" w:styleId="28">
    <w:name w:val="bds_nopic"/>
    <w:basedOn w:val="10"/>
    <w:qFormat/>
    <w:uiPriority w:val="0"/>
  </w:style>
  <w:style w:type="character" w:customStyle="1" w:styleId="29">
    <w:name w:val="bds_nopic1"/>
    <w:basedOn w:val="10"/>
    <w:qFormat/>
    <w:uiPriority w:val="0"/>
  </w:style>
  <w:style w:type="character" w:customStyle="1" w:styleId="30">
    <w:name w:val="bds_nopic2"/>
    <w:basedOn w:val="10"/>
    <w:qFormat/>
    <w:uiPriority w:val="0"/>
  </w:style>
  <w:style w:type="character" w:customStyle="1" w:styleId="31">
    <w:name w:val="bds_more1"/>
    <w:basedOn w:val="10"/>
    <w:qFormat/>
    <w:uiPriority w:val="0"/>
  </w:style>
  <w:style w:type="character" w:customStyle="1" w:styleId="32">
    <w:name w:val="bds_more2"/>
    <w:basedOn w:val="10"/>
    <w:qFormat/>
    <w:uiPriority w:val="0"/>
  </w:style>
  <w:style w:type="character" w:customStyle="1" w:styleId="33">
    <w:name w:val="NormalCharacter"/>
    <w:link w:val="34"/>
    <w:qFormat/>
    <w:uiPriority w:val="0"/>
    <w:rPr>
      <w:rFonts w:ascii="Tahoma" w:hAnsi="Tahoma" w:eastAsia="仿宋_GB2312"/>
      <w:spacing w:val="-2"/>
      <w:sz w:val="24"/>
      <w:szCs w:val="20"/>
    </w:rPr>
  </w:style>
  <w:style w:type="paragraph" w:customStyle="1" w:styleId="34">
    <w:name w:val="UserStyle_0"/>
    <w:basedOn w:val="1"/>
    <w:next w:val="1"/>
    <w:link w:val="33"/>
    <w:qFormat/>
    <w:uiPriority w:val="0"/>
    <w:pPr>
      <w:widowControl/>
      <w:textAlignment w:val="baseline"/>
    </w:pPr>
    <w:rPr>
      <w:rFonts w:ascii="Tahoma" w:hAnsi="Tahoma" w:eastAsia="仿宋_GB2312"/>
      <w:spacing w:val="-2"/>
      <w:sz w:val="24"/>
      <w:szCs w:val="20"/>
    </w:rPr>
  </w:style>
  <w:style w:type="paragraph" w:customStyle="1" w:styleId="35">
    <w:name w:val="Other|1"/>
    <w:basedOn w:val="1"/>
    <w:qFormat/>
    <w:uiPriority w:val="0"/>
    <w:pPr>
      <w:spacing w:line="386" w:lineRule="auto"/>
      <w:ind w:firstLine="400"/>
      <w:jc w:val="left"/>
    </w:pPr>
    <w:rPr>
      <w:rFonts w:ascii="宋体" w:hAnsi="宋体" w:cs="宋体"/>
      <w:kern w:val="0"/>
      <w:sz w:val="30"/>
      <w:szCs w:val="30"/>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ocuments\WeChat%20Files\yonghengkaka001\Files\a&#19981;&#24102;&#25991;&#21495;&#20844;&#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4069E9-80EB-4CF3-9D64-00D8245B0397}">
  <ds:schemaRefs/>
</ds:datastoreItem>
</file>

<file path=docProps/app.xml><?xml version="1.0" encoding="utf-8"?>
<Properties xmlns="http://schemas.openxmlformats.org/officeDocument/2006/extended-properties" xmlns:vt="http://schemas.openxmlformats.org/officeDocument/2006/docPropsVTypes">
  <Template>a不带文号公文.dot</Template>
  <Company>Lenovo (Beijing) Limited</Company>
  <Pages>1</Pages>
  <Words>1579</Words>
  <Characters>9001</Characters>
  <Lines>75</Lines>
  <Paragraphs>21</Paragraphs>
  <TotalTime>18</TotalTime>
  <ScaleCrop>false</ScaleCrop>
  <LinksUpToDate>false</LinksUpToDate>
  <CharactersWithSpaces>10559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2018-03-20T03:29:00Z</dcterms:created>
  <dc:creator>微软用户</dc:creator>
  <cp:lastModifiedBy>朱小懒</cp:lastModifiedBy>
  <cp:lastPrinted>2020-06-22T01:34:00Z</cp:lastPrinted>
  <dcterms:modified xsi:type="dcterms:W3CDTF">2021-05-21T06:56:28Z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8D153AD6FC754BCA8658CAACDDBF1628</vt:lpwstr>
  </property>
</Properties>
</file>