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312" w:line="500" w:lineRule="atLeast"/>
        <w:jc w:val="center"/>
        <w:rPr>
          <w:b/>
          <w:sz w:val="72"/>
        </w:rPr>
      </w:pPr>
    </w:p>
    <w:p>
      <w:pPr>
        <w:spacing w:before="312" w:line="500" w:lineRule="atLeast"/>
        <w:jc w:val="center"/>
        <w:rPr>
          <w:b/>
          <w:sz w:val="72"/>
        </w:rPr>
      </w:pPr>
      <w:r>
        <w:rPr>
          <w:b/>
          <w:sz w:val="72"/>
        </w:rPr>
        <w:t>建设项目环境影响报告表</w:t>
      </w:r>
    </w:p>
    <w:p>
      <w:pPr>
        <w:spacing w:before="312" w:line="500" w:lineRule="atLeast"/>
        <w:jc w:val="center"/>
      </w:pPr>
    </w:p>
    <w:p>
      <w:pPr>
        <w:spacing w:before="312" w:line="500" w:lineRule="atLeast"/>
        <w:jc w:val="center"/>
      </w:pPr>
    </w:p>
    <w:p>
      <w:pPr>
        <w:spacing w:before="312" w:line="500" w:lineRule="atLeast"/>
        <w:jc w:val="center"/>
      </w:pPr>
    </w:p>
    <w:p>
      <w:pPr>
        <w:spacing w:before="312" w:line="500" w:lineRule="atLeast"/>
      </w:pPr>
    </w:p>
    <w:p>
      <w:pPr>
        <w:pStyle w:val="13"/>
        <w:adjustRightInd w:val="0"/>
        <w:snapToGrid w:val="0"/>
        <w:spacing w:line="480" w:lineRule="auto"/>
        <w:ind w:left="1600" w:hanging="1606" w:hangingChars="500"/>
        <w:rPr>
          <w:rFonts w:ascii="Times New Roman" w:hAnsi="Times New Roman" w:cs="Times New Roman"/>
          <w:b/>
          <w:spacing w:val="8"/>
          <w:sz w:val="32"/>
          <w:szCs w:val="32"/>
          <w:u w:val="single"/>
        </w:rPr>
      </w:pPr>
      <w:r>
        <w:rPr>
          <w:rFonts w:ascii="Times New Roman" w:hAnsi="Times New Roman" w:cs="Times New Roman"/>
          <w:b/>
          <w:sz w:val="32"/>
          <w:szCs w:val="32"/>
        </w:rPr>
        <w:t>项目名称：</w:t>
      </w:r>
      <w:r>
        <w:rPr>
          <w:rFonts w:ascii="Times New Roman" w:hAnsi="Times New Roman" w:cs="Times New Roman"/>
          <w:b/>
          <w:kern w:val="0"/>
          <w:sz w:val="32"/>
          <w:szCs w:val="32"/>
          <w:u w:val="single"/>
        </w:rPr>
        <w:t>东方航空技术有限公司西北分公司1号机库改造项目</w:t>
      </w:r>
      <w:r>
        <w:rPr>
          <w:rFonts w:ascii="Times New Roman" w:hAnsi="Times New Roman" w:cs="Times New Roman"/>
          <w:b/>
          <w:spacing w:val="8"/>
          <w:sz w:val="32"/>
          <w:szCs w:val="32"/>
          <w:u w:val="single"/>
        </w:rPr>
        <w:t xml:space="preserve">   </w:t>
      </w:r>
    </w:p>
    <w:p>
      <w:pPr>
        <w:pStyle w:val="13"/>
        <w:adjustRightInd w:val="0"/>
        <w:snapToGrid w:val="0"/>
        <w:spacing w:line="480" w:lineRule="auto"/>
        <w:rPr>
          <w:rFonts w:ascii="Times New Roman" w:hAnsi="Times New Roman" w:cs="Times New Roman"/>
          <w:b/>
          <w:sz w:val="36"/>
          <w:szCs w:val="36"/>
        </w:rPr>
      </w:pPr>
      <w:r>
        <w:rPr>
          <w:rFonts w:ascii="Times New Roman" w:hAnsi="Times New Roman" w:cs="Times New Roman"/>
          <w:b/>
          <w:sz w:val="32"/>
          <w:szCs w:val="32"/>
        </w:rPr>
        <w:t>建设单位（盖章）：</w:t>
      </w:r>
      <w:r>
        <w:rPr>
          <w:rFonts w:ascii="Times New Roman" w:hAnsi="Times New Roman" w:cs="Times New Roman"/>
          <w:b/>
          <w:sz w:val="32"/>
          <w:szCs w:val="32"/>
          <w:u w:val="single"/>
        </w:rPr>
        <w:t xml:space="preserve">  </w:t>
      </w:r>
      <w:r>
        <w:rPr>
          <w:rFonts w:ascii="Times New Roman" w:hAnsi="Times New Roman" w:cs="Times New Roman"/>
          <w:b/>
          <w:kern w:val="0"/>
          <w:sz w:val="32"/>
          <w:szCs w:val="32"/>
          <w:u w:val="single"/>
        </w:rPr>
        <w:t>东方航空技术有限公司西北分公司</w:t>
      </w:r>
      <w:r>
        <w:rPr>
          <w:rFonts w:ascii="Times New Roman" w:hAnsi="Times New Roman" w:cs="Times New Roman"/>
          <w:b/>
          <w:sz w:val="32"/>
          <w:szCs w:val="32"/>
          <w:u w:val="single"/>
        </w:rPr>
        <w:t xml:space="preserve">   </w:t>
      </w:r>
    </w:p>
    <w:p>
      <w:pPr>
        <w:spacing w:before="312" w:line="500" w:lineRule="atLeast"/>
        <w:jc w:val="center"/>
      </w:pPr>
    </w:p>
    <w:p>
      <w:pPr>
        <w:spacing w:before="312" w:line="500" w:lineRule="atLeast"/>
        <w:jc w:val="center"/>
      </w:pPr>
    </w:p>
    <w:p>
      <w:pPr>
        <w:spacing w:before="312" w:line="500" w:lineRule="atLeast"/>
        <w:jc w:val="center"/>
      </w:pPr>
    </w:p>
    <w:p>
      <w:pPr>
        <w:spacing w:before="240" w:line="500" w:lineRule="atLeast"/>
        <w:jc w:val="center"/>
        <w:rPr>
          <w:sz w:val="30"/>
        </w:rPr>
      </w:pPr>
      <w:r>
        <w:rPr>
          <w:sz w:val="30"/>
        </w:rPr>
        <w:t>编制日期：二〇二〇年五月</w:t>
      </w:r>
    </w:p>
    <w:p>
      <w:pPr>
        <w:adjustRightInd w:val="0"/>
        <w:snapToGrid w:val="0"/>
        <w:spacing w:line="480" w:lineRule="auto"/>
        <w:jc w:val="center"/>
        <w:outlineLvl w:val="0"/>
        <w:rPr>
          <w:b/>
          <w:sz w:val="36"/>
        </w:rPr>
      </w:pPr>
      <w:r>
        <w:rPr>
          <w:sz w:val="30"/>
        </w:rPr>
        <w:t>国家生态环境部制</w:t>
      </w:r>
      <w:r>
        <w:rPr>
          <w:b/>
          <w:sz w:val="36"/>
        </w:rPr>
        <w:br w:type="page"/>
      </w:r>
      <w:r>
        <w:rPr>
          <w:b/>
          <w:sz w:val="36"/>
        </w:rPr>
        <w:br w:type="page"/>
      </w:r>
      <w:r>
        <w:rPr>
          <w:b/>
          <w:sz w:val="36"/>
        </w:rPr>
        <w:t>《建设项目环境影响报告表》编制说明</w:t>
      </w:r>
    </w:p>
    <w:p>
      <w:pPr>
        <w:pStyle w:val="32"/>
        <w:adjustRightInd w:val="0"/>
        <w:snapToGrid w:val="0"/>
        <w:spacing w:line="480" w:lineRule="auto"/>
        <w:ind w:firstLine="560" w:firstLineChars="200"/>
        <w:rPr>
          <w:sz w:val="28"/>
          <w:szCs w:val="28"/>
        </w:rPr>
      </w:pPr>
      <w:r>
        <w:rPr>
          <w:sz w:val="28"/>
          <w:szCs w:val="28"/>
        </w:rPr>
        <w:t>《建设项目环境影响报告表》由具有从事环境影响评价工作资质的单位编制。</w:t>
      </w:r>
    </w:p>
    <w:p>
      <w:pPr>
        <w:numPr>
          <w:ilvl w:val="0"/>
          <w:numId w:val="1"/>
        </w:numPr>
        <w:adjustRightInd w:val="0"/>
        <w:snapToGrid w:val="0"/>
        <w:spacing w:line="480" w:lineRule="auto"/>
        <w:rPr>
          <w:sz w:val="28"/>
          <w:szCs w:val="28"/>
        </w:rPr>
      </w:pPr>
      <w:r>
        <w:rPr>
          <w:sz w:val="28"/>
          <w:szCs w:val="28"/>
        </w:rPr>
        <w:t>项目名称----指项目立项批复时的名称，应不超过30个字（两个英文字段作一个汉字）。</w:t>
      </w:r>
    </w:p>
    <w:p>
      <w:pPr>
        <w:numPr>
          <w:ilvl w:val="0"/>
          <w:numId w:val="1"/>
        </w:numPr>
        <w:adjustRightInd w:val="0"/>
        <w:snapToGrid w:val="0"/>
        <w:spacing w:line="480" w:lineRule="auto"/>
        <w:rPr>
          <w:sz w:val="28"/>
          <w:szCs w:val="28"/>
        </w:rPr>
      </w:pPr>
      <w:r>
        <w:rPr>
          <w:sz w:val="28"/>
          <w:szCs w:val="28"/>
        </w:rPr>
        <w:t>建设地点----指项目所在地详细地址、公路、铁路应填写起止地点。</w:t>
      </w:r>
    </w:p>
    <w:p>
      <w:pPr>
        <w:numPr>
          <w:ilvl w:val="0"/>
          <w:numId w:val="1"/>
        </w:numPr>
        <w:adjustRightInd w:val="0"/>
        <w:snapToGrid w:val="0"/>
        <w:spacing w:line="480" w:lineRule="auto"/>
        <w:rPr>
          <w:sz w:val="28"/>
          <w:szCs w:val="28"/>
        </w:rPr>
      </w:pPr>
      <w:r>
        <w:rPr>
          <w:sz w:val="28"/>
          <w:szCs w:val="28"/>
        </w:rPr>
        <w:t>行业类别----按国标填写。</w:t>
      </w:r>
    </w:p>
    <w:p>
      <w:pPr>
        <w:numPr>
          <w:ilvl w:val="0"/>
          <w:numId w:val="1"/>
        </w:numPr>
        <w:adjustRightInd w:val="0"/>
        <w:snapToGrid w:val="0"/>
        <w:spacing w:line="480" w:lineRule="auto"/>
        <w:rPr>
          <w:sz w:val="28"/>
          <w:szCs w:val="28"/>
        </w:rPr>
      </w:pPr>
      <w:r>
        <w:rPr>
          <w:sz w:val="28"/>
          <w:szCs w:val="28"/>
        </w:rPr>
        <w:t>总投资----指项目投资总额。</w:t>
      </w:r>
    </w:p>
    <w:p>
      <w:pPr>
        <w:numPr>
          <w:ilvl w:val="0"/>
          <w:numId w:val="1"/>
        </w:numPr>
        <w:adjustRightInd w:val="0"/>
        <w:snapToGrid w:val="0"/>
        <w:spacing w:line="480" w:lineRule="auto"/>
        <w:rPr>
          <w:sz w:val="28"/>
          <w:szCs w:val="28"/>
        </w:rPr>
      </w:pPr>
      <w:r>
        <w:rPr>
          <w:sz w:val="28"/>
          <w:szCs w:val="28"/>
        </w:rPr>
        <w:t>主要环境保护目标----指项目区周围一定范围内集中居民住宅、学校、医院、保护文物、风景名胜区、水源地和生态敏感点等，应尽可能给出保护目标、性质、规模和距厂界距离等。</w:t>
      </w:r>
    </w:p>
    <w:p>
      <w:pPr>
        <w:numPr>
          <w:ilvl w:val="0"/>
          <w:numId w:val="1"/>
        </w:numPr>
        <w:adjustRightInd w:val="0"/>
        <w:snapToGrid w:val="0"/>
        <w:spacing w:line="480" w:lineRule="auto"/>
        <w:rPr>
          <w:sz w:val="28"/>
          <w:szCs w:val="28"/>
        </w:rPr>
      </w:pPr>
      <w:r>
        <w:rPr>
          <w:sz w:val="28"/>
          <w:szCs w:val="28"/>
        </w:rPr>
        <w:t>结论与建议----给出本项目清洁生产、达标排放和总量控制的分析结论，确定污染防治措施的有效性，说明本项目对环境造成的影响，给出建设项目环境可行性的明确结论。同时提出减少环境影响的其它建议。</w:t>
      </w:r>
    </w:p>
    <w:p>
      <w:pPr>
        <w:numPr>
          <w:ilvl w:val="0"/>
          <w:numId w:val="1"/>
        </w:numPr>
        <w:adjustRightInd w:val="0"/>
        <w:snapToGrid w:val="0"/>
        <w:spacing w:line="480" w:lineRule="auto"/>
        <w:rPr>
          <w:sz w:val="28"/>
          <w:szCs w:val="28"/>
        </w:rPr>
      </w:pPr>
      <w:r>
        <w:rPr>
          <w:sz w:val="28"/>
          <w:szCs w:val="28"/>
        </w:rPr>
        <w:t>预审意见----由行业主管部门填写答复意见，无主管部门项目，可不填。</w:t>
      </w:r>
    </w:p>
    <w:p>
      <w:pPr>
        <w:numPr>
          <w:ilvl w:val="0"/>
          <w:numId w:val="1"/>
        </w:numPr>
        <w:adjustRightInd w:val="0"/>
        <w:snapToGrid w:val="0"/>
        <w:spacing w:line="480" w:lineRule="auto"/>
        <w:rPr>
          <w:sz w:val="28"/>
          <w:szCs w:val="28"/>
        </w:rPr>
      </w:pPr>
      <w:r>
        <w:rPr>
          <w:sz w:val="28"/>
          <w:szCs w:val="28"/>
        </w:rPr>
        <w:t>审批意见----由负责审批该项目的环境保护行政主管部门批复。</w:t>
      </w: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pPr>
    </w:p>
    <w:p>
      <w:pPr>
        <w:adjustRightInd w:val="0"/>
        <w:snapToGrid w:val="0"/>
        <w:spacing w:line="480" w:lineRule="auto"/>
        <w:sectPr>
          <w:headerReference r:id="rId3" w:type="default"/>
          <w:footerReference r:id="rId4" w:type="default"/>
          <w:pgSz w:w="11906" w:h="16838"/>
          <w:pgMar w:top="1440" w:right="1286" w:bottom="1440" w:left="1440" w:header="851" w:footer="992" w:gutter="170"/>
          <w:pgBorders>
            <w:top w:val="none" w:sz="0" w:space="0"/>
            <w:left w:val="none" w:sz="0" w:space="0"/>
            <w:bottom w:val="none" w:sz="0" w:space="0"/>
            <w:right w:val="none" w:sz="0" w:space="0"/>
          </w:pgBorders>
          <w:pgNumType w:start="1"/>
          <w:cols w:space="720" w:num="1"/>
          <w:titlePg/>
          <w:docGrid w:type="lines" w:linePitch="312" w:charSpace="0"/>
        </w:sectPr>
      </w:pPr>
    </w:p>
    <w:p>
      <w:pPr>
        <w:rPr>
          <w:rStyle w:val="78"/>
        </w:rPr>
      </w:pPr>
      <w:bookmarkStart w:id="0" w:name="_Toc183170407"/>
      <w:bookmarkStart w:id="1" w:name="_Toc193872733"/>
      <w:bookmarkStart w:id="2" w:name="_Toc182888692"/>
      <w:bookmarkStart w:id="3" w:name="_Toc183088178"/>
      <w:bookmarkStart w:id="4" w:name="_Toc171761613"/>
      <w:bookmarkStart w:id="5" w:name="_Toc182830654"/>
      <w:bookmarkStart w:id="6" w:name="_Toc178817696"/>
      <w:bookmarkStart w:id="7" w:name="_Toc183006401"/>
      <w:bookmarkStart w:id="8" w:name="_Toc182819242"/>
      <w:r>
        <w:rPr>
          <w:rStyle w:val="78"/>
        </w:rPr>
        <w:t>建设项目基本情况</w:t>
      </w:r>
      <w:bookmarkEnd w:id="0"/>
      <w:bookmarkEnd w:id="1"/>
      <w:bookmarkEnd w:id="2"/>
      <w:bookmarkEnd w:id="3"/>
      <w:bookmarkEnd w:id="4"/>
      <w:bookmarkEnd w:id="5"/>
      <w:bookmarkEnd w:id="6"/>
      <w:bookmarkEnd w:id="7"/>
      <w:bookmarkEnd w:id="8"/>
    </w:p>
    <w:tbl>
      <w:tblPr>
        <w:tblStyle w:val="38"/>
        <w:tblW w:w="899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14"/>
        <w:gridCol w:w="1900"/>
        <w:gridCol w:w="1501"/>
        <w:gridCol w:w="959"/>
        <w:gridCol w:w="370"/>
        <w:gridCol w:w="755"/>
        <w:gridCol w:w="870"/>
        <w:gridCol w:w="14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项目名称</w:t>
            </w:r>
          </w:p>
        </w:tc>
        <w:tc>
          <w:tcPr>
            <w:tcW w:w="7780"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pacing w:val="-4"/>
                <w:sz w:val="24"/>
                <w:szCs w:val="24"/>
                <w14:textFill>
                  <w14:solidFill>
                    <w14:schemeClr w14:val="tx1"/>
                  </w14:solidFill>
                </w14:textFill>
              </w:rPr>
            </w:pPr>
            <w:r>
              <w:rPr>
                <w:rFonts w:hint="default"/>
                <w:color w:val="000000" w:themeColor="text1"/>
                <w:kern w:val="0"/>
                <w:sz w:val="24"/>
                <w:szCs w:val="24"/>
                <w:lang w:val="zh-CN"/>
                <w14:textFill>
                  <w14:solidFill>
                    <w14:schemeClr w14:val="tx1"/>
                  </w14:solidFill>
                </w14:textFill>
              </w:rPr>
              <w:t>东方航空技术有限公司西北分公司1号机库改造项目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建设单位</w:t>
            </w:r>
          </w:p>
        </w:tc>
        <w:tc>
          <w:tcPr>
            <w:tcW w:w="7780"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kern w:val="0"/>
                <w:sz w:val="24"/>
                <w:szCs w:val="24"/>
                <w:lang w:val="zh-CN"/>
                <w14:textFill>
                  <w14:solidFill>
                    <w14:schemeClr w14:val="tx1"/>
                  </w14:solidFill>
                </w14:textFill>
              </w:rPr>
              <w:t>东方航空技术有限公司西北分公司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0"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法人代表</w:t>
            </w:r>
          </w:p>
        </w:tc>
        <w:tc>
          <w:tcPr>
            <w:tcW w:w="3401" w:type="dxa"/>
            <w:gridSpan w:val="2"/>
            <w:vAlign w:val="center"/>
          </w:tcPr>
          <w:p>
            <w:pPr>
              <w:keepNext w:val="0"/>
              <w:keepLines w:val="0"/>
              <w:suppressLineNumbers w:val="0"/>
              <w:adjustRightInd w:val="0"/>
              <w:snapToGrid w:val="0"/>
              <w:spacing w:before="0" w:beforeAutospacing="0" w:after="0" w:afterAutospacing="0"/>
              <w:ind w:left="0" w:right="0" w:firstLine="1200" w:firstLineChars="5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贾</w:t>
            </w:r>
            <w:r>
              <w:rPr>
                <w:rFonts w:hint="eastAsia"/>
                <w:color w:val="000000" w:themeColor="text1"/>
                <w:sz w:val="24"/>
                <w:szCs w:val="24"/>
                <w14:textFill>
                  <w14:solidFill>
                    <w14:schemeClr w14:val="tx1"/>
                  </w14:solidFill>
                </w14:textFill>
              </w:rPr>
              <w:t>兴</w:t>
            </w:r>
            <w:r>
              <w:rPr>
                <w:rFonts w:hint="default"/>
                <w:color w:val="000000" w:themeColor="text1"/>
                <w:sz w:val="24"/>
                <w:szCs w:val="24"/>
                <w14:textFill>
                  <w14:solidFill>
                    <w14:schemeClr w14:val="tx1"/>
                  </w14:solidFill>
                </w14:textFill>
              </w:rPr>
              <w:t xml:space="preserve">华 </w:t>
            </w:r>
          </w:p>
        </w:tc>
        <w:tc>
          <w:tcPr>
            <w:tcW w:w="959" w:type="dxa"/>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联系人</w:t>
            </w:r>
          </w:p>
        </w:tc>
        <w:tc>
          <w:tcPr>
            <w:tcW w:w="3420" w:type="dxa"/>
            <w:gridSpan w:val="4"/>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eastAsia"/>
                <w:color w:val="000000" w:themeColor="text1"/>
                <w:kern w:val="0"/>
                <w:sz w:val="24"/>
                <w:szCs w:val="24"/>
                <w14:textFill>
                  <w14:solidFill>
                    <w14:schemeClr w14:val="tx1"/>
                  </w14:solidFill>
                </w14:textFill>
              </w:rPr>
              <w:t>伍海峰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5"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通讯地址</w:t>
            </w:r>
          </w:p>
        </w:tc>
        <w:tc>
          <w:tcPr>
            <w:tcW w:w="7780"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西咸新区空港新城西安咸阳机场空港东二路东航技术公司西北分公司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联系电话</w:t>
            </w:r>
          </w:p>
        </w:tc>
        <w:tc>
          <w:tcPr>
            <w:tcW w:w="1900" w:type="dxa"/>
            <w:vAlign w:val="center"/>
          </w:tcPr>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eastAsia"/>
                <w:color w:val="000000" w:themeColor="text1"/>
                <w:kern w:val="0"/>
                <w:sz w:val="24"/>
                <w:szCs w:val="24"/>
                <w14:textFill>
                  <w14:solidFill>
                    <w14:schemeClr w14:val="tx1"/>
                  </w14:solidFill>
                </w14:textFill>
              </w:rPr>
              <w:t>13991129683</w:t>
            </w:r>
          </w:p>
        </w:tc>
        <w:tc>
          <w:tcPr>
            <w:tcW w:w="1501" w:type="dxa"/>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传  真</w:t>
            </w:r>
          </w:p>
        </w:tc>
        <w:tc>
          <w:tcPr>
            <w:tcW w:w="959"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14:textFill>
                  <w14:solidFill>
                    <w14:schemeClr w14:val="tx1"/>
                  </w14:solidFill>
                </w14:textFill>
              </w:rPr>
              <w:t>/</w:t>
            </w:r>
          </w:p>
        </w:tc>
        <w:tc>
          <w:tcPr>
            <w:tcW w:w="1995"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邮政编码</w:t>
            </w:r>
          </w:p>
        </w:tc>
        <w:tc>
          <w:tcPr>
            <w:tcW w:w="1425" w:type="dxa"/>
            <w:vAlign w:val="center"/>
          </w:tcPr>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712000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3"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建设地点</w:t>
            </w:r>
          </w:p>
        </w:tc>
        <w:tc>
          <w:tcPr>
            <w:tcW w:w="7780"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pacing w:val="-4"/>
                <w:sz w:val="24"/>
                <w:szCs w:val="24"/>
                <w14:textFill>
                  <w14:solidFill>
                    <w14:schemeClr w14:val="tx1"/>
                  </w14:solidFill>
                </w14:textFill>
              </w:rPr>
            </w:pPr>
            <w:r>
              <w:rPr>
                <w:rFonts w:hint="default"/>
                <w:color w:val="000000" w:themeColor="text1"/>
                <w:sz w:val="24"/>
                <w14:textFill>
                  <w14:solidFill>
                    <w14:schemeClr w14:val="tx1"/>
                  </w14:solidFill>
                </w14:textFill>
              </w:rPr>
              <w:t>陕西省西咸新区空港新城西安咸阳机场空港东二路东航技术公司西北分公司1号机库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4" w:hRule="atLeas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立项审批部门</w:t>
            </w:r>
          </w:p>
        </w:tc>
        <w:tc>
          <w:tcPr>
            <w:tcW w:w="340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kern w:val="0"/>
                <w:sz w:val="24"/>
                <w14:textFill>
                  <w14:solidFill>
                    <w14:schemeClr w14:val="tx1"/>
                  </w14:solidFill>
                </w14:textFill>
              </w:rPr>
              <w:t>空港新城行政审批和政务服务局</w:t>
            </w:r>
          </w:p>
        </w:tc>
        <w:tc>
          <w:tcPr>
            <w:tcW w:w="132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10"/>
                <w:sz w:val="24"/>
                <w:szCs w:val="24"/>
                <w14:textFill>
                  <w14:solidFill>
                    <w14:schemeClr w14:val="tx1"/>
                  </w14:solidFill>
                </w14:textFill>
              </w:rPr>
            </w:pPr>
            <w:r>
              <w:rPr>
                <w:rFonts w:hint="default"/>
                <w:b/>
                <w:bCs/>
                <w:color w:val="000000" w:themeColor="text1"/>
                <w:spacing w:val="-10"/>
                <w:sz w:val="24"/>
                <w:szCs w:val="24"/>
                <w14:textFill>
                  <w14:solidFill>
                    <w14:schemeClr w14:val="tx1"/>
                  </w14:solidFill>
                </w14:textFill>
              </w:rPr>
              <w:t>备案文号</w:t>
            </w:r>
          </w:p>
        </w:tc>
        <w:tc>
          <w:tcPr>
            <w:tcW w:w="3050"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建设性质</w:t>
            </w:r>
          </w:p>
        </w:tc>
        <w:tc>
          <w:tcPr>
            <w:tcW w:w="340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 w:val="24"/>
                <w:szCs w:val="24"/>
                <w14:textFill>
                  <w14:solidFill>
                    <w14:schemeClr w14:val="tx1"/>
                  </w14:solidFill>
                </w14:textFill>
              </w:rPr>
            </w:pPr>
            <w:r>
              <w:rPr>
                <w:rFonts w:hint="default"/>
                <w:bCs/>
                <w:color w:val="000000" w:themeColor="text1"/>
                <w:sz w:val="24"/>
                <w:szCs w:val="24"/>
                <w14:textFill>
                  <w14:solidFill>
                    <w14:schemeClr w14:val="tx1"/>
                  </w14:solidFill>
                </w14:textFill>
              </w:rPr>
              <w:t>□新建■改扩建□技改</w:t>
            </w:r>
          </w:p>
        </w:tc>
        <w:tc>
          <w:tcPr>
            <w:tcW w:w="132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10"/>
                <w:sz w:val="24"/>
                <w:szCs w:val="24"/>
                <w14:textFill>
                  <w14:solidFill>
                    <w14:schemeClr w14:val="tx1"/>
                  </w14:solidFill>
                </w14:textFill>
              </w:rPr>
            </w:pPr>
            <w:r>
              <w:rPr>
                <w:rFonts w:hint="default"/>
                <w:b/>
                <w:bCs/>
                <w:color w:val="000000" w:themeColor="text1"/>
                <w:spacing w:val="-10"/>
                <w:sz w:val="24"/>
                <w:szCs w:val="24"/>
                <w14:textFill>
                  <w14:solidFill>
                    <w14:schemeClr w14:val="tx1"/>
                  </w14:solidFill>
                </w14:textFill>
              </w:rPr>
              <w:t>行业类别及代码</w:t>
            </w:r>
          </w:p>
        </w:tc>
        <w:tc>
          <w:tcPr>
            <w:tcW w:w="3050"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C4343航空航天器修理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pacing w:val="-8"/>
                <w:sz w:val="24"/>
                <w:szCs w:val="24"/>
                <w14:textFill>
                  <w14:solidFill>
                    <w14:schemeClr w14:val="tx1"/>
                  </w14:solidFill>
                </w14:textFill>
              </w:rPr>
            </w:pPr>
            <w:r>
              <w:rPr>
                <w:rFonts w:hint="default"/>
                <w:b/>
                <w:bCs/>
                <w:color w:val="000000" w:themeColor="text1"/>
                <w:spacing w:val="-8"/>
                <w:sz w:val="24"/>
                <w:szCs w:val="24"/>
                <w14:textFill>
                  <w14:solidFill>
                    <w14:schemeClr w14:val="tx1"/>
                  </w14:solidFill>
                </w14:textFill>
              </w:rPr>
              <w:t>占地面积</w:t>
            </w:r>
          </w:p>
        </w:tc>
        <w:tc>
          <w:tcPr>
            <w:tcW w:w="340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4</w:t>
            </w:r>
            <w:r>
              <w:rPr>
                <w:rFonts w:hint="eastAsia"/>
                <w:color w:val="000000" w:themeColor="text1"/>
                <w:sz w:val="24"/>
                <w:szCs w:val="24"/>
                <w14:textFill>
                  <w14:solidFill>
                    <w14:schemeClr w14:val="tx1"/>
                  </w14:solidFill>
                </w14:textFill>
              </w:rPr>
              <w:t>790</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2</w:t>
            </w:r>
          </w:p>
        </w:tc>
        <w:tc>
          <w:tcPr>
            <w:tcW w:w="132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8"/>
                <w:sz w:val="24"/>
                <w:szCs w:val="24"/>
                <w14:textFill>
                  <w14:solidFill>
                    <w14:schemeClr w14:val="tx1"/>
                  </w14:solidFill>
                </w14:textFill>
              </w:rPr>
            </w:pPr>
            <w:r>
              <w:rPr>
                <w:rFonts w:hint="default"/>
                <w:b/>
                <w:bCs/>
                <w:color w:val="000000" w:themeColor="text1"/>
                <w:spacing w:val="-8"/>
                <w:sz w:val="24"/>
                <w:szCs w:val="24"/>
                <w14:textFill>
                  <w14:solidFill>
                    <w14:schemeClr w14:val="tx1"/>
                  </w14:solidFill>
                </w14:textFill>
              </w:rPr>
              <w:t>绿化面积</w:t>
            </w:r>
          </w:p>
        </w:tc>
        <w:tc>
          <w:tcPr>
            <w:tcW w:w="755" w:type="dxa"/>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w:t>
            </w:r>
          </w:p>
        </w:tc>
        <w:tc>
          <w:tcPr>
            <w:tcW w:w="870"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b/>
                <w:bCs/>
                <w:color w:val="000000" w:themeColor="text1"/>
                <w:spacing w:val="-8"/>
                <w:sz w:val="24"/>
                <w:szCs w:val="24"/>
                <w14:textFill>
                  <w14:solidFill>
                    <w14:schemeClr w14:val="tx1"/>
                  </w14:solidFill>
                </w14:textFill>
              </w:rPr>
              <w:t>绿化率</w:t>
            </w:r>
          </w:p>
        </w:tc>
        <w:tc>
          <w:tcPr>
            <w:tcW w:w="1425" w:type="dxa"/>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5" w:hRule="exac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总投资</w:t>
            </w:r>
          </w:p>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（万元）</w:t>
            </w:r>
          </w:p>
        </w:tc>
        <w:tc>
          <w:tcPr>
            <w:tcW w:w="1900"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750</w:t>
            </w:r>
          </w:p>
        </w:tc>
        <w:tc>
          <w:tcPr>
            <w:tcW w:w="1501" w:type="dxa"/>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12"/>
                <w:sz w:val="24"/>
                <w:szCs w:val="24"/>
                <w14:textFill>
                  <w14:solidFill>
                    <w14:schemeClr w14:val="tx1"/>
                  </w14:solidFill>
                </w14:textFill>
              </w:rPr>
            </w:pPr>
            <w:r>
              <w:rPr>
                <w:rFonts w:hint="default"/>
                <w:b/>
                <w:bCs/>
                <w:color w:val="000000" w:themeColor="text1"/>
                <w:spacing w:val="-12"/>
                <w:sz w:val="24"/>
                <w:szCs w:val="24"/>
                <w14:textFill>
                  <w14:solidFill>
                    <w14:schemeClr w14:val="tx1"/>
                  </w14:solidFill>
                </w14:textFill>
              </w:rPr>
              <w:t>其中：环保投资 (万元)</w:t>
            </w:r>
          </w:p>
        </w:tc>
        <w:tc>
          <w:tcPr>
            <w:tcW w:w="132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510</w:t>
            </w:r>
          </w:p>
        </w:tc>
        <w:tc>
          <w:tcPr>
            <w:tcW w:w="1625"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环保投资占总投资比例</w:t>
            </w:r>
          </w:p>
        </w:tc>
        <w:tc>
          <w:tcPr>
            <w:tcW w:w="1425" w:type="dxa"/>
            <w:vAlign w:val="center"/>
          </w:tcPr>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6</w:t>
            </w:r>
            <w:r>
              <w:rPr>
                <w:rFonts w:hint="eastAsia"/>
                <w:color w:val="000000" w:themeColor="text1"/>
                <w:sz w:val="24"/>
                <w:szCs w:val="24"/>
                <w14:textFill>
                  <w14:solidFill>
                    <w14:schemeClr w14:val="tx1"/>
                  </w14:solidFill>
                </w14:textFill>
              </w:rPr>
              <w:t>8</w:t>
            </w:r>
            <w:r>
              <w:rPr>
                <w:rFonts w:hint="default"/>
                <w:color w:val="000000" w:themeColor="text1"/>
                <w:sz w:val="24"/>
                <w:szCs w:val="24"/>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14"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评价经费</w:t>
            </w:r>
          </w:p>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pacing w:val="8"/>
                <w:sz w:val="24"/>
                <w:szCs w:val="24"/>
                <w14:textFill>
                  <w14:solidFill>
                    <w14:schemeClr w14:val="tx1"/>
                  </w14:solidFill>
                </w14:textFill>
              </w:rPr>
              <w:t>(万元)</w:t>
            </w:r>
          </w:p>
        </w:tc>
        <w:tc>
          <w:tcPr>
            <w:tcW w:w="1900" w:type="dxa"/>
            <w:vAlign w:val="center"/>
          </w:tcPr>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14:textFill>
                  <w14:solidFill>
                    <w14:schemeClr w14:val="tx1"/>
                  </w14:solidFill>
                </w14:textFill>
              </w:rPr>
              <w:t>/</w:t>
            </w:r>
          </w:p>
        </w:tc>
        <w:tc>
          <w:tcPr>
            <w:tcW w:w="1501"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预期投产</w:t>
            </w:r>
          </w:p>
          <w:p>
            <w:pPr>
              <w:keepNext w:val="0"/>
              <w:keepLines w:val="0"/>
              <w:suppressLineNumbers w:val="0"/>
              <w:spacing w:before="0" w:beforeAutospacing="0" w:after="0" w:afterAutospacing="0"/>
              <w:ind w:left="0" w:right="0"/>
              <w:jc w:val="center"/>
              <w:rPr>
                <w:rFonts w:hint="default"/>
                <w:b/>
                <w:bCs/>
                <w:color w:val="000000" w:themeColor="text1"/>
                <w:spacing w:val="-12"/>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日期</w:t>
            </w:r>
          </w:p>
        </w:tc>
        <w:tc>
          <w:tcPr>
            <w:tcW w:w="4379" w:type="dxa"/>
            <w:gridSpan w:val="5"/>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2020.7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34" w:hRule="atLeast"/>
          <w:jc w:val="center"/>
        </w:trPr>
        <w:tc>
          <w:tcPr>
            <w:tcW w:w="8994" w:type="dxa"/>
            <w:gridSpan w:val="8"/>
            <w:tcBorders>
              <w:bottom w:val="single" w:color="000000" w:sz="4" w:space="0"/>
            </w:tcBorders>
            <w:vAlign w:val="center"/>
          </w:tcPr>
          <w:p>
            <w:pPr>
              <w:keepNext w:val="0"/>
              <w:keepLines w:val="0"/>
              <w:suppressLineNumbers w:val="0"/>
              <w:adjustRightInd w:val="0"/>
              <w:snapToGrid w:val="0"/>
              <w:spacing w:before="156" w:beforeLines="50" w:beforeAutospacing="0" w:after="0" w:afterAutospacing="0" w:line="520" w:lineRule="exact"/>
              <w:ind w:left="0" w:right="0"/>
              <w:rPr>
                <w:rFonts w:hint="default"/>
                <w:b/>
                <w:bCs/>
                <w:color w:val="000000" w:themeColor="text1"/>
                <w:spacing w:val="-3"/>
                <w:szCs w:val="28"/>
                <w14:textFill>
                  <w14:solidFill>
                    <w14:schemeClr w14:val="tx1"/>
                  </w14:solidFill>
                </w14:textFill>
              </w:rPr>
            </w:pPr>
            <w:r>
              <w:rPr>
                <w:rFonts w:hint="default"/>
                <w:b/>
                <w:bCs/>
                <w:color w:val="000000" w:themeColor="text1"/>
                <w:spacing w:val="-3"/>
                <w:szCs w:val="28"/>
                <w14:textFill>
                  <w14:solidFill>
                    <w14:schemeClr w14:val="tx1"/>
                  </w14:solidFill>
                </w14:textFill>
              </w:rPr>
              <w:t>项目内容及规模</w:t>
            </w:r>
          </w:p>
          <w:p>
            <w:pPr>
              <w:keepNext w:val="0"/>
              <w:keepLines w:val="0"/>
              <w:suppressLineNumbers w:val="0"/>
              <w:tabs>
                <w:tab w:val="left" w:pos="1260"/>
              </w:tabs>
              <w:adjustRightInd w:val="0"/>
              <w:snapToGrid w:val="0"/>
              <w:spacing w:before="50" w:beforeAutospacing="0" w:after="0" w:afterAutospacing="0" w:line="520" w:lineRule="exact"/>
              <w:ind w:left="0" w:right="0" w:firstLine="448"/>
              <w:rPr>
                <w:rFonts w:hint="default"/>
                <w:color w:val="000000" w:themeColor="text1"/>
                <w:spacing w:val="-8"/>
                <w:sz w:val="24"/>
                <w:szCs w:val="24"/>
                <w14:textFill>
                  <w14:solidFill>
                    <w14:schemeClr w14:val="tx1"/>
                  </w14:solidFill>
                </w14:textFill>
              </w:rPr>
            </w:pPr>
            <w:r>
              <w:rPr>
                <w:rFonts w:hint="default"/>
                <w:b/>
                <w:color w:val="000000" w:themeColor="text1"/>
                <w:spacing w:val="-8"/>
                <w:sz w:val="24"/>
                <w:szCs w:val="24"/>
                <w14:textFill>
                  <w14:solidFill>
                    <w14:schemeClr w14:val="tx1"/>
                  </w14:solidFill>
                </w14:textFill>
              </w:rPr>
              <w:t>1、项目由来</w:t>
            </w:r>
          </w:p>
          <w:p>
            <w:pPr>
              <w:keepNext w:val="0"/>
              <w:keepLines w:val="0"/>
              <w:suppressLineNumbers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西安咸阳国际机场是中国西北地理位置最重要、规模最大、设备最齐全、运输生产最繁忙的大型国际航空港。东方航空技术有限公司西北分公司是东方航空技术有限公司设在西安的分公司，东方航空技术有限公司是中国东方航空股份有限公司的全资子公司。中国东方航空集团公司（以下简称东航集团）总部位于上海，是中国三大国有骨干航空运输集团之一。随着东航机队规模的扩大和业务量的增长，东航逐步确立了以上海、昆明和西安为中心的维修格局，东航将把西安打造成为其西北主要的维修中心。</w:t>
            </w:r>
            <w:r>
              <w:rPr>
                <w:rFonts w:hint="default"/>
                <w:color w:val="000000" w:themeColor="text1"/>
                <w:kern w:val="0"/>
                <w:sz w:val="24"/>
                <w:szCs w:val="24"/>
                <w:lang w:val="zh-CN"/>
                <w14:textFill>
                  <w14:solidFill>
                    <w14:schemeClr w14:val="tx1"/>
                  </w14:solidFill>
                </w14:textFill>
              </w:rPr>
              <w:t>东方航空技术有限公司西北分公司1号机库始建于1991年，主要用于</w:t>
            </w:r>
            <w:r>
              <w:rPr>
                <w:rFonts w:hint="default"/>
                <w:color w:val="000000" w:themeColor="text1"/>
                <w:kern w:val="0"/>
                <w:sz w:val="24"/>
                <w:szCs w:val="24"/>
                <w14:textFill>
                  <w14:solidFill>
                    <w14:schemeClr w14:val="tx1"/>
                  </w14:solidFill>
                </w14:textFill>
              </w:rPr>
              <w:t>维修</w:t>
            </w:r>
            <w:r>
              <w:rPr>
                <w:rFonts w:hint="default"/>
                <w:color w:val="000000" w:themeColor="text1"/>
                <w:kern w:val="0"/>
                <w:sz w:val="24"/>
                <w:szCs w:val="24"/>
                <w:lang w:val="zh-CN"/>
                <w14:textFill>
                  <w14:solidFill>
                    <w14:schemeClr w14:val="tx1"/>
                  </w14:solidFill>
                </w14:textFill>
              </w:rPr>
              <w:t>飞机</w:t>
            </w:r>
            <w:r>
              <w:rPr>
                <w:rFonts w:hint="default"/>
                <w:color w:val="000000" w:themeColor="text1"/>
                <w:kern w:val="0"/>
                <w:sz w:val="24"/>
                <w:szCs w:val="24"/>
                <w14:textFill>
                  <w14:solidFill>
                    <w14:schemeClr w14:val="tx1"/>
                  </w14:solidFill>
                </w14:textFill>
              </w:rPr>
              <w:t>的停放，</w:t>
            </w:r>
            <w:r>
              <w:rPr>
                <w:rFonts w:hint="default"/>
                <w:color w:val="000000" w:themeColor="text1"/>
                <w:sz w:val="24"/>
                <w14:textFill>
                  <w14:solidFill>
                    <w14:schemeClr w14:val="tx1"/>
                  </w14:solidFill>
                </w14:textFill>
              </w:rPr>
              <w:t>2013年10月16日取得陕西省西咸新区空港新城生态环保局文件关于东航西安维修基地新机库及配套建设项目环境影响报告表的批复（陕空港环批复[2013]10号）</w:t>
            </w:r>
            <w:r>
              <w:rPr>
                <w:rFonts w:hint="eastAsia"/>
                <w:color w:val="000000" w:themeColor="text1"/>
                <w:sz w:val="24"/>
                <w14:textFill>
                  <w14:solidFill>
                    <w14:schemeClr w14:val="tx1"/>
                  </w14:solidFill>
                </w14:textFill>
              </w:rPr>
              <w:t>，2016年7月21日取得陕西省西咸新区空港新城规划建设环保局关于东航西安维修基地新机库及配套建设项目竣工环保验收的批复（空港规建环[2016]23号）</w:t>
            </w:r>
            <w:r>
              <w:rPr>
                <w:rFonts w:hint="default"/>
                <w:color w:val="000000" w:themeColor="text1"/>
                <w:sz w:val="24"/>
                <w14:textFill>
                  <w14:solidFill>
                    <w14:schemeClr w14:val="tx1"/>
                  </w14:solidFill>
                </w14:textFill>
              </w:rPr>
              <w:t>。2020年，</w:t>
            </w:r>
            <w:r>
              <w:rPr>
                <w:rFonts w:hint="eastAsia"/>
                <w:color w:val="000000" w:themeColor="text1"/>
                <w:sz w:val="24"/>
                <w14:textFill>
                  <w14:solidFill>
                    <w14:schemeClr w14:val="tx1"/>
                  </w14:solidFill>
                </w14:textFill>
              </w:rPr>
              <w:t>东方航空技术有限公司</w:t>
            </w:r>
            <w:r>
              <w:rPr>
                <w:rFonts w:hint="default"/>
                <w:color w:val="000000" w:themeColor="text1"/>
                <w:sz w:val="24"/>
                <w14:textFill>
                  <w14:solidFill>
                    <w14:schemeClr w14:val="tx1"/>
                  </w14:solidFill>
                </w14:textFill>
              </w:rPr>
              <w:t>投资750万元建设</w:t>
            </w:r>
            <w:r>
              <w:rPr>
                <w:rFonts w:hint="default"/>
                <w:color w:val="000000" w:themeColor="text1"/>
                <w:kern w:val="0"/>
                <w:sz w:val="24"/>
                <w:szCs w:val="24"/>
                <w:lang w:val="zh-CN"/>
                <w14:textFill>
                  <w14:solidFill>
                    <w14:schemeClr w14:val="tx1"/>
                  </w14:solidFill>
                </w14:textFill>
              </w:rPr>
              <w:t>东方航空技术有限公司西北分公司1号机库改造项目</w:t>
            </w:r>
            <w:r>
              <w:rPr>
                <w:rFonts w:hint="default"/>
                <w:color w:val="000000" w:themeColor="text1"/>
                <w:sz w:val="24"/>
                <w:szCs w:val="24"/>
                <w14:textFill>
                  <w14:solidFill>
                    <w14:schemeClr w14:val="tx1"/>
                  </w14:solidFill>
                </w14:textFill>
              </w:rPr>
              <w:t>，</w:t>
            </w:r>
            <w:r>
              <w:rPr>
                <w:rFonts w:hint="default"/>
                <w:color w:val="000000" w:themeColor="text1"/>
                <w:sz w:val="24"/>
                <w14:textFill>
                  <w14:solidFill>
                    <w14:schemeClr w14:val="tx1"/>
                  </w14:solidFill>
                </w14:textFill>
              </w:rPr>
              <w:t>对1号机库生产线及环保设备设施和消防系统进行改造，安装废气通排风一体深度处理设备、气体检测报警系统，并进行消防设备设施及防爆电气、照明改造。</w:t>
            </w:r>
          </w:p>
          <w:p>
            <w:pPr>
              <w:keepNext w:val="0"/>
              <w:keepLines w:val="0"/>
              <w:suppressLineNumbers w:val="0"/>
              <w:adjustRightInd w:val="0"/>
              <w:snapToGrid w:val="0"/>
              <w:spacing w:before="50" w:beforeAutospacing="0" w:after="0" w:afterAutospacing="0" w:line="520" w:lineRule="exact"/>
              <w:ind w:left="0" w:right="0" w:firstLine="48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2、分析判定情况</w:t>
            </w:r>
          </w:p>
          <w:p>
            <w:pPr>
              <w:keepNext w:val="0"/>
              <w:keepLines w:val="0"/>
              <w:suppressLineNumbers w:val="0"/>
              <w:adjustRightInd w:val="0"/>
              <w:snapToGrid w:val="0"/>
              <w:spacing w:before="5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（1）产业政策</w:t>
            </w:r>
          </w:p>
          <w:p>
            <w:pPr>
              <w:keepNext w:val="0"/>
              <w:keepLines w:val="0"/>
              <w:suppressLineNumbers w:val="0"/>
              <w:adjustRightInd w:val="0"/>
              <w:snapToGrid w:val="0"/>
              <w:spacing w:before="50" w:beforeAutospacing="0" w:after="0" w:afterAutospacing="0" w:line="520" w:lineRule="exact"/>
              <w:ind w:left="0" w:right="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 xml:space="preserve">    根据《产业结构调整指导目录2019年本》，本项目为允许类，根据国家发展改革委、商务部会同有关部门汇总、审查形成的《市场准入负面清单(2019版)》，本项目不属于其中禁止建设的项目。项目不在《陕西省限制投资类产业指导目录》（陕发改产业[2007]97号）之列。项目已经</w:t>
            </w:r>
            <w:r>
              <w:rPr>
                <w:rFonts w:hint="default"/>
                <w:color w:val="000000" w:themeColor="text1"/>
                <w:kern w:val="0"/>
                <w:sz w:val="24"/>
                <w14:textFill>
                  <w14:solidFill>
                    <w14:schemeClr w14:val="tx1"/>
                  </w14:solidFill>
                </w14:textFill>
              </w:rPr>
              <w:t>空港新城行政审批和政务服务局备案，</w:t>
            </w:r>
            <w:r>
              <w:rPr>
                <w:rFonts w:hint="default"/>
                <w:color w:val="000000" w:themeColor="text1"/>
                <w:sz w:val="24"/>
                <w:szCs w:val="24"/>
                <w14:textFill>
                  <w14:solidFill>
                    <w14:schemeClr w14:val="tx1"/>
                  </w14:solidFill>
                </w14:textFill>
              </w:rPr>
              <w:t>因此项目的建设符合国家现行产业政策。</w:t>
            </w:r>
          </w:p>
          <w:p>
            <w:pPr>
              <w:pStyle w:val="2"/>
              <w:keepNext w:val="0"/>
              <w:keepLines w:val="0"/>
              <w:suppressLineNumbers w:val="0"/>
              <w:spacing w:before="0" w:beforeAutospacing="0" w:after="0" w:afterAutospacing="0" w:line="520" w:lineRule="exact"/>
              <w:ind w:left="0" w:leftChars="0" w:right="0" w:firstLine="0" w:firstLineChars="0"/>
              <w:rPr>
                <w:rFonts w:hint="default" w:ascii="Times New Roman" w:hAnsi="Times New Roman"/>
                <w:color w:val="000000" w:themeColor="text1"/>
                <w:sz w:val="24"/>
                <w:szCs w:val="20"/>
                <w14:textFill>
                  <w14:solidFill>
                    <w14:schemeClr w14:val="tx1"/>
                  </w14:solidFill>
                </w14:textFill>
              </w:rPr>
            </w:pPr>
            <w:r>
              <w:rPr>
                <w:rFonts w:hint="default" w:ascii="Times New Roman" w:hAnsi="Times New Roman"/>
                <w:color w:val="000000" w:themeColor="text1"/>
                <w:sz w:val="24"/>
                <w:szCs w:val="20"/>
                <w14:textFill>
                  <w14:solidFill>
                    <w14:schemeClr w14:val="tx1"/>
                  </w14:solidFill>
                </w14:textFill>
              </w:rPr>
              <w:t xml:space="preserve">    （2）选址合理性</w:t>
            </w:r>
          </w:p>
          <w:p>
            <w:pPr>
              <w:pStyle w:val="2"/>
              <w:keepNext w:val="0"/>
              <w:keepLines w:val="0"/>
              <w:suppressLineNumbers w:val="0"/>
              <w:spacing w:before="0" w:beforeAutospacing="0" w:after="0" w:afterAutospacing="0" w:line="520" w:lineRule="exact"/>
              <w:ind w:left="0" w:leftChars="0" w:right="0" w:firstLine="0" w:firstLineChars="0"/>
              <w:rPr>
                <w:rFonts w:hint="default" w:ascii="Times New Roman" w:hAnsi="Times New Roman"/>
                <w:color w:val="000000" w:themeColor="text1"/>
                <w:sz w:val="24"/>
                <w14:textFill>
                  <w14:solidFill>
                    <w14:schemeClr w14:val="tx1"/>
                  </w14:solidFill>
                </w14:textFill>
              </w:rPr>
            </w:pPr>
            <w:r>
              <w:rPr>
                <w:rFonts w:hint="default" w:ascii="Times New Roman" w:hAnsi="Times New Roman"/>
                <w:color w:val="000000" w:themeColor="text1"/>
                <w:sz w:val="24"/>
                <w:szCs w:val="20"/>
                <w14:textFill>
                  <w14:solidFill>
                    <w14:schemeClr w14:val="tx1"/>
                  </w14:solidFill>
                </w14:textFill>
              </w:rPr>
              <w:t xml:space="preserve">    本项目位于陕西省西咸新区空港新城西安咸阳机场空港东二路东航技术公司西北分公司1号机库，用于维修飞机的停放。2013年10月16日取得陕西省西咸新区空港新城生态环保局文件关于东航西安维修基地新机库及配套建设项目环境影响报告表的批复（陕空港环批复[2013]10号），</w:t>
            </w:r>
            <w:r>
              <w:rPr>
                <w:rFonts w:hint="eastAsia" w:ascii="Times New Roman" w:hAnsi="Times New Roman"/>
                <w:color w:val="000000" w:themeColor="text1"/>
                <w:sz w:val="24"/>
                <w:szCs w:val="20"/>
                <w14:textFill>
                  <w14:solidFill>
                    <w14:schemeClr w14:val="tx1"/>
                  </w14:solidFill>
                </w14:textFill>
              </w:rPr>
              <w:t>2016年7月21日取得陕西省西咸新区空港新城规划建设环保局关于东航西安维修基地新机库及配套建设项目竣工环保验收的批复（空港规建环[2016]23号）</w:t>
            </w:r>
            <w:r>
              <w:rPr>
                <w:rFonts w:hint="default" w:ascii="Times New Roman" w:hAnsi="Times New Roman"/>
                <w:color w:val="000000" w:themeColor="text1"/>
                <w:sz w:val="24"/>
                <w:szCs w:val="20"/>
                <w14:textFill>
                  <w14:solidFill>
                    <w14:schemeClr w14:val="tx1"/>
                  </w14:solidFill>
                </w14:textFill>
              </w:rPr>
              <w:t>。根据咸国用（2003）第142号文件，本项目位于西咸新区飞机场内，地类（用途）为民航设施。项目选址合理。</w:t>
            </w:r>
            <w:r>
              <w:rPr>
                <w:rFonts w:hint="default" w:ascii="Times New Roman" w:hAnsi="Times New Roman"/>
                <w:color w:val="000000" w:themeColor="text1"/>
                <w:sz w:val="24"/>
                <w14:textFill>
                  <w14:solidFill>
                    <w14:schemeClr w14:val="tx1"/>
                  </w14:solidFill>
                </w14:textFill>
              </w:rPr>
              <w:t xml:space="preserve"> </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sz w:val="24"/>
                <w:szCs w:val="20"/>
                <w14:textFill>
                  <w14:solidFill>
                    <w14:schemeClr w14:val="tx1"/>
                  </w14:solidFill>
                </w14:textFill>
              </w:rPr>
            </w:pPr>
            <w:r>
              <w:rPr>
                <w:rFonts w:hint="default" w:ascii="Times New Roman" w:hAnsi="Times New Roman"/>
                <w:color w:val="000000" w:themeColor="text1"/>
                <w:sz w:val="24"/>
                <w:szCs w:val="20"/>
                <w14:textFill>
                  <w14:solidFill>
                    <w14:schemeClr w14:val="tx1"/>
                  </w14:solidFill>
                </w14:textFill>
              </w:rPr>
              <w:t>（3）相关政策符合性</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sz w:val="24"/>
                <w:szCs w:val="20"/>
                <w14:textFill>
                  <w14:solidFill>
                    <w14:schemeClr w14:val="tx1"/>
                  </w14:solidFill>
                </w14:textFill>
              </w:rPr>
            </w:pPr>
            <w:r>
              <w:rPr>
                <w:rFonts w:hint="default" w:ascii="Times New Roman" w:hAnsi="Times New Roman"/>
                <w:color w:val="000000" w:themeColor="text1"/>
                <w:sz w:val="24"/>
                <w:szCs w:val="20"/>
                <w14:textFill>
                  <w14:solidFill>
                    <w14:schemeClr w14:val="tx1"/>
                  </w14:solidFill>
                </w14:textFill>
              </w:rPr>
              <w:t>根据《西咸新区空港新城分区规划（2016～2060年）环境影响报告书》，本项目所在地不位于空港新城禁止或限制建设区范围，不属于禁止或限制入区的高耗能、高污染类行业，符合空港新城规划方向及规划环评要求。</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sz w:val="24"/>
                <w:szCs w:val="20"/>
                <w14:textFill>
                  <w14:solidFill>
                    <w14:schemeClr w14:val="tx1"/>
                  </w14:solidFill>
                </w14:textFill>
              </w:rPr>
            </w:pPr>
            <w:r>
              <w:rPr>
                <w:rFonts w:hint="default" w:ascii="Times New Roman" w:hAnsi="Times New Roman"/>
                <w:color w:val="000000" w:themeColor="text1"/>
                <w:sz w:val="24"/>
                <w:szCs w:val="20"/>
                <w14:textFill>
                  <w14:solidFill>
                    <w14:schemeClr w14:val="tx1"/>
                  </w14:solidFill>
                </w14:textFill>
              </w:rPr>
              <w:t>项目与相关政策相符性及规划相符性分析见下表。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   相关政策相符性及规划相符性分析情况一览表</w:t>
            </w:r>
          </w:p>
          <w:tbl>
            <w:tblPr>
              <w:tblStyle w:val="38"/>
              <w:tblW w:w="8778"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36"/>
              <w:gridCol w:w="4065"/>
              <w:gridCol w:w="2655"/>
              <w:gridCol w:w="72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3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文件</w:t>
                  </w:r>
                </w:p>
              </w:tc>
              <w:tc>
                <w:tcPr>
                  <w:tcW w:w="406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相关要求</w:t>
                  </w:r>
                </w:p>
              </w:tc>
              <w:tc>
                <w:tcPr>
                  <w:tcW w:w="265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本项目情况</w:t>
                  </w:r>
                </w:p>
              </w:tc>
              <w:tc>
                <w:tcPr>
                  <w:tcW w:w="72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符合性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1336" w:type="dxa"/>
                  <w:tcBorders>
                    <w:bottom w:val="single" w:color="auto" w:sz="4" w:space="0"/>
                  </w:tcBorders>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挥发性有机物污（VOCs）染防治技术政策( 公告 2013年第31号)</w:t>
                  </w:r>
                </w:p>
              </w:tc>
              <w:tc>
                <w:tcPr>
                  <w:tcW w:w="4065" w:type="dxa"/>
                  <w:tcBorders>
                    <w:bottom w:val="single" w:color="auto" w:sz="4" w:space="0"/>
                  </w:tcBorders>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1、含VOCs产品的使用过程中，应采取废气收集措施，提高废气收集效率，减少废气的无组织排放与逸散，并对收集后的废气进行回收或处理后达标排放；</w:t>
                  </w:r>
                </w:p>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2、对于含低浓度VOCs的废气，有回收价值时可采用吸附技术、吸收技术对有机溶剂回收后达标排放；不宜回收时，可采用吸附浓缩燃烧技术、生物技术、吸收技术、等离子体技术或紫外光高级氧化技术等净化后达标排放；</w:t>
                  </w:r>
                </w:p>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3、对于不能再生的过滤材料、吸附剂及催化剂等净化材料，应按照国家固体废物管理的相关规定处理处置。</w:t>
                  </w:r>
                </w:p>
              </w:tc>
              <w:tc>
                <w:tcPr>
                  <w:tcW w:w="265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1、项目喷漆及晾干废气采用“</w:t>
                  </w:r>
                  <w:r>
                    <w:rPr>
                      <w:rFonts w:hint="default"/>
                      <w:color w:val="000000" w:themeColor="text1"/>
                      <w14:textFill>
                        <w14:solidFill>
                          <w14:schemeClr w14:val="tx1"/>
                        </w14:solidFill>
                      </w14:textFill>
                    </w:rPr>
                    <w:t>排风收集箱</w:t>
                  </w:r>
                  <w:r>
                    <w:rPr>
                      <w:rFonts w:hint="default"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干式</w:t>
                  </w:r>
                  <w:r>
                    <w:rPr>
                      <w:rFonts w:hint="default" w:ascii="Times New Roman" w:hAnsi="Times New Roman"/>
                      <w:color w:val="000000" w:themeColor="text1"/>
                      <w14:textFill>
                        <w14:solidFill>
                          <w14:schemeClr w14:val="tx1"/>
                        </w14:solidFill>
                      </w14:textFill>
                    </w:rPr>
                    <w:t>过滤器+活性炭吸附</w:t>
                  </w:r>
                  <w:r>
                    <w:rPr>
                      <w:rFonts w:hint="eastAsia" w:ascii="Times New Roman" w:hAnsi="Times New Roman"/>
                      <w:color w:val="000000" w:themeColor="text1"/>
                      <w14:textFill>
                        <w14:solidFill>
                          <w14:schemeClr w14:val="tx1"/>
                        </w14:solidFill>
                      </w14:textFill>
                    </w:rPr>
                    <w:t>箱</w:t>
                  </w:r>
                  <w:r>
                    <w:rPr>
                      <w:rFonts w:hint="default" w:ascii="Times New Roman" w:hAnsi="Times New Roman"/>
                      <w:color w:val="000000" w:themeColor="text1"/>
                      <w14:textFill>
                        <w14:solidFill>
                          <w14:schemeClr w14:val="tx1"/>
                        </w14:solidFill>
                      </w14:textFill>
                    </w:rPr>
                    <w:t>”装置处理，控制无组织废气的产生量，提高废气收集效率，并对收集后的废气处理后达标排放；</w:t>
                  </w:r>
                </w:p>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2、项目产生的危险废物，由维修基地危废暂存间暂存后交有资质单位处置，已签订危废协议。</w:t>
                  </w:r>
                </w:p>
              </w:tc>
              <w:tc>
                <w:tcPr>
                  <w:tcW w:w="722"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85" w:hRule="atLeast"/>
              </w:trPr>
              <w:tc>
                <w:tcPr>
                  <w:tcW w:w="1336" w:type="dxa"/>
                  <w:vAlign w:val="center"/>
                </w:tcPr>
                <w:p>
                  <w:pPr>
                    <w:keepNext w:val="0"/>
                    <w:keepLines w:val="0"/>
                    <w:suppressLineNumbers w:val="0"/>
                    <w:spacing w:before="0" w:beforeAutospacing="0" w:after="0" w:afterAutospacing="0"/>
                    <w:ind w:left="0" w:right="0"/>
                    <w:jc w:val="center"/>
                    <w:rPr>
                      <w:rFonts w:hint="default"/>
                      <w:color w:val="000000" w:themeColor="text1"/>
                      <w:lang w:val="zh-CN"/>
                      <w14:textFill>
                        <w14:solidFill>
                          <w14:schemeClr w14:val="tx1"/>
                        </w14:solidFill>
                      </w14:textFill>
                    </w:rPr>
                  </w:pPr>
                  <w:r>
                    <w:rPr>
                      <w:rFonts w:hint="default"/>
                      <w:color w:val="000000" w:themeColor="text1"/>
                      <w14:textFill>
                        <w14:solidFill>
                          <w14:schemeClr w14:val="tx1"/>
                        </w14:solidFill>
                      </w14:textFill>
                    </w:rPr>
                    <w:t>“十三五”挥发性有机物污染防治工作方案</w:t>
                  </w:r>
                </w:p>
              </w:tc>
              <w:tc>
                <w:tcPr>
                  <w:tcW w:w="4065"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严格建设项目环境准入。提高VOCs 排放重点行业环保准入门槛，严格控制新增污染物排放量。重点地区要严格限制石化、化工、包装印刷、工业涂装等高VOCs 排放建设项目。新建涉VOCs 排放的工业企业要入园区。新、改、扩建涉VOCs 排放项目，应从源头加强控制，使用低（无）VOCs 含量的原辅材料。加强废气收集，安装高效治理设施。</w:t>
                  </w:r>
                </w:p>
                <w:p>
                  <w:pPr>
                    <w:keepNext w:val="0"/>
                    <w:keepLines w:val="0"/>
                    <w:suppressLineNumbers w:val="0"/>
                    <w:autoSpaceDE w:val="0"/>
                    <w:autoSpaceDN w:val="0"/>
                    <w:adjustRightIn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加大工业涂装VOCs治理力度。全面推进集装箱、汽车、木质家具、船舶、工程机械、钢结构、卷材等制造行业工业涂装VOCs排放控制，在重点地区还应加强其他交通设备、电子、家用电器制造等行业工业涂装VOCs排放控制。试点推行水性涂料，大力采用自动喷涂、静电喷涂等先进涂装技术。加强有机废气收集与治理，有机废气收集率不低于80%，建设吸附燃烧等高校治理设施，实现达标排放。</w:t>
                  </w:r>
                </w:p>
              </w:tc>
              <w:tc>
                <w:tcPr>
                  <w:tcW w:w="265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本项目为改建项目，项目设计有机废气收集治理措施。喷漆及晾干废气经“排风收集箱+</w:t>
                  </w:r>
                  <w:r>
                    <w:rPr>
                      <w:rFonts w:hint="eastAsia" w:ascii="Times New Roman" w:hAnsi="Times New Roman"/>
                      <w:color w:val="000000" w:themeColor="text1"/>
                      <w14:textFill>
                        <w14:solidFill>
                          <w14:schemeClr w14:val="tx1"/>
                        </w14:solidFill>
                      </w14:textFill>
                    </w:rPr>
                    <w:t>干式过滤</w:t>
                  </w:r>
                  <w:r>
                    <w:rPr>
                      <w:rFonts w:hint="default" w:ascii="Times New Roman" w:hAnsi="Times New Roman"/>
                      <w:color w:val="000000" w:themeColor="text1"/>
                      <w14:textFill>
                        <w14:solidFill>
                          <w14:schemeClr w14:val="tx1"/>
                        </w14:solidFill>
                      </w14:textFill>
                    </w:rPr>
                    <w:t>器+</w:t>
                  </w:r>
                  <w:r>
                    <w:rPr>
                      <w:rFonts w:hint="eastAsia" w:ascii="Times New Roman" w:hAnsi="Times New Roman"/>
                      <w:color w:val="000000" w:themeColor="text1"/>
                      <w14:textFill>
                        <w14:solidFill>
                          <w14:schemeClr w14:val="tx1"/>
                        </w14:solidFill>
                      </w14:textFill>
                    </w:rPr>
                    <w:t>活性炭吸附</w:t>
                  </w:r>
                  <w:r>
                    <w:rPr>
                      <w:rFonts w:hint="default"/>
                      <w:color w:val="000000" w:themeColor="text1"/>
                      <w14:textFill>
                        <w14:solidFill>
                          <w14:schemeClr w14:val="tx1"/>
                        </w14:solidFill>
                      </w14:textFill>
                    </w:rPr>
                    <w:t>箱”+15米高的排气筒；有机废气处理效率可达80%以上，排放浓度满《挥发性有机物排放控制标准》(DB61/T1061-2017)中表面涂装有机废气排放标准限值</w:t>
                  </w:r>
                </w:p>
              </w:tc>
              <w:tc>
                <w:tcPr>
                  <w:tcW w:w="72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32" w:hRule="atLeast"/>
              </w:trPr>
              <w:tc>
                <w:tcPr>
                  <w:tcW w:w="1336"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《陕西省人民政府关于印发铁腕治霾打赢蓝天保卫战三年行动方案（2018-2020年）（修订版）的通知》（陕政发〔2018〕29号））</w:t>
                  </w:r>
                </w:p>
              </w:tc>
              <w:tc>
                <w:tcPr>
                  <w:tcW w:w="406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关中地区二氧化硫、氮氧化物、颗粒物、挥发性有机物（VOCs）全面执行大气污染物特别排放限值</w:t>
                  </w:r>
                </w:p>
              </w:tc>
              <w:tc>
                <w:tcPr>
                  <w:tcW w:w="265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 xml:space="preserve">本项目甲苯+乙苯、二甲苯、非甲烷总烃排放执行陕西省《挥发性有机物排放控制标准》（DB61/T 1061-2017）中的限值 </w:t>
                  </w:r>
                </w:p>
              </w:tc>
              <w:tc>
                <w:tcPr>
                  <w:tcW w:w="722"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85" w:hRule="atLeast"/>
              </w:trPr>
              <w:tc>
                <w:tcPr>
                  <w:tcW w:w="1336" w:type="dxa"/>
                  <w:vAlign w:val="center"/>
                </w:tcPr>
                <w:p>
                  <w:pPr>
                    <w:pStyle w:val="135"/>
                    <w:keepNext w:val="0"/>
                    <w:keepLines w:val="0"/>
                    <w:suppressLineNumbers w:val="0"/>
                    <w:spacing w:before="0" w:beforeAutospacing="0" w:afterAutospacing="0"/>
                    <w:ind w:left="0" w:right="0"/>
                    <w:rPr>
                      <w:rFonts w:hint="default"/>
                      <w:color w:val="000000" w:themeColor="text1"/>
                      <w14:textFill>
                        <w14:solidFill>
                          <w14:schemeClr w14:val="tx1"/>
                        </w14:solidFill>
                      </w14:textFill>
                    </w:rPr>
                  </w:pPr>
                  <w:r>
                    <w:rPr>
                      <w:rFonts w:hint="default"/>
                      <w:color w:val="000000" w:themeColor="text1"/>
                      <w:kern w:val="0"/>
                      <w:szCs w:val="21"/>
                      <w14:textFill>
                        <w14:solidFill>
                          <w14:schemeClr w14:val="tx1"/>
                        </w14:solidFill>
                      </w14:textFill>
                    </w:rPr>
                    <w:t>《陕西省蓝天保卫战2019年工作方案》</w:t>
                  </w:r>
                </w:p>
              </w:tc>
              <w:tc>
                <w:tcPr>
                  <w:tcW w:w="4065" w:type="dxa"/>
                  <w:vAlign w:val="center"/>
                </w:tcPr>
                <w:p>
                  <w:pPr>
                    <w:pStyle w:val="135"/>
                    <w:keepNext w:val="0"/>
                    <w:keepLines w:val="0"/>
                    <w:suppressLineNumbers w:val="0"/>
                    <w:spacing w:before="0" w:beforeAutospacing="0" w:afterAutospacing="0"/>
                    <w:ind w:left="0" w:right="0"/>
                    <w:jc w:val="left"/>
                    <w:rPr>
                      <w:rFonts w:hint="default"/>
                      <w:color w:val="000000" w:themeColor="text1"/>
                      <w:szCs w:val="21"/>
                      <w14:textFill>
                        <w14:solidFill>
                          <w14:schemeClr w14:val="tx1"/>
                        </w14:solidFill>
                      </w14:textFill>
                    </w:rPr>
                  </w:pPr>
                  <w:r>
                    <w:rPr>
                      <w:rFonts w:hint="default"/>
                      <w:color w:val="000000" w:themeColor="text1"/>
                      <w:shd w:val="clear" w:color="auto" w:fill="FFFFFF"/>
                      <w14:textFill>
                        <w14:solidFill>
                          <w14:schemeClr w14:val="tx1"/>
                        </w14:solidFill>
                      </w14:textFill>
                    </w:rPr>
                    <w:t>实施VOCs专项整治。各市加快推进石化、化工、工业涂装、包装印刷、家具、电子制造、工程机械制造等重点行业VOCs的整治工作。在煤化工行业开展泄漏检测与修复。关中地区禁止建设生产和使用高VOCs含量的溶剂型涂料、油墨、胶粘剂等项目。</w:t>
                  </w:r>
                </w:p>
              </w:tc>
              <w:tc>
                <w:tcPr>
                  <w:tcW w:w="265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项目设计有机废气收集治理措施，处理效率可达80%以上。</w:t>
                  </w:r>
                </w:p>
              </w:tc>
              <w:tc>
                <w:tcPr>
                  <w:tcW w:w="722"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85" w:hRule="atLeast"/>
              </w:trPr>
              <w:tc>
                <w:tcPr>
                  <w:tcW w:w="1336" w:type="dxa"/>
                  <w:vAlign w:val="center"/>
                </w:tcPr>
                <w:p>
                  <w:pPr>
                    <w:pStyle w:val="135"/>
                    <w:keepNext w:val="0"/>
                    <w:keepLines w:val="0"/>
                    <w:suppressLineNumbers w:val="0"/>
                    <w:spacing w:before="0" w:beforeAutospacing="0" w:afterAutospacing="0"/>
                    <w:ind w:left="0" w:right="0"/>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《重点行</w:t>
                  </w:r>
                </w:p>
                <w:p>
                  <w:pPr>
                    <w:pStyle w:val="135"/>
                    <w:keepNext w:val="0"/>
                    <w:keepLines w:val="0"/>
                    <w:suppressLineNumbers w:val="0"/>
                    <w:spacing w:before="0" w:beforeAutospacing="0" w:afterAutospacing="0"/>
                    <w:ind w:left="0" w:right="0"/>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业挥发性</w:t>
                  </w:r>
                </w:p>
                <w:p>
                  <w:pPr>
                    <w:pStyle w:val="135"/>
                    <w:keepNext w:val="0"/>
                    <w:keepLines w:val="0"/>
                    <w:suppressLineNumbers w:val="0"/>
                    <w:spacing w:before="0" w:beforeAutospacing="0" w:afterAutospacing="0"/>
                    <w:ind w:left="0" w:right="0"/>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有机物综</w:t>
                  </w:r>
                </w:p>
                <w:p>
                  <w:pPr>
                    <w:pStyle w:val="135"/>
                    <w:keepNext w:val="0"/>
                    <w:keepLines w:val="0"/>
                    <w:suppressLineNumbers w:val="0"/>
                    <w:spacing w:before="0" w:beforeAutospacing="0" w:afterAutospacing="0"/>
                    <w:ind w:left="0" w:right="0"/>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合治理方</w:t>
                  </w:r>
                </w:p>
                <w:p>
                  <w:pPr>
                    <w:pStyle w:val="135"/>
                    <w:keepNext w:val="0"/>
                    <w:keepLines w:val="0"/>
                    <w:suppressLineNumbers w:val="0"/>
                    <w:spacing w:before="0" w:beforeAutospacing="0" w:afterAutospacing="0"/>
                    <w:ind w:left="0" w:right="0"/>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案》（环大气[2019]53号）</w:t>
                  </w:r>
                </w:p>
              </w:tc>
              <w:tc>
                <w:tcPr>
                  <w:tcW w:w="406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推进建设适宜高效的治污设施：鼓励企业采用多种技术的组合工艺，提高VOCs 治理效率。低浓度、大风量废气，宜采用沸石转轮吸附、活性炭吸附、减风增浓等浓缩技术，提高VOCs 浓度后净化处理。</w:t>
                  </w:r>
                </w:p>
                <w:p>
                  <w:pPr>
                    <w:pStyle w:val="135"/>
                    <w:keepNext w:val="0"/>
                    <w:keepLines w:val="0"/>
                    <w:suppressLineNumbers w:val="0"/>
                    <w:spacing w:before="0" w:beforeAutospacing="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工业涂装VOCs综合治理：加大汽车、家具、集装箱、电子产品、工程机械等行业VOCs 治理力度，重点区域应结合本地产业特征，加快实施其他行业涂装VOCs 综合治理。</w:t>
                  </w:r>
                </w:p>
              </w:tc>
              <w:tc>
                <w:tcPr>
                  <w:tcW w:w="2655"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本项目产生的喷漆及烘干废气经“排风收集箱+</w:t>
                  </w:r>
                  <w:r>
                    <w:rPr>
                      <w:rFonts w:hint="eastAsia" w:ascii="Times New Roman" w:hAnsi="Times New Roman"/>
                      <w:color w:val="000000" w:themeColor="text1"/>
                      <w14:textFill>
                        <w14:solidFill>
                          <w14:schemeClr w14:val="tx1"/>
                        </w14:solidFill>
                      </w14:textFill>
                    </w:rPr>
                    <w:t>干式过滤</w:t>
                  </w:r>
                  <w:r>
                    <w:rPr>
                      <w:rFonts w:hint="default" w:ascii="Times New Roman" w:hAnsi="Times New Roman"/>
                      <w:color w:val="000000" w:themeColor="text1"/>
                      <w14:textFill>
                        <w14:solidFill>
                          <w14:schemeClr w14:val="tx1"/>
                        </w14:solidFill>
                      </w14:textFill>
                    </w:rPr>
                    <w:t>器+</w:t>
                  </w:r>
                  <w:r>
                    <w:rPr>
                      <w:rFonts w:hint="eastAsia" w:ascii="Times New Roman" w:hAnsi="Times New Roman"/>
                      <w:color w:val="000000" w:themeColor="text1"/>
                      <w14:textFill>
                        <w14:solidFill>
                          <w14:schemeClr w14:val="tx1"/>
                        </w14:solidFill>
                      </w14:textFill>
                    </w:rPr>
                    <w:t>活性炭吸附</w:t>
                  </w:r>
                  <w:r>
                    <w:rPr>
                      <w:rFonts w:hint="default" w:ascii="Times New Roman" w:hAnsi="Times New Roman"/>
                      <w:color w:val="000000" w:themeColor="text1"/>
                      <w14:textFill>
                        <w14:solidFill>
                          <w14:schemeClr w14:val="tx1"/>
                        </w14:solidFill>
                      </w14:textFill>
                    </w:rPr>
                    <w:t>箱”+15米高的排气筒。</w:t>
                  </w:r>
                </w:p>
              </w:tc>
              <w:tc>
                <w:tcPr>
                  <w:tcW w:w="722" w:type="dxa"/>
                  <w:vAlign w:val="center"/>
                </w:tcPr>
                <w:p>
                  <w:pPr>
                    <w:pStyle w:val="133"/>
                    <w:keepNext w:val="0"/>
                    <w:keepLines w:val="0"/>
                    <w:widowControl/>
                    <w:suppressLineNumbers w:val="0"/>
                    <w:adjustRightInd w:val="0"/>
                    <w:snapToGrid w:val="0"/>
                    <w:spacing w:before="0" w:beforeAutospacing="0" w:after="0" w:afterAutospacing="0" w:line="240" w:lineRule="auto"/>
                    <w:ind w:left="0" w:right="0"/>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符合</w:t>
                  </w:r>
                </w:p>
              </w:tc>
            </w:tr>
          </w:tbl>
          <w:p>
            <w:pPr>
              <w:keepNext w:val="0"/>
              <w:keepLines w:val="0"/>
              <w:suppressLineNumbers w:val="0"/>
              <w:adjustRightInd w:val="0"/>
              <w:snapToGrid w:val="0"/>
              <w:spacing w:before="50" w:beforeAutospacing="0" w:after="0" w:afterAutospacing="0" w:line="520" w:lineRule="exact"/>
              <w:ind w:left="0" w:right="0" w:firstLine="48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3、环评委托情况</w:t>
            </w:r>
          </w:p>
          <w:p>
            <w:pPr>
              <w:keepNext w:val="0"/>
              <w:keepLines w:val="0"/>
              <w:widowControl/>
              <w:suppressLineNumbers w:val="0"/>
              <w:adjustRightInd w:val="0"/>
              <w:snapToGrid w:val="0"/>
              <w:spacing w:before="50" w:beforeAutospacing="0" w:after="0" w:afterAutospacing="0" w:line="520" w:lineRule="exact"/>
              <w:ind w:left="0" w:right="0" w:firstLine="480"/>
              <w:rPr>
                <w:rFonts w:hint="default"/>
                <w:color w:val="000000" w:themeColor="text1"/>
                <w:sz w:val="24"/>
                <w14:textFill>
                  <w14:solidFill>
                    <w14:schemeClr w14:val="tx1"/>
                  </w14:solidFill>
                </w14:textFill>
              </w:rPr>
            </w:pPr>
            <w:r>
              <w:rPr>
                <w:rFonts w:hint="default"/>
                <w:bCs/>
                <w:color w:val="000000" w:themeColor="text1"/>
                <w:sz w:val="24"/>
                <w:szCs w:val="24"/>
                <w14:textFill>
                  <w14:solidFill>
                    <w14:schemeClr w14:val="tx1"/>
                  </w14:solidFill>
                </w14:textFill>
              </w:rPr>
              <w:t>根据《中华人民共和国环境保护法》、《中华人民共和国环境影响评价法》、国务院第682号令《建设项目环境保护管理条例》和《建设项目环境影响评价分类管理名录》的有关规定，本项目属于“四十九、交通运输业、管道运输业和仓储业”中的162导航台站、供油工程、维修保障等配套工程中“涉及环境敏感区的”，应编制环境影响报告表。受</w:t>
            </w:r>
            <w:r>
              <w:rPr>
                <w:rFonts w:hint="default"/>
                <w:color w:val="000000" w:themeColor="text1"/>
                <w:kern w:val="0"/>
                <w:sz w:val="24"/>
                <w:szCs w:val="24"/>
                <w:lang w:val="zh-CN"/>
                <w14:textFill>
                  <w14:solidFill>
                    <w14:schemeClr w14:val="tx1"/>
                  </w14:solidFill>
                </w14:textFill>
              </w:rPr>
              <w:t>东方航空技术有限公司西北分公司</w:t>
            </w:r>
            <w:r>
              <w:rPr>
                <w:rFonts w:hint="default"/>
                <w:bCs/>
                <w:color w:val="000000" w:themeColor="text1"/>
                <w:sz w:val="24"/>
                <w:szCs w:val="24"/>
                <w14:textFill>
                  <w14:solidFill>
                    <w14:schemeClr w14:val="tx1"/>
                  </w14:solidFill>
                </w14:textFill>
              </w:rPr>
              <w:t>委托，由本公司承担本项目环境影响报告表的编制工作。接受委托后，我单位组织有关技术人员对本项目进行了详细的现场踏勘、资料收集，在对有关环境现状和可能造成的环境影响进行初步分析的基础上，编制完成</w:t>
            </w:r>
            <w:r>
              <w:rPr>
                <w:rFonts w:hint="default"/>
                <w:color w:val="000000" w:themeColor="text1"/>
                <w:sz w:val="24"/>
                <w:szCs w:val="24"/>
                <w14:textFill>
                  <w14:solidFill>
                    <w14:schemeClr w14:val="tx1"/>
                  </w14:solidFill>
                </w14:textFill>
              </w:rPr>
              <w:t>《</w:t>
            </w:r>
            <w:r>
              <w:rPr>
                <w:rFonts w:hint="default"/>
                <w:color w:val="000000" w:themeColor="text1"/>
                <w:kern w:val="0"/>
                <w:sz w:val="24"/>
                <w:szCs w:val="24"/>
                <w:lang w:val="zh-CN"/>
                <w14:textFill>
                  <w14:solidFill>
                    <w14:schemeClr w14:val="tx1"/>
                  </w14:solidFill>
                </w14:textFill>
              </w:rPr>
              <w:t>东方航空技术有限公司西北分公司1号机库改造项目</w:t>
            </w:r>
            <w:r>
              <w:rPr>
                <w:rFonts w:hint="default"/>
                <w:color w:val="000000" w:themeColor="text1"/>
                <w:sz w:val="24"/>
                <w:szCs w:val="24"/>
                <w14:textFill>
                  <w14:solidFill>
                    <w14:schemeClr w14:val="tx1"/>
                  </w14:solidFill>
                </w14:textFill>
              </w:rPr>
              <w:t>环境影响报告表》。</w:t>
            </w:r>
          </w:p>
          <w:p>
            <w:pPr>
              <w:keepNext w:val="0"/>
              <w:keepLines w:val="0"/>
              <w:suppressLineNumbers w:val="0"/>
              <w:adjustRightInd w:val="0"/>
              <w:snapToGrid w:val="0"/>
              <w:spacing w:before="50" w:beforeAutospacing="0" w:after="0" w:afterAutospacing="0" w:line="520" w:lineRule="exact"/>
              <w:ind w:left="0" w:right="0" w:firstLine="48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4、项目基本情况</w:t>
            </w:r>
          </w:p>
          <w:p>
            <w:pPr>
              <w:keepNext w:val="0"/>
              <w:keepLines w:val="0"/>
              <w:suppressLineNumbers w:val="0"/>
              <w:adjustRightInd w:val="0"/>
              <w:snapToGrid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项目名称：</w:t>
            </w:r>
            <w:r>
              <w:rPr>
                <w:rFonts w:hint="default"/>
                <w:color w:val="000000" w:themeColor="text1"/>
                <w:kern w:val="0"/>
                <w:sz w:val="24"/>
                <w:szCs w:val="24"/>
                <w:lang w:val="zh-CN"/>
                <w14:textFill>
                  <w14:solidFill>
                    <w14:schemeClr w14:val="tx1"/>
                  </w14:solidFill>
                </w14:textFill>
              </w:rPr>
              <w:t>东方航空技术有限公司西北分公司1号机库改造项目</w:t>
            </w:r>
            <w:r>
              <w:rPr>
                <w:rFonts w:hint="default"/>
                <w:color w:val="000000" w:themeColor="text1"/>
                <w:spacing w:val="-4"/>
                <w:sz w:val="24"/>
                <w:szCs w:val="24"/>
                <w14:textFill>
                  <w14:solidFill>
                    <w14:schemeClr w14:val="tx1"/>
                  </w14:solidFill>
                </w14:textFill>
              </w:rPr>
              <w:t>；</w:t>
            </w:r>
          </w:p>
          <w:p>
            <w:pPr>
              <w:keepNext w:val="0"/>
              <w:keepLines w:val="0"/>
              <w:suppressLineNumbers w:val="0"/>
              <w:autoSpaceDE w:val="0"/>
              <w:autoSpaceDN w:val="0"/>
              <w:adjustRightInd w:val="0"/>
              <w:snapToGrid w:val="0"/>
              <w:spacing w:before="0" w:beforeAutospacing="0" w:after="0" w:afterAutospacing="0" w:line="520" w:lineRule="exact"/>
              <w:ind w:left="0" w:right="0" w:firstLine="480" w:firstLineChars="200"/>
              <w:rPr>
                <w:rFonts w:hint="default"/>
                <w:bCs/>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建设地点：本项目位于</w:t>
            </w:r>
            <w:r>
              <w:rPr>
                <w:rFonts w:hint="default"/>
                <w:color w:val="000000" w:themeColor="text1"/>
                <w:sz w:val="24"/>
                <w14:textFill>
                  <w14:solidFill>
                    <w14:schemeClr w14:val="tx1"/>
                  </w14:solidFill>
                </w14:textFill>
              </w:rPr>
              <w:t>陕西省西咸新区空港新城西安咸阳机场空港东二路东航技术公司西北分公司1号机库（东经108°46′09.54″，北纬34°26′53.35″）</w:t>
            </w:r>
            <w:r>
              <w:rPr>
                <w:rFonts w:hint="default"/>
                <w:color w:val="000000" w:themeColor="text1"/>
                <w:sz w:val="24"/>
                <w:szCs w:val="24"/>
                <w14:textFill>
                  <w14:solidFill>
                    <w14:schemeClr w14:val="tx1"/>
                  </w14:solidFill>
                </w14:textFill>
              </w:rPr>
              <w:t>。项目东北侧为机场配套的设备存放棚、消防水池及充电间、消防泵房；东南侧为APU修理车间和变电站及机加车库；项目西南侧为闲置办公楼和培训中心，项目西北侧为停机坪。项目地理位置见附图1。</w:t>
            </w:r>
            <w:r>
              <w:rPr>
                <w:rFonts w:hint="default"/>
                <w:bCs/>
                <w:color w:val="000000" w:themeColor="text1"/>
                <w:sz w:val="24"/>
                <w:szCs w:val="24"/>
                <w14:textFill>
                  <w14:solidFill>
                    <w14:schemeClr w14:val="tx1"/>
                  </w14:solidFill>
                </w14:textFill>
              </w:rPr>
              <w:t>项目四邻关系见附图2。</w:t>
            </w:r>
            <w:r>
              <w:rPr>
                <w:rFonts w:hint="default"/>
                <w:color w:val="000000" w:themeColor="text1"/>
                <w:kern w:val="0"/>
                <w:sz w:val="24"/>
                <w:szCs w:val="24"/>
                <w14:textFill>
                  <w14:solidFill>
                    <w14:schemeClr w14:val="tx1"/>
                  </w14:solidFill>
                </w14:textFill>
              </w:rPr>
              <w:t xml:space="preserve"> </w:t>
            </w:r>
          </w:p>
          <w:p>
            <w:pPr>
              <w:keepNext w:val="0"/>
              <w:keepLines w:val="0"/>
              <w:suppressLineNumbers w:val="0"/>
              <w:adjustRightInd w:val="0"/>
              <w:snapToGrid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建设单位：</w:t>
            </w:r>
            <w:r>
              <w:rPr>
                <w:rFonts w:hint="default"/>
                <w:color w:val="000000" w:themeColor="text1"/>
                <w:kern w:val="0"/>
                <w:sz w:val="24"/>
                <w:szCs w:val="24"/>
                <w:lang w:val="zh-CN"/>
                <w14:textFill>
                  <w14:solidFill>
                    <w14:schemeClr w14:val="tx1"/>
                  </w14:solidFill>
                </w14:textFill>
              </w:rPr>
              <w:t>东方航空技术有限公司西北分公司</w:t>
            </w:r>
            <w:r>
              <w:rPr>
                <w:rFonts w:hint="default"/>
                <w:color w:val="000000" w:themeColor="text1"/>
                <w:sz w:val="24"/>
                <w:szCs w:val="24"/>
                <w14:textFill>
                  <w14:solidFill>
                    <w14:schemeClr w14:val="tx1"/>
                  </w14:solidFill>
                </w14:textFill>
              </w:rPr>
              <w:t>；</w:t>
            </w:r>
          </w:p>
          <w:p>
            <w:pPr>
              <w:keepNext w:val="0"/>
              <w:keepLines w:val="0"/>
              <w:suppressLineNumbers w:val="0"/>
              <w:adjustRightInd w:val="0"/>
              <w:snapToGrid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建设性质：改建；</w:t>
            </w:r>
          </w:p>
          <w:p>
            <w:pPr>
              <w:keepNext w:val="0"/>
              <w:keepLines w:val="0"/>
              <w:suppressLineNumbers w:val="0"/>
              <w:adjustRightInd w:val="0"/>
              <w:snapToGrid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投资总额：750万元；</w:t>
            </w:r>
          </w:p>
          <w:p>
            <w:pPr>
              <w:keepNext w:val="0"/>
              <w:keepLines w:val="0"/>
              <w:suppressLineNumbers w:val="0"/>
              <w:spacing w:before="5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建设规模：</w:t>
            </w:r>
            <w:r>
              <w:rPr>
                <w:rFonts w:hint="default"/>
                <w:color w:val="000000" w:themeColor="text1"/>
                <w:sz w:val="24"/>
                <w14:textFill>
                  <w14:solidFill>
                    <w14:schemeClr w14:val="tx1"/>
                  </w14:solidFill>
                </w14:textFill>
              </w:rPr>
              <w:t>对1号机库生产线及环保设备设施和消防系统进行改造，安装废气通排风一体深度处理设备、气体检测报警系统。</w:t>
            </w:r>
          </w:p>
          <w:p>
            <w:pPr>
              <w:pStyle w:val="3"/>
              <w:keepNext w:val="0"/>
              <w:keepLines w:val="0"/>
              <w:suppressLineNumbers w:val="0"/>
              <w:spacing w:before="93" w:beforeLines="30" w:beforeAutospacing="0" w:after="93" w:afterLines="30" w:afterAutospacing="0" w:line="520" w:lineRule="exact"/>
              <w:ind w:left="0" w:leftChars="0" w:right="0" w:firstLine="482" w:firstLineChars="200"/>
              <w:jc w:val="left"/>
              <w:rPr>
                <w:rFonts w:hint="default" w:ascii="Times New Roman" w:hAnsi="Times New Roman"/>
                <w:b/>
                <w:color w:val="000000" w:themeColor="text1"/>
                <w:sz w:val="24"/>
                <w:szCs w:val="20"/>
                <w14:textFill>
                  <w14:solidFill>
                    <w14:schemeClr w14:val="tx1"/>
                  </w14:solidFill>
                </w14:textFill>
              </w:rPr>
            </w:pPr>
            <w:r>
              <w:rPr>
                <w:rFonts w:hint="default" w:ascii="Times New Roman" w:hAnsi="Times New Roman"/>
                <w:b/>
                <w:color w:val="000000" w:themeColor="text1"/>
                <w:sz w:val="24"/>
                <w:szCs w:val="20"/>
                <w14:textFill>
                  <w14:solidFill>
                    <w14:schemeClr w14:val="tx1"/>
                  </w14:solidFill>
                </w14:textFill>
              </w:rPr>
              <w:t>5、建设项目组成</w:t>
            </w:r>
          </w:p>
          <w:p>
            <w:pPr>
              <w:pStyle w:val="11"/>
              <w:keepNext w:val="0"/>
              <w:keepLines w:val="0"/>
              <w:suppressLineNumbers w:val="0"/>
              <w:spacing w:before="0" w:beforeAutospacing="0" w:after="0" w:afterAutospacing="0" w:line="520" w:lineRule="exact"/>
              <w:ind w:left="0" w:right="0" w:firstLine="480" w:firstLineChars="200"/>
              <w:jc w:val="both"/>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本项目主要建设内容为对1号机库生产线及环保设备设施和消防系统进行改造，</w:t>
            </w:r>
            <w:r>
              <w:rPr>
                <w:rFonts w:hint="default"/>
                <w:color w:val="000000" w:themeColor="text1"/>
                <w:sz w:val="24"/>
                <w:szCs w:val="24"/>
                <w14:textFill>
                  <w14:solidFill>
                    <w14:schemeClr w14:val="tx1"/>
                  </w14:solidFill>
                </w14:textFill>
              </w:rPr>
              <w:t>项目工程组成及建设内容见下表。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表2  项目工程组成及建设内容一览表</w:t>
            </w:r>
          </w:p>
          <w:tbl>
            <w:tblPr>
              <w:tblStyle w:val="38"/>
              <w:tblW w:w="87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826"/>
              <w:gridCol w:w="1121"/>
              <w:gridCol w:w="5354"/>
              <w:gridCol w:w="10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序号</w:t>
                  </w:r>
                </w:p>
              </w:tc>
              <w:tc>
                <w:tcPr>
                  <w:tcW w:w="82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建设项目</w:t>
                  </w:r>
                </w:p>
              </w:tc>
              <w:tc>
                <w:tcPr>
                  <w:tcW w:w="1121" w:type="dxa"/>
                  <w:vAlign w:val="center"/>
                </w:tcPr>
                <w:p>
                  <w:pPr>
                    <w:keepNext w:val="0"/>
                    <w:keepLines w:val="0"/>
                    <w:suppressLineNumbers w:val="0"/>
                    <w:spacing w:before="0" w:beforeAutospacing="0" w:after="0" w:afterAutospacing="0"/>
                    <w:ind w:left="0" w:right="0"/>
                    <w:jc w:val="center"/>
                    <w:rPr>
                      <w:rFonts w:hint="default"/>
                      <w:color w:val="000000" w:themeColor="text1"/>
                      <w:spacing w:val="-10"/>
                      <w14:textFill>
                        <w14:solidFill>
                          <w14:schemeClr w14:val="tx1"/>
                        </w14:solidFill>
                      </w14:textFill>
                    </w:rPr>
                  </w:pPr>
                  <w:r>
                    <w:rPr>
                      <w:rFonts w:hint="default"/>
                      <w:color w:val="000000" w:themeColor="text1"/>
                      <w:spacing w:val="-21"/>
                      <w14:textFill>
                        <w14:solidFill>
                          <w14:schemeClr w14:val="tx1"/>
                        </w14:solidFill>
                      </w14:textFill>
                    </w:rPr>
                    <w:t>建（构）筑物</w:t>
                  </w:r>
                  <w:r>
                    <w:rPr>
                      <w:rFonts w:hint="default"/>
                      <w:color w:val="000000" w:themeColor="text1"/>
                      <w:spacing w:val="-21"/>
                      <w:lang w:val="en-GB"/>
                      <w14:textFill>
                        <w14:solidFill>
                          <w14:schemeClr w14:val="tx1"/>
                        </w14:solidFill>
                      </w14:textFill>
                    </w:rPr>
                    <w:t>名称</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建设内容</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4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826"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主体工程</w:t>
                  </w:r>
                </w:p>
              </w:tc>
              <w:tc>
                <w:tcPr>
                  <w:tcW w:w="1121"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喷漆大厅</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1F，钢架结构，建筑面积为</w:t>
                  </w:r>
                  <w:r>
                    <w:rPr>
                      <w:rFonts w:hint="eastAsia"/>
                      <w:color w:val="000000" w:themeColor="text1"/>
                      <w14:textFill>
                        <w14:solidFill>
                          <w14:schemeClr w14:val="tx1"/>
                        </w14:solidFill>
                      </w14:textFill>
                    </w:rPr>
                    <w:t>2980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，跨度为54米，进深48米，弦下高度16.7米，机库大门采用电动式推拉大门高度为16米，开度为6×9米，机库内可容纳A320飞机或B737、B757飞机一架，可对A320飞机进行大修理或喷漆。</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826"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辅助工程</w:t>
                  </w: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1部件存放间</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位于西侧附属用房，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85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，用于存放保洁工具和用品</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2复合材料修理间</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位于西侧附属用房，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135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，用于进行复合材料修理</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3结构修理间</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位于西侧附属用房，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200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，用于进行飞机结构修理</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4调漆间5</w:t>
                  </w:r>
                  <w:r>
                    <w:rPr>
                      <w:rFonts w:hint="eastAsia"/>
                      <w:color w:val="000000" w:themeColor="text1"/>
                      <w14:textFill>
                        <w14:solidFill>
                          <w14:schemeClr w14:val="tx1"/>
                        </w14:solidFill>
                      </w14:textFill>
                    </w:rPr>
                    <w:t>存漆</w:t>
                  </w:r>
                  <w:r>
                    <w:rPr>
                      <w:rFonts w:hint="default"/>
                      <w:color w:val="000000" w:themeColor="text1"/>
                      <w14:textFill>
                        <w14:solidFill>
                          <w14:schemeClr w14:val="tx1"/>
                        </w14:solidFill>
                      </w14:textFill>
                    </w:rPr>
                    <w:t>间</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位于西侧附属用房，</w:t>
                  </w:r>
                  <w:r>
                    <w:rPr>
                      <w:rFonts w:hint="default"/>
                      <w:color w:val="000000" w:themeColor="text1"/>
                      <w14:textFill>
                        <w14:solidFill>
                          <w14:schemeClr w14:val="tx1"/>
                        </w14:solidFill>
                      </w14:textFill>
                    </w:rPr>
                    <w:t>1F，轻质活动板房，建筑面积</w:t>
                  </w:r>
                  <w:r>
                    <w:rPr>
                      <w:rFonts w:hint="eastAsia"/>
                      <w:color w:val="000000" w:themeColor="text1"/>
                      <w14:textFill>
                        <w14:solidFill>
                          <w14:schemeClr w14:val="tx1"/>
                        </w14:solidFill>
                      </w14:textFill>
                    </w:rPr>
                    <w:t>285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w:t>
                  </w:r>
                  <w:r>
                    <w:rPr>
                      <w:rFonts w:hint="default"/>
                      <w:color w:val="000000" w:themeColor="text1"/>
                      <w:spacing w:val="-6"/>
                      <w14:textFill>
                        <w14:solidFill>
                          <w14:schemeClr w14:val="tx1"/>
                        </w14:solidFill>
                      </w14:textFill>
                    </w:rPr>
                    <w:t>用于调漆及漆料存放</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未建成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6设备存放间 </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位于西侧附属用房，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200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w:t>
                  </w:r>
                  <w:r>
                    <w:rPr>
                      <w:rFonts w:hint="default"/>
                      <w:color w:val="000000" w:themeColor="text1"/>
                      <w:spacing w:val="-6"/>
                      <w14:textFill>
                        <w14:solidFill>
                          <w14:schemeClr w14:val="tx1"/>
                        </w14:solidFill>
                      </w14:textFill>
                    </w:rPr>
                    <w:t>用于设备存放</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未建成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7工具室</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220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，用于存放维修工具</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r>
                    <w:rPr>
                      <w:rFonts w:hint="eastAsia"/>
                      <w:color w:val="000000" w:themeColor="text1"/>
                      <w14:textFill>
                        <w14:solidFill>
                          <w14:schemeClr w14:val="tx1"/>
                        </w14:solidFill>
                      </w14:textFill>
                    </w:rPr>
                    <w:t>更衣室</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125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，人员在此准备</w:t>
                  </w:r>
                  <w:r>
                    <w:rPr>
                      <w:rFonts w:hint="eastAsia"/>
                      <w:color w:val="000000" w:themeColor="text1"/>
                      <w14:textFill>
                        <w14:solidFill>
                          <w14:schemeClr w14:val="tx1"/>
                        </w14:solidFill>
                      </w14:textFill>
                    </w:rPr>
                    <w:t>，用于工作服更换</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9消防值班室</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75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，用于值班人员值班及休息</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10耗材库</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285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，存放、发放工作所需的油盒、毛刷、手套、抹布。</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11气泵房</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105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，用于放置压缩机，内设2个1.5m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储气罐</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pacing w:val="-6"/>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tcBorders>
                    <w:top w:val="single" w:color="auto"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12换热站</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位于东侧附属用房，</w:t>
                  </w:r>
                  <w:r>
                    <w:rPr>
                      <w:rFonts w:hint="default"/>
                      <w:color w:val="000000" w:themeColor="text1"/>
                      <w14:textFill>
                        <w14:solidFill>
                          <w14:schemeClr w14:val="tx1"/>
                        </w14:solidFill>
                      </w14:textFill>
                    </w:rPr>
                    <w:t>1F，砖混结构，建筑面积</w:t>
                  </w:r>
                  <w:r>
                    <w:rPr>
                      <w:rFonts w:hint="eastAsia"/>
                      <w:color w:val="000000" w:themeColor="text1"/>
                      <w14:textFill>
                        <w14:solidFill>
                          <w14:schemeClr w14:val="tx1"/>
                        </w14:solidFill>
                      </w14:textFill>
                    </w:rPr>
                    <w:t>95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未建成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w:t>
                  </w:r>
                </w:p>
              </w:tc>
              <w:tc>
                <w:tcPr>
                  <w:tcW w:w="82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公用工程</w:t>
                  </w:r>
                </w:p>
              </w:tc>
              <w:tc>
                <w:tcPr>
                  <w:tcW w:w="1121" w:type="dxa"/>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给水</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整机清洗采用自来水，由维修基地供水管网供给</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Merge w:val="restart"/>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排水</w:t>
                  </w:r>
                </w:p>
              </w:tc>
              <w:tc>
                <w:tcPr>
                  <w:tcW w:w="5354"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项目雨污分流，清洗废水通过水泵抽至过滤桶，经过滤棉过滤后排入咸阳机场污水处理厂处理后排放</w:t>
                  </w:r>
                </w:p>
              </w:tc>
              <w:tc>
                <w:tcPr>
                  <w:tcW w:w="1037"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Merge w:val="continue"/>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5354"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生活污水依托维修基地现有化粪池处理后，通过管网排入咸阳机场污水处理厂集中处理后达标排放</w:t>
                  </w:r>
                </w:p>
              </w:tc>
              <w:tc>
                <w:tcPr>
                  <w:tcW w:w="1037"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供电</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依托维修基地现有变电站提供</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82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环保工程</w:t>
                  </w:r>
                </w:p>
              </w:tc>
              <w:tc>
                <w:tcPr>
                  <w:tcW w:w="1121" w:type="dxa"/>
                  <w:vMerge w:val="restart"/>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废气治理</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打磨粉尘通过两侧排风收集箱收集再经</w:t>
                  </w:r>
                  <w:r>
                    <w:rPr>
                      <w:rFonts w:hint="eastAsia"/>
                      <w:color w:val="000000" w:themeColor="text1"/>
                      <w14:textFill>
                        <w14:solidFill>
                          <w14:schemeClr w14:val="tx1"/>
                        </w14:solidFill>
                      </w14:textFill>
                    </w:rPr>
                    <w:t>干式</w:t>
                  </w:r>
                  <w:r>
                    <w:rPr>
                      <w:rFonts w:hint="default"/>
                      <w:color w:val="000000" w:themeColor="text1"/>
                      <w14:textFill>
                        <w14:solidFill>
                          <w14:schemeClr w14:val="tx1"/>
                        </w14:solidFill>
                      </w14:textFill>
                    </w:rPr>
                    <w:t>过滤器过滤后由15m高的排气筒排放</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未建成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Merge w:val="continue"/>
                  <w:tcBorders>
                    <w:bottom w:val="single" w:color="000000" w:sz="4"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5354" w:type="dxa"/>
                  <w:tcBorders>
                    <w:top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喷漆及晾干废气经两侧排风收集箱收集，再通过干式过滤器+活性炭吸附箱后通过15m高的排气筒排放</w:t>
                  </w:r>
                </w:p>
              </w:tc>
              <w:tc>
                <w:tcPr>
                  <w:tcW w:w="1037" w:type="dxa"/>
                  <w:tcBorders>
                    <w:top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6"/>
                      <w14:textFill>
                        <w14:solidFill>
                          <w14:schemeClr w14:val="tx1"/>
                        </w14:solidFill>
                      </w14:textFill>
                    </w:rPr>
                  </w:pPr>
                  <w:r>
                    <w:rPr>
                      <w:rFonts w:hint="default"/>
                      <w:color w:val="000000" w:themeColor="text1"/>
                      <w:spacing w:val="-6"/>
                      <w14:textFill>
                        <w14:solidFill>
                          <w14:schemeClr w14:val="tx1"/>
                        </w14:solidFill>
                      </w14:textFill>
                    </w:rPr>
                    <w:t>未建成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Merge w:val="restart"/>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废水治理</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清洗废水通过水泵抽至过滤桶，经过滤棉过滤后排入咸阳机场污水处理厂处理后排放</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Merge w:val="continue"/>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生活污水经化粪池预处理后，通过管网排入咸阳机场污水处理厂集中处理后达标排放</w:t>
                  </w:r>
                </w:p>
              </w:tc>
              <w:tc>
                <w:tcPr>
                  <w:tcW w:w="103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spacing w:val="-6"/>
                      <w:lang w:eastAsia="zh-CN"/>
                      <w14:textFill>
                        <w14:solidFill>
                          <w14:schemeClr w14:val="tx1"/>
                        </w14:solidFill>
                      </w14:textFill>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噪声治理</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采用低噪声设备，噪声源置于室内 </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spacing w:val="-6"/>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82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21" w:type="dxa"/>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固废治理</w:t>
                  </w:r>
                </w:p>
              </w:tc>
              <w:tc>
                <w:tcPr>
                  <w:tcW w:w="535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生活垃圾分类收集后，送往维修基地生活垃圾暂存区，统一交由环卫部门清运。项目维修过程中产生</w:t>
                  </w:r>
                  <w:r>
                    <w:rPr>
                      <w:rFonts w:hint="eastAsia"/>
                      <w:color w:val="000000" w:themeColor="text1"/>
                      <w14:textFill>
                        <w14:solidFill>
                          <w14:schemeClr w14:val="tx1"/>
                        </w14:solidFill>
                      </w14:textFill>
                    </w:rPr>
                    <w:t>的</w:t>
                  </w:r>
                  <w:r>
                    <w:rPr>
                      <w:rFonts w:hint="default"/>
                      <w:color w:val="000000" w:themeColor="text1"/>
                      <w14:textFill>
                        <w14:solidFill>
                          <w14:schemeClr w14:val="tx1"/>
                        </w14:solidFill>
                      </w14:textFill>
                    </w:rPr>
                    <w:t>废旧零部件</w:t>
                  </w:r>
                  <w:r>
                    <w:rPr>
                      <w:rFonts w:hint="eastAsia"/>
                      <w:color w:val="000000" w:themeColor="text1"/>
                      <w14:textFill>
                        <w14:solidFill>
                          <w14:schemeClr w14:val="tx1"/>
                        </w14:solidFill>
                      </w14:textFill>
                    </w:rPr>
                    <w:t>和</w:t>
                  </w:r>
                  <w:r>
                    <w:rPr>
                      <w:rFonts w:hint="default"/>
                      <w:color w:val="000000" w:themeColor="text1"/>
                      <w14:textFill>
                        <w14:solidFill>
                          <w14:schemeClr w14:val="tx1"/>
                        </w14:solidFill>
                      </w14:textFill>
                    </w:rPr>
                    <w:t>废旧包装盒</w:t>
                  </w:r>
                  <w:r>
                    <w:rPr>
                      <w:rFonts w:hint="eastAsia"/>
                      <w:color w:val="000000" w:themeColor="text1"/>
                      <w14:textFill>
                        <w14:solidFill>
                          <w14:schemeClr w14:val="tx1"/>
                        </w14:solidFill>
                      </w14:textFill>
                    </w:rPr>
                    <w:t>收集后统一外售至废品站。危险废物依托</w:t>
                  </w:r>
                  <w:r>
                    <w:rPr>
                      <w:rFonts w:hint="default"/>
                      <w:color w:val="000000" w:themeColor="text1"/>
                      <w14:textFill>
                        <w14:solidFill>
                          <w14:schemeClr w14:val="tx1"/>
                        </w14:solidFill>
                      </w14:textFill>
                    </w:rPr>
                    <w:t>维修基地危废暂存间暂存后，交由有资质单位处理</w:t>
                  </w:r>
                  <w:r>
                    <w:rPr>
                      <w:rFonts w:hint="eastAsia"/>
                      <w:color w:val="000000" w:themeColor="text1"/>
                      <w14:textFill>
                        <w14:solidFill>
                          <w14:schemeClr w14:val="tx1"/>
                        </w14:solidFill>
                      </w14:textFill>
                    </w:rPr>
                    <w:t>。</w:t>
                  </w:r>
                </w:p>
              </w:tc>
              <w:tc>
                <w:tcPr>
                  <w:tcW w:w="103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bl>
          <w:p>
            <w:pPr>
              <w:keepNext w:val="0"/>
              <w:keepLines w:val="0"/>
              <w:suppressLineNumbers w:val="0"/>
              <w:adjustRightInd w:val="0"/>
              <w:snapToGrid w:val="0"/>
              <w:spacing w:before="156" w:beforeLines="50" w:beforeAutospacing="0" w:after="0" w:afterAutospacing="0" w:line="520" w:lineRule="exact"/>
              <w:ind w:left="0" w:right="0" w:firstLine="482" w:firstLineChars="20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6、主要设备</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表3   项目主要设备一览表</w:t>
            </w:r>
          </w:p>
          <w:tbl>
            <w:tblPr>
              <w:tblStyle w:val="38"/>
              <w:tblW w:w="877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53"/>
              <w:gridCol w:w="2324"/>
              <w:gridCol w:w="3005"/>
              <w:gridCol w:w="1628"/>
              <w:gridCol w:w="126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12"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序号</w:t>
                  </w:r>
                </w:p>
              </w:tc>
              <w:tc>
                <w:tcPr>
                  <w:tcW w:w="2324" w:type="dxa"/>
                  <w:tcBorders>
                    <w:top w:val="single" w:color="auto" w:sz="12" w:space="0"/>
                    <w:left w:val="single" w:color="auto" w:sz="4" w:space="0"/>
                    <w:bottom w:val="single" w:color="auto" w:sz="6"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设备名称</w:t>
                  </w:r>
                </w:p>
              </w:tc>
              <w:tc>
                <w:tcPr>
                  <w:tcW w:w="3005" w:type="dxa"/>
                  <w:tcBorders>
                    <w:top w:val="single" w:color="auto" w:sz="12" w:space="0"/>
                    <w:bottom w:val="single" w:color="auto" w:sz="6"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型号</w:t>
                  </w:r>
                </w:p>
              </w:tc>
              <w:tc>
                <w:tcPr>
                  <w:tcW w:w="1628" w:type="dxa"/>
                  <w:tcBorders>
                    <w:top w:val="single" w:color="auto" w:sz="12" w:space="0"/>
                    <w:bottom w:val="single" w:color="auto" w:sz="6"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数量（台）</w:t>
                  </w:r>
                </w:p>
              </w:tc>
              <w:tc>
                <w:tcPr>
                  <w:tcW w:w="1268" w:type="dxa"/>
                  <w:tcBorders>
                    <w:top w:val="single" w:color="auto" w:sz="12" w:space="0"/>
                    <w:bottom w:val="single" w:color="auto" w:sz="6"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机头坞</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机身坞</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尾坞</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地面大翼修理平台</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液压升降平台</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千斤顶</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电动悬挂起重机</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大机型</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静电压力泵</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P/N：M12LN0</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w:t>
                  </w:r>
                </w:p>
              </w:tc>
              <w:tc>
                <w:tcPr>
                  <w:tcW w:w="2324" w:type="dxa"/>
                  <w:tcBorders>
                    <w:top w:val="single" w:color="auto" w:sz="6"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静电压力泵</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P/N：116521</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静电喷枪</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P/N：244572</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静电喷枪</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P/N：H60T10</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5寸自吸式打磨机</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P/N：ROS550DB</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空气压缩机</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高压清洗机</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P/N：BCC1217C</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1268" w:type="dxa"/>
                  <w:tcBorders>
                    <w:top w:val="single" w:color="auto" w:sz="6" w:space="0"/>
                    <w:bottom w:val="single" w:color="auto" w:sz="6" w:space="0"/>
                  </w:tcBorders>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6"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2324" w:type="dxa"/>
                  <w:tcBorders>
                    <w:top w:val="single" w:color="000000" w:sz="4" w:space="0"/>
                    <w:left w:val="single" w:color="auto"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排风收集箱</w:t>
                  </w:r>
                </w:p>
              </w:tc>
              <w:tc>
                <w:tcPr>
                  <w:tcW w:w="3005"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62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6套</w:t>
                  </w:r>
                </w:p>
              </w:tc>
              <w:tc>
                <w:tcPr>
                  <w:tcW w:w="1268" w:type="dxa"/>
                  <w:tcBorders>
                    <w:top w:val="single" w:color="auto" w:sz="6" w:space="0"/>
                    <w:bottom w:val="single" w:color="auto" w:sz="6" w:space="0"/>
                  </w:tcBorders>
                  <w:vAlign w:val="center"/>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3" w:type="dxa"/>
                  <w:tcBorders>
                    <w:top w:val="single" w:color="auto" w:sz="6" w:space="0"/>
                    <w:left w:val="nil"/>
                    <w:bottom w:val="single" w:color="auto" w:sz="12" w:space="0"/>
                    <w:right w:val="single" w:color="auto" w:sz="4" w:space="0"/>
                  </w:tcBorders>
                </w:tcPr>
                <w:p>
                  <w:pPr>
                    <w:keepNext w:val="0"/>
                    <w:keepLines w:val="0"/>
                    <w:suppressLineNumbers w:val="0"/>
                    <w:spacing w:before="0" w:beforeAutospacing="0" w:after="0" w:afterAutospacing="0"/>
                    <w:ind w:left="-42" w:leftChars="-20" w:right="-42" w:rightChars="-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w:t>
                  </w:r>
                </w:p>
              </w:tc>
              <w:tc>
                <w:tcPr>
                  <w:tcW w:w="2324" w:type="dxa"/>
                  <w:tcBorders>
                    <w:top w:val="single" w:color="000000" w:sz="4" w:space="0"/>
                    <w:left w:val="single" w:color="auto" w:sz="4" w:space="0"/>
                    <w:bottom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干式过滤器+活性炭吸附箱</w:t>
                  </w:r>
                </w:p>
              </w:tc>
              <w:tc>
                <w:tcPr>
                  <w:tcW w:w="3005" w:type="dxa"/>
                  <w:tcBorders>
                    <w:top w:val="single" w:color="auto" w:sz="6" w:space="0"/>
                    <w:bottom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628" w:type="dxa"/>
                  <w:tcBorders>
                    <w:top w:val="single" w:color="auto" w:sz="6" w:space="0"/>
                    <w:bottom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rFonts w:hint="default"/>
                      <w:color w:val="000000" w:themeColor="text1"/>
                      <w14:textFill>
                        <w14:solidFill>
                          <w14:schemeClr w14:val="tx1"/>
                        </w14:solidFill>
                      </w14:textFill>
                    </w:rPr>
                    <w:t>套</w:t>
                  </w:r>
                </w:p>
              </w:tc>
              <w:tc>
                <w:tcPr>
                  <w:tcW w:w="1268" w:type="dxa"/>
                  <w:tcBorders>
                    <w:top w:val="single" w:color="auto" w:sz="6" w:space="0"/>
                    <w:bottom w:val="single" w:color="auto" w:sz="12" w:space="0"/>
                  </w:tcBorders>
                  <w:vAlign w:val="center"/>
                </w:tcPr>
                <w:p>
                  <w:pPr>
                    <w:keepNext w:val="0"/>
                    <w:keepLines w:val="0"/>
                    <w:suppressLineNumbers w:val="0"/>
                    <w:spacing w:before="0" w:beforeAutospacing="0" w:after="0" w:afterAutospacing="0"/>
                    <w:ind w:left="-20" w:right="-2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bl>
          <w:p>
            <w:pPr>
              <w:keepNext w:val="0"/>
              <w:keepLines w:val="0"/>
              <w:widowControl/>
              <w:suppressLineNumbers w:val="0"/>
              <w:adjustRightInd w:val="0"/>
              <w:snapToGrid w:val="0"/>
              <w:spacing w:before="0" w:beforeAutospacing="0" w:after="0" w:afterAutospacing="0" w:line="520" w:lineRule="exact"/>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7、产品方案</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飞机喷漆能力为18架次/年，项目只进行整机喷漆，不做零部件喷漆。不做整机喷漆的情况下，飞机维修能力为300架次/年。本项目主要承担A320系列飞机的维修和喷漆任务。主要参数见下表。改建前后项目维修和喷漆能力不变。</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表4   参考机型表</w:t>
            </w:r>
          </w:p>
          <w:tbl>
            <w:tblPr>
              <w:tblStyle w:val="38"/>
              <w:tblW w:w="877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394"/>
              <w:gridCol w:w="2179"/>
              <w:gridCol w:w="2179"/>
              <w:gridCol w:w="202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394"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机型</w:t>
                  </w:r>
                </w:p>
              </w:tc>
              <w:tc>
                <w:tcPr>
                  <w:tcW w:w="21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机长（m）</w:t>
                  </w:r>
                </w:p>
              </w:tc>
              <w:tc>
                <w:tcPr>
                  <w:tcW w:w="21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翼展（m）</w:t>
                  </w:r>
                </w:p>
              </w:tc>
              <w:tc>
                <w:tcPr>
                  <w:tcW w:w="202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机高（m）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394"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A320-100</w:t>
                  </w:r>
                </w:p>
              </w:tc>
              <w:tc>
                <w:tcPr>
                  <w:tcW w:w="21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37.57</w:t>
                  </w:r>
                </w:p>
              </w:tc>
              <w:tc>
                <w:tcPr>
                  <w:tcW w:w="21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34.1</w:t>
                  </w:r>
                </w:p>
              </w:tc>
              <w:tc>
                <w:tcPr>
                  <w:tcW w:w="202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11.76</w:t>
                  </w:r>
                </w:p>
              </w:tc>
            </w:tr>
          </w:tbl>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表5   项目飞机喷漆情况一览表</w:t>
            </w:r>
          </w:p>
          <w:tbl>
            <w:tblPr>
              <w:tblStyle w:val="38"/>
              <w:tblW w:w="877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28"/>
              <w:gridCol w:w="2101"/>
              <w:gridCol w:w="2049"/>
              <w:gridCol w:w="300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28"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飞机类型</w:t>
                  </w:r>
                </w:p>
              </w:tc>
              <w:tc>
                <w:tcPr>
                  <w:tcW w:w="2101"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喷漆架次（架/a）</w:t>
                  </w:r>
                </w:p>
              </w:tc>
              <w:tc>
                <w:tcPr>
                  <w:tcW w:w="204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单架喷涂面积（m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w:t>
                  </w:r>
                </w:p>
              </w:tc>
              <w:tc>
                <w:tcPr>
                  <w:tcW w:w="300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考虑所有飞机均为整机喷漆的喷涂面积（m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4" w:hRule="atLeast"/>
                <w:jc w:val="center"/>
              </w:trPr>
              <w:tc>
                <w:tcPr>
                  <w:tcW w:w="1628"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空客A320</w:t>
                  </w:r>
                </w:p>
              </w:tc>
              <w:tc>
                <w:tcPr>
                  <w:tcW w:w="2101"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w:t>
                  </w:r>
                </w:p>
              </w:tc>
              <w:tc>
                <w:tcPr>
                  <w:tcW w:w="204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800</w:t>
                  </w:r>
                </w:p>
              </w:tc>
              <w:tc>
                <w:tcPr>
                  <w:tcW w:w="300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14400</w:t>
                  </w:r>
                </w:p>
              </w:tc>
            </w:tr>
          </w:tbl>
          <w:p>
            <w:pPr>
              <w:keepNext w:val="0"/>
              <w:keepLines w:val="0"/>
              <w:widowControl/>
              <w:suppressLineNumbers w:val="0"/>
              <w:adjustRightInd w:val="0"/>
              <w:snapToGrid w:val="0"/>
              <w:spacing w:before="0" w:beforeAutospacing="0" w:after="0" w:afterAutospacing="0" w:line="520" w:lineRule="exact"/>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8、原辅材料和动力消耗</w:t>
            </w:r>
          </w:p>
          <w:p>
            <w:pPr>
              <w:keepNext w:val="0"/>
              <w:keepLines w:val="0"/>
              <w:suppressLineNumbers w:val="0"/>
              <w:spacing w:before="0" w:beforeAutospacing="0" w:after="0" w:afterAutospacing="0" w:line="360" w:lineRule="auto"/>
              <w:ind w:left="0" w:right="0" w:firstLine="480" w:firstLineChars="200"/>
              <w:rPr>
                <w:rFonts w:hint="default"/>
                <w:color w:val="000000" w:themeColor="text1"/>
                <w:kern w:val="0"/>
                <w:sz w:val="24"/>
                <w:szCs w:val="24"/>
                <w14:textFill>
                  <w14:solidFill>
                    <w14:schemeClr w14:val="tx1"/>
                  </w14:solidFill>
                </w14:textFill>
              </w:rPr>
            </w:pPr>
            <w:r>
              <w:rPr>
                <w:rFonts w:hint="default"/>
                <w:color w:val="000000" w:themeColor="text1"/>
                <w:kern w:val="0"/>
                <w:sz w:val="24"/>
                <w:szCs w:val="24"/>
                <w14:textFill>
                  <w14:solidFill>
                    <w14:schemeClr w14:val="tx1"/>
                  </w14:solidFill>
                </w14:textFill>
              </w:rPr>
              <w:t>本项目主要原辅材料及消耗量见下表。根据建设单位提供资料，项目年喷涂飞机空客A320架次为18架，每架飞机的喷漆量（包含磷化底漆、中间底漆、面漆、清漆漆及其各自的稀释剂及固化剂）约为520kg，按不利因素计，油漆使用量最大约为9.36t/a。油漆检测报告见附件。</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表6   主要原、辅材料及能源消耗一览表</w:t>
            </w:r>
          </w:p>
          <w:tbl>
            <w:tblPr>
              <w:tblStyle w:val="38"/>
              <w:tblW w:w="877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50"/>
              <w:gridCol w:w="1327"/>
              <w:gridCol w:w="1008"/>
              <w:gridCol w:w="941"/>
              <w:gridCol w:w="485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序号</w:t>
                  </w:r>
                </w:p>
              </w:tc>
              <w:tc>
                <w:tcPr>
                  <w:tcW w:w="1327"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名称</w:t>
                  </w:r>
                </w:p>
              </w:tc>
              <w:tc>
                <w:tcPr>
                  <w:tcW w:w="100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消耗量</w:t>
                  </w:r>
                </w:p>
              </w:tc>
              <w:tc>
                <w:tcPr>
                  <w:tcW w:w="94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单位</w:t>
                  </w:r>
                </w:p>
              </w:tc>
              <w:tc>
                <w:tcPr>
                  <w:tcW w:w="4852"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778" w:type="dxa"/>
                  <w:gridSpan w:val="5"/>
                  <w:tcBorders>
                    <w:tl2br w:val="nil"/>
                    <w:tr2bl w:val="nil"/>
                  </w:tcBorders>
                  <w:vAlign w:val="center"/>
                </w:tcPr>
                <w:p>
                  <w:pPr>
                    <w:keepNext w:val="0"/>
                    <w:keepLines w:val="0"/>
                    <w:suppressLineNumbers w:val="0"/>
                    <w:spacing w:before="0" w:beforeAutospacing="0" w:after="0" w:afterAutospacing="0" w:line="0" w:lineRule="atLeast"/>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                           原辅材料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磷化底漆基料</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172.8</w:t>
                  </w:r>
                </w:p>
              </w:tc>
              <w:tc>
                <w:tcPr>
                  <w:tcW w:w="94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外购，存放要求：防爆柜、漆料存放架；远离热源、通风良好、防静电。最大存放量为25kg。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磷化底漆固化剂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41.4</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外购，存放要求：防爆柜、漆料存放架；远离热源、通风良好、防静电。最大存放量为25kg。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磷化底漆稀释剂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39.6</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外购，存放要求：防爆柜、漆料存放架；远离热源、通风良好、防静电。最大存放量为25kg。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1512</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中间底漆固化剂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549</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中间底漆稀释剂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509.4</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2386.8</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外购，存放要求：防爆柜、漆料存放架；远离热源、通风良好、防静电。最大存放量为400kg。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基础面漆固化剂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660.6</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基础面漆稀释剂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405</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1188</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清漆固化剂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1166.4</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外购，存放要求：防爆柜、漆料存放架；远离热源、通风良好、防静电。最大存放量为200kg。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清漆稀释剂</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729</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外购，存放要求：防爆柜、漆料存放架；远离热源、通风良好、防静电。最大存放量为100kg。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打磨砂纸</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800</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外购，存放要求：通风干燥阴凉。最大存放量为100kg。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w:t>
                  </w:r>
                </w:p>
              </w:tc>
              <w:tc>
                <w:tcPr>
                  <w:tcW w:w="1327" w:type="dxa"/>
                  <w:tcBorders>
                    <w:tl2br w:val="nil"/>
                    <w:tr2bl w:val="nil"/>
                  </w:tcBorders>
                  <w:vAlign w:val="center"/>
                </w:tcPr>
                <w:p>
                  <w:pPr>
                    <w:keepNext w:val="0"/>
                    <w:keepLines w:val="0"/>
                    <w:suppressLineNumbers w:val="0"/>
                    <w:spacing w:before="0" w:beforeAutospacing="0" w:after="0" w:afterAutospacing="0"/>
                    <w:ind w:left="0" w:right="0"/>
                    <w:rPr>
                      <w:rFonts w:hint="default"/>
                      <w:color w:val="000000" w:themeColor="text1"/>
                      <w:highlight w:val="yellow"/>
                      <w14:textFill>
                        <w14:solidFill>
                          <w14:schemeClr w14:val="tx1"/>
                        </w14:solidFill>
                      </w14:textFill>
                    </w:rPr>
                  </w:pPr>
                  <w:r>
                    <w:rPr>
                      <w:rFonts w:hint="default"/>
                      <w:color w:val="000000" w:themeColor="text1"/>
                      <w14:textFill>
                        <w14:solidFill>
                          <w14:schemeClr w14:val="tx1"/>
                        </w14:solidFill>
                      </w14:textFill>
                    </w:rPr>
                    <w:t>手套、棉纱、油盒、毛刷</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外购，最大存放量为50kg。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132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机油</w:t>
                  </w:r>
                </w:p>
              </w:tc>
              <w:tc>
                <w:tcPr>
                  <w:tcW w:w="100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w:t>
                  </w:r>
                </w:p>
              </w:tc>
              <w:tc>
                <w:tcPr>
                  <w:tcW w:w="94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kg/a</w:t>
                  </w:r>
                </w:p>
              </w:tc>
              <w:tc>
                <w:tcPr>
                  <w:tcW w:w="4852"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外购，最大存放量为20kg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778" w:type="dxa"/>
                  <w:gridSpan w:val="5"/>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       资源能源消耗</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w:t>
                  </w:r>
                </w:p>
              </w:tc>
              <w:tc>
                <w:tcPr>
                  <w:tcW w:w="1327"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电</w:t>
                  </w:r>
                </w:p>
              </w:tc>
              <w:tc>
                <w:tcPr>
                  <w:tcW w:w="100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100万</w:t>
                  </w:r>
                </w:p>
              </w:tc>
              <w:tc>
                <w:tcPr>
                  <w:tcW w:w="94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KWh/a</w:t>
                  </w:r>
                </w:p>
              </w:tc>
              <w:tc>
                <w:tcPr>
                  <w:tcW w:w="4852"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依托维修基地现有变电站提供</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17</w:t>
                  </w:r>
                </w:p>
              </w:tc>
              <w:tc>
                <w:tcPr>
                  <w:tcW w:w="1327"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w:t>
                  </w:r>
                </w:p>
              </w:tc>
              <w:tc>
                <w:tcPr>
                  <w:tcW w:w="100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897.17</w:t>
                  </w:r>
                </w:p>
              </w:tc>
              <w:tc>
                <w:tcPr>
                  <w:tcW w:w="94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4852"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依托维修基地现有供水管网提供</w:t>
                  </w:r>
                </w:p>
              </w:tc>
            </w:tr>
          </w:tbl>
          <w:p>
            <w:pPr>
              <w:pStyle w:val="92"/>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表7  原辅材料主要成分及相关特性一览表</w:t>
            </w:r>
          </w:p>
          <w:tbl>
            <w:tblPr>
              <w:tblStyle w:val="38"/>
              <w:tblW w:w="867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507"/>
              <w:gridCol w:w="788"/>
              <w:gridCol w:w="751"/>
              <w:gridCol w:w="2935"/>
              <w:gridCol w:w="2536"/>
              <w:gridCol w:w="6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类型</w:t>
                  </w:r>
                </w:p>
              </w:tc>
              <w:tc>
                <w:tcPr>
                  <w:tcW w:w="507"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名称</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相态</w:t>
                  </w:r>
                </w:p>
              </w:tc>
              <w:tc>
                <w:tcPr>
                  <w:tcW w:w="751"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包装方式</w:t>
                  </w:r>
                </w:p>
              </w:tc>
              <w:tc>
                <w:tcPr>
                  <w:tcW w:w="2935"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组分构成</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物理性质</w:t>
                  </w:r>
                </w:p>
              </w:tc>
              <w:tc>
                <w:tcPr>
                  <w:tcW w:w="699"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燃烧爆炸性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457" w:type="dxa"/>
                  <w:vMerge w:val="restart"/>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磷化底漆</w:t>
                  </w: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油漆</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粘稠型液体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二甲苯5-10%、1-丙醇25-40%、1-丁醇20-25%、乙酸丁酯1-5%、铬酸锌5-12.5%、氢氧化铬酸锌钾5-12.5%、苯酚0.1--。25%、硫酸化蓖麻油1-3%等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物理形态：粘稠状液体；气味：特征性；水溶性：不溶于水；沸点：120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；闪点：25</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稀释剂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澄清无色液体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甲苯12.5-20%、2丙醇20-25%、丁酮20-25%、4-甲基-2-戊酮10-12.5%、乙酸丁酯25-40%等</w:t>
                  </w:r>
                </w:p>
              </w:tc>
              <w:tc>
                <w:tcPr>
                  <w:tcW w:w="2536" w:type="dxa"/>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color w:val="000000" w:themeColor="text1"/>
                      <w14:textFill>
                        <w14:solidFill>
                          <w14:schemeClr w14:val="tx1"/>
                        </w14:solidFill>
                      </w14:textFill>
                    </w:rPr>
                    <w:t>；闪点：4</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1-丙醇40-100%、磷酸5-10%等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；闪点：29</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中间层底漆</w:t>
                  </w: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油漆</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粘稠型液体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二甲苯5-10%、乙苯2.5-5%、磷酸锌5-12.5%、氧化锌0.1-0.25%、丙二醇甲醚醋酸酯12.5-20%、乙酸丁酯5-12.5%等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物理形态：粘稠状液体；气味：特征性；水溶性：不溶于水；沸点：120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；闪点：34</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稀释剂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澄清无色液体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乙酰丙酮25-40%、乙酸丁酯25-40%等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；闪点：35</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聚六亚甲基二异氰酸酯40-100%、六亚甲基二异氰酸酯0.1-0.25%、乙酸丁酯40-100%等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；闪点：31</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基础面漆</w:t>
                  </w: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油漆</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粘稠型液体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4-甲基-2-戊酮1-5%、C9的芳香烃类1-2.5%、乙酸丁酯20-25%等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；闪点：25</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稀释剂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澄清无色液体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2-庚酮40-100%、乙酰丙酮25-40%、二丙酮醇12.5-20%、二丁基-二新癸酸锡0.3-0.5%等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；闪点：25</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二甲苯1-5%、乙苯1-2.5%、聚六亚甲基二异氰酸酯40-100%、轻质芳香烃石脑油（石油）2.5-5%、六亚甲基二异氰酸酯0.1-0.25%、乙酸丁酯12.5-20%等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；闪点：36</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restart"/>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清漆</w:t>
                  </w: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油漆</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粘稠型液体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三环[5.2.1.02,6]癸烷二甲醇1-5%、2,2,4,4-四甲基-21-氧代-7-氧杂-3,20-二氮杂环双螺[5.1.11.2]二十一碳烷-20-丙酸十四烷基酯1-2.5%、乙酸丁酯12.5-20%、丙二醇甲醚醋酸酯5-12.5%等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；闪点：27</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遇明火、高热可燃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稀释剂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澄清无色液体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乙酰丙酮25-40%、二丁基-二新癸酸锡0.1-0.25%、乙酸丁酯25-40%、丙二醇甲醚醋酸酯12.5-20%等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；闪点：25</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57" w:type="dxa"/>
                  <w:vMerge w:val="continue"/>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07" w:type="dxa"/>
                  <w:shd w:val="clear" w:color="000000" w:fill="FFFFFF"/>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固化剂</w:t>
                  </w:r>
                </w:p>
              </w:tc>
              <w:tc>
                <w:tcPr>
                  <w:tcW w:w="788" w:type="dxa"/>
                  <w:vAlign w:val="center"/>
                </w:tcPr>
                <w:p>
                  <w:pPr>
                    <w:pStyle w:val="134"/>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粘稠液体</w:t>
                  </w:r>
                </w:p>
              </w:tc>
              <w:tc>
                <w:tcPr>
                  <w:tcW w:w="751"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kern w:val="0"/>
                      <w:sz w:val="21"/>
                      <w:szCs w:val="21"/>
                      <w14:textFill>
                        <w14:solidFill>
                          <w14:schemeClr w14:val="tx1"/>
                        </w14:solidFill>
                      </w14:textFill>
                    </w:rPr>
                  </w:pPr>
                  <w:r>
                    <w:rPr>
                      <w:rFonts w:hint="default"/>
                      <w:color w:val="000000" w:themeColor="text1"/>
                      <w:kern w:val="0"/>
                      <w:sz w:val="21"/>
                      <w:szCs w:val="21"/>
                      <w14:textFill>
                        <w14:solidFill>
                          <w14:schemeClr w14:val="tx1"/>
                        </w14:solidFill>
                      </w14:textFill>
                    </w:rPr>
                    <w:t>桶装</w:t>
                  </w:r>
                </w:p>
              </w:tc>
              <w:tc>
                <w:tcPr>
                  <w:tcW w:w="29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二甲苯1-5%、乙苯1-2.5%、聚六亚甲基二异氰酸酯40-100%、轻质芳香烃石脑油（石油）2.5-5%、六亚甲基二异氰酸酯0.1-0.25%、乙酸丁酯12.5-20%等</w:t>
                  </w:r>
                </w:p>
              </w:tc>
              <w:tc>
                <w:tcPr>
                  <w:tcW w:w="2536" w:type="dxa"/>
                  <w:vAlign w:val="center"/>
                </w:tcPr>
                <w:p>
                  <w:pPr>
                    <w:pStyle w:val="17"/>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物理形态：液体；气味：特征性；水溶性：不溶于水，可溶于有机溶剂；沸点：120</w:t>
                  </w:r>
                  <w:r>
                    <w:rPr>
                      <w:rFonts w:hint="default" w:ascii="MS Mincho" w:hAnsi="MS Mincho" w:eastAsia="MS Mincho" w:cs="MS Mincho"/>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；闪点：36</w:t>
                  </w:r>
                  <w:r>
                    <w:rPr>
                      <w:rFonts w:hint="default" w:ascii="MS Mincho" w:hAnsi="MS Mincho" w:eastAsia="MS Mincho" w:cs="MS Mincho"/>
                      <w:color w:val="000000" w:themeColor="text1"/>
                      <w14:textFill>
                        <w14:solidFill>
                          <w14:schemeClr w14:val="tx1"/>
                        </w14:solidFill>
                      </w14:textFill>
                    </w:rPr>
                    <w:t>℃</w:t>
                  </w:r>
                </w:p>
              </w:tc>
              <w:tc>
                <w:tcPr>
                  <w:tcW w:w="699" w:type="dxa"/>
                  <w:vAlign w:val="center"/>
                </w:tcPr>
                <w:p>
                  <w:pPr>
                    <w:pStyle w:val="26"/>
                    <w:keepNext w:val="0"/>
                    <w:keepLines w:val="0"/>
                    <w:suppressLineNumbers w:val="0"/>
                    <w:spacing w:before="0" w:beforeAutospacing="0" w:after="0" w:afterAutospacing="0"/>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易燃</w:t>
                  </w:r>
                </w:p>
              </w:tc>
            </w:tr>
          </w:tbl>
          <w:p>
            <w:pPr>
              <w:keepNext w:val="0"/>
              <w:keepLines w:val="0"/>
              <w:widowControl/>
              <w:suppressLineNumbers w:val="0"/>
              <w:adjustRightInd w:val="0"/>
              <w:snapToGrid w:val="0"/>
              <w:spacing w:before="0" w:beforeAutospacing="0" w:after="0" w:afterAutospacing="0" w:line="520" w:lineRule="exact"/>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9、劳动定员</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项目年运行365天，项目定员54人，其中消防值班室每天安排1人值班，平均每天8h，不提供食宿。</w:t>
            </w:r>
          </w:p>
          <w:p>
            <w:pPr>
              <w:keepNext w:val="0"/>
              <w:keepLines w:val="0"/>
              <w:widowControl/>
              <w:suppressLineNumbers w:val="0"/>
              <w:adjustRightInd w:val="0"/>
              <w:snapToGrid w:val="0"/>
              <w:spacing w:before="0" w:beforeAutospacing="0" w:after="0" w:afterAutospacing="0" w:line="520" w:lineRule="exact"/>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10、公用工程</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（1）给水</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项目用水引自维修基地现有供水管网，用于工作人员生活用水</w:t>
            </w:r>
            <w:r>
              <w:rPr>
                <w:rFonts w:hint="eastAsia"/>
                <w:bCs/>
                <w:color w:val="000000" w:themeColor="text1"/>
                <w:sz w:val="24"/>
                <w14:textFill>
                  <w14:solidFill>
                    <w14:schemeClr w14:val="tx1"/>
                  </w14:solidFill>
                </w14:textFill>
              </w:rPr>
              <w:t>和</w:t>
            </w:r>
            <w:r>
              <w:rPr>
                <w:rFonts w:hint="default"/>
                <w:bCs/>
                <w:color w:val="000000" w:themeColor="text1"/>
                <w:sz w:val="24"/>
                <w14:textFill>
                  <w14:solidFill>
                    <w14:schemeClr w14:val="tx1"/>
                  </w14:solidFill>
                </w14:textFill>
              </w:rPr>
              <w:t>飞机清洗用水。项目</w:t>
            </w:r>
            <w:r>
              <w:rPr>
                <w:rFonts w:hint="default"/>
                <w:color w:val="000000" w:themeColor="text1"/>
                <w:sz w:val="24"/>
                <w14:textFill>
                  <w14:solidFill>
                    <w14:schemeClr w14:val="tx1"/>
                  </w14:solidFill>
                </w14:textFill>
              </w:rPr>
              <w:t>新鲜水用量为843.225m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2.</w:t>
            </w:r>
            <w:r>
              <w:rPr>
                <w:rFonts w:hint="default"/>
                <w:color w:val="000000" w:themeColor="text1"/>
                <w:sz w:val="24"/>
                <w14:textFill>
                  <w14:solidFill>
                    <w14:schemeClr w14:val="tx1"/>
                  </w14:solidFill>
                </w14:textFill>
              </w:rPr>
              <w:t>311m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（2）排水</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项目采用雨污分流制，屋面雨水采用重力流外排系统，经雨水立管就近排至室外雨</w:t>
            </w:r>
            <w:r>
              <w:rPr>
                <w:rFonts w:hint="default"/>
                <w:bCs/>
                <w:color w:val="000000" w:themeColor="text1"/>
                <w:sz w:val="24"/>
                <w14:textFill>
                  <w14:solidFill>
                    <w14:schemeClr w14:val="tx1"/>
                  </w14:solidFill>
                </w14:textFill>
              </w:rPr>
              <w:t>水管网。依托维修基地现有化粪池预处理生活污水和经过滤棉过滤后的清洗废水通过管网排入咸阳机场污水处理厂集中处理后达标排放。</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（3）供电</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项目用电主要是设备用电，电源引自维修基地现有变电站，采用双回路供电，供电电压为220/380V，电缆采用直埋敷设方式。</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（4）供热</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晾干热源由大唐热力公司提供的暖气热水，经机场动力站输送的至维修基地，经热力转换由暖风机输出暖风。</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（5）通风</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设计防爆性通风系统，平时通风与事故通风系统分别设置，风机与可燃性气体浓度报警装置连锁，平时排风量根据空调风量确定，事故排风量按不小于12次/h设计。</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（6）消防设计</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本项目1号机库飞机停放和维修区面积不到5000m</w:t>
            </w:r>
            <w:r>
              <w:rPr>
                <w:rFonts w:hint="default"/>
                <w:color w:val="000000" w:themeColor="text1"/>
                <w:sz w:val="24"/>
                <w:vertAlign w:val="superscript"/>
                <w14:textFill>
                  <w14:solidFill>
                    <w14:schemeClr w14:val="tx1"/>
                  </w14:solidFill>
                </w14:textFill>
              </w:rPr>
              <w:t>2</w:t>
            </w:r>
            <w:r>
              <w:rPr>
                <w:rFonts w:hint="default"/>
                <w:color w:val="000000" w:themeColor="text1"/>
                <w:sz w:val="24"/>
                <w14:textFill>
                  <w14:solidFill>
                    <w14:schemeClr w14:val="tx1"/>
                  </w14:solidFill>
                </w14:textFill>
              </w:rPr>
              <w:t>，属III类机库，项目设计喷漆，按规范规定，在机库喷漆大厅设泡沫枪及消火栓系统、移动式灭火器，设置防爆手动报警按钮，在大厅的侧墙上设置三频段红紫外火焰探测器，在附楼内的适当位置设置手动报警按钮，在安全出口处设火声光报警灯。</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设置火警及消防控制系统。火灾自动报警系统采用智能型总线制报警和多线制消防控制相结合方式，具有消防设备手动/自动控制、消防设备工作状态显示，消防通信、应急广播等功能。在机库一层设置消防值班室，设24小时专人值班，内设火灾自动报警控制主机、联动控制台、可燃气体报警控制主机、火警电话总机。</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建筑物耐火等级、建筑火灾危险性分类：</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1号机库建筑面积为4</w:t>
            </w:r>
            <w:r>
              <w:rPr>
                <w:rFonts w:hint="eastAsia"/>
                <w:color w:val="000000" w:themeColor="text1"/>
                <w:sz w:val="24"/>
                <w14:textFill>
                  <w14:solidFill>
                    <w14:schemeClr w14:val="tx1"/>
                  </w14:solidFill>
                </w14:textFill>
              </w:rPr>
              <w:t>790</w:t>
            </w:r>
            <w:r>
              <w:rPr>
                <w:rFonts w:hint="default"/>
                <w:color w:val="000000" w:themeColor="text1"/>
                <w:sz w:val="24"/>
                <w14:textFill>
                  <w14:solidFill>
                    <w14:schemeClr w14:val="tx1"/>
                  </w14:solidFill>
                </w14:textFill>
              </w:rPr>
              <w:t>m</w:t>
            </w:r>
            <w:r>
              <w:rPr>
                <w:rFonts w:hint="default"/>
                <w:color w:val="000000" w:themeColor="text1"/>
                <w:sz w:val="24"/>
                <w:vertAlign w:val="superscript"/>
                <w14:textFill>
                  <w14:solidFill>
                    <w14:schemeClr w14:val="tx1"/>
                  </w14:solidFill>
                </w14:textFill>
              </w:rPr>
              <w:t>2</w:t>
            </w:r>
            <w:r>
              <w:rPr>
                <w:rFonts w:hint="default"/>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火灾危险性类别为甲类，厂房耐火等级为二级。根据《建筑设计防火规范（2018年版）》（GB0016-2014）第3.3.1条，每个防火分区最大允许建筑面积为3000m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，将东侧附属用房（建筑面积905m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）、喷漆大厅（建筑面积2980m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）、西侧附属用房（建筑面积905m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）各划分为一个防火分区。</w:t>
            </w:r>
            <w:r>
              <w:rPr>
                <w:rFonts w:hint="default"/>
                <w:color w:val="000000" w:themeColor="text1"/>
                <w:sz w:val="24"/>
                <w14:textFill>
                  <w14:solidFill>
                    <w14:schemeClr w14:val="tx1"/>
                  </w14:solidFill>
                </w14:textFill>
              </w:rPr>
              <w:t>在机库大门上、头库靠外墙处和侧墙处均设对外疏散门，可直接疏散至室外，机库内最远工作地点到安全出口距离为48m，小于75m，满足规范要求。</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根据平面布置，各人员疏散出口等安全出口的布置疏散距离均符合规范规定，房间最远点疏散距离满足规范要求。</w:t>
            </w:r>
            <w:r>
              <w:rPr>
                <w:rFonts w:hint="eastAsia"/>
                <w:color w:val="000000" w:themeColor="text1"/>
                <w:sz w:val="24"/>
                <w14:textFill>
                  <w14:solidFill>
                    <w14:schemeClr w14:val="tx1"/>
                  </w14:solidFill>
                </w14:textFill>
              </w:rPr>
              <w:t>喷漆</w:t>
            </w:r>
            <w:r>
              <w:rPr>
                <w:rFonts w:hint="default"/>
                <w:color w:val="000000" w:themeColor="text1"/>
                <w:sz w:val="24"/>
                <w14:textFill>
                  <w14:solidFill>
                    <w14:schemeClr w14:val="tx1"/>
                  </w14:solidFill>
                </w14:textFill>
              </w:rPr>
              <w:t>大厅内最远工作地点到安全出口的距离小于75m，可以确保人员在火灾发生时能安全巡视疏散至室外。内装修设计符合现行规范的有关规定。消防值班室、无外窗房间等，其内部所有装修均采用A级装修材料。建筑水平疏散走道和门厅，其顶棚装修材料采用A级装修材料，其他部位不低于B1级的装修材料。防火墙上的门、配电间的门、消防值班室的门均为甲级防火门；所有防火门均需安装闭门器，门上设可视窗口，玻璃为防火玻璃。</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钢结构防火：</w:t>
            </w:r>
            <w:r>
              <w:rPr>
                <w:rFonts w:hint="eastAsia"/>
                <w:color w:val="000000" w:themeColor="text1"/>
                <w:sz w:val="24"/>
                <w14:textFill>
                  <w14:solidFill>
                    <w14:schemeClr w14:val="tx1"/>
                  </w14:solidFill>
                </w14:textFill>
              </w:rPr>
              <w:t>喷漆</w:t>
            </w:r>
            <w:r>
              <w:rPr>
                <w:rFonts w:hint="default"/>
                <w:color w:val="000000" w:themeColor="text1"/>
                <w:sz w:val="24"/>
                <w14:textFill>
                  <w14:solidFill>
                    <w14:schemeClr w14:val="tx1"/>
                  </w14:solidFill>
                </w14:textFill>
              </w:rPr>
              <w:t>大厅为排架及钢结构，采取耐火极限为</w:t>
            </w:r>
            <w:r>
              <w:rPr>
                <w:rFonts w:hint="eastAsia"/>
                <w:color w:val="000000" w:themeColor="text1"/>
                <w:sz w:val="24"/>
                <w14:textFill>
                  <w14:solidFill>
                    <w14:schemeClr w14:val="tx1"/>
                  </w14:solidFill>
                </w14:textFill>
              </w:rPr>
              <w:t>2</w:t>
            </w:r>
            <w:r>
              <w:rPr>
                <w:rFonts w:hint="default"/>
                <w:color w:val="000000" w:themeColor="text1"/>
                <w:sz w:val="24"/>
                <w14:textFill>
                  <w14:solidFill>
                    <w14:schemeClr w14:val="tx1"/>
                  </w14:solidFill>
                </w14:textFill>
              </w:rPr>
              <w:t>.0小时的防火涂料保护，网架结构、柱间支撑均采取耐火极限为1.5小时的防火涂料保护。设备用房等其他房间的墙体采用200厚加气混凝土砌块，可满足耐火极限2.0小时的要求，吊顶为轻钢龙骨铝条板格栅吊顶、矿棉吸声板吊顶机直面石膏板吊顶，耐火极限大于0.25小时。</w:t>
            </w:r>
          </w:p>
          <w:p>
            <w:pPr>
              <w:keepNext w:val="0"/>
              <w:keepLines w:val="0"/>
              <w:suppressLineNumbers w:val="0"/>
              <w:adjustRightInd w:val="0"/>
              <w:snapToGrid w:val="0"/>
              <w:spacing w:before="0" w:beforeAutospacing="0" w:after="0" w:afterAutospacing="0" w:line="520" w:lineRule="exact"/>
              <w:ind w:left="0" w:right="0" w:firstLine="482" w:firstLineChars="20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11、总平面布置</w:t>
            </w:r>
          </w:p>
          <w:p>
            <w:pPr>
              <w:keepNext w:val="0"/>
              <w:keepLines w:val="0"/>
              <w:suppressLineNumbers w:val="0"/>
              <w:autoSpaceDE w:val="0"/>
              <w:autoSpaceDN w:val="0"/>
              <w:adjustRightInd w:val="0"/>
              <w:snapToGrid w:val="0"/>
              <w:spacing w:before="0" w:beforeAutospacing="0" w:after="0" w:afterAutospacing="0" w:line="520" w:lineRule="exact"/>
              <w:ind w:left="0" w:right="0" w:firstLine="480" w:firstLineChars="200"/>
              <w:rPr>
                <w:rFonts w:hint="default"/>
                <w:bCs/>
                <w:color w:val="000000" w:themeColor="text1"/>
                <w:sz w:val="24"/>
                <w:szCs w:val="24"/>
                <w14:textFill>
                  <w14:solidFill>
                    <w14:schemeClr w14:val="tx1"/>
                  </w14:solidFill>
                </w14:textFill>
              </w:rPr>
            </w:pPr>
            <w:r>
              <w:rPr>
                <w:rFonts w:hint="default"/>
                <w:color w:val="000000" w:themeColor="text1"/>
                <w:kern w:val="0"/>
                <w:sz w:val="24"/>
                <w14:textFill>
                  <w14:solidFill>
                    <w14:schemeClr w14:val="tx1"/>
                  </w14:solidFill>
                </w14:textFill>
              </w:rPr>
              <w:t>项目厂区整体为矩形，飞机出入口为西北侧</w:t>
            </w:r>
            <w:r>
              <w:rPr>
                <w:rFonts w:hint="default"/>
                <w:bCs/>
                <w:color w:val="000000" w:themeColor="text1"/>
                <w:sz w:val="24"/>
                <w14:textFill>
                  <w14:solidFill>
                    <w14:schemeClr w14:val="tx1"/>
                  </w14:solidFill>
                </w14:textFill>
              </w:rPr>
              <w:t>大门，人员主要安全出入口位于东南侧。中间空置区域为喷漆大厅，可容纳</w:t>
            </w:r>
            <w:r>
              <w:rPr>
                <w:rFonts w:hint="default"/>
                <w:color w:val="000000" w:themeColor="text1"/>
                <w:kern w:val="0"/>
                <w:sz w:val="24"/>
                <w:szCs w:val="24"/>
                <w14:textFill>
                  <w14:solidFill>
                    <w14:schemeClr w14:val="tx1"/>
                  </w14:solidFill>
                </w14:textFill>
              </w:rPr>
              <w:t>空客A320飞机1架。</w:t>
            </w:r>
            <w:r>
              <w:rPr>
                <w:rFonts w:hint="default"/>
                <w:bCs/>
                <w:color w:val="000000" w:themeColor="text1"/>
                <w:sz w:val="24"/>
                <w14:textFill>
                  <w14:solidFill>
                    <w14:schemeClr w14:val="tx1"/>
                  </w14:solidFill>
                </w14:textFill>
              </w:rPr>
              <w:t>西南侧依次为部件存放间、复合材料修理间、结构修理存放间、调漆间</w:t>
            </w:r>
            <w:r>
              <w:rPr>
                <w:rFonts w:hint="eastAsia"/>
                <w:bCs/>
                <w:color w:val="000000" w:themeColor="text1"/>
                <w:sz w:val="24"/>
                <w14:textFill>
                  <w14:solidFill>
                    <w14:schemeClr w14:val="tx1"/>
                  </w14:solidFill>
                </w14:textFill>
              </w:rPr>
              <w:t>和存漆间、设备存放间</w:t>
            </w:r>
            <w:r>
              <w:rPr>
                <w:rFonts w:hint="default"/>
                <w:bCs/>
                <w:color w:val="000000" w:themeColor="text1"/>
                <w:sz w:val="24"/>
                <w14:textFill>
                  <w14:solidFill>
                    <w14:schemeClr w14:val="tx1"/>
                  </w14:solidFill>
                </w14:textFill>
              </w:rPr>
              <w:t>，东北侧依次为</w:t>
            </w:r>
            <w:r>
              <w:rPr>
                <w:rFonts w:hint="eastAsia"/>
                <w:bCs/>
                <w:color w:val="000000" w:themeColor="text1"/>
                <w:sz w:val="24"/>
                <w14:textFill>
                  <w14:solidFill>
                    <w14:schemeClr w14:val="tx1"/>
                  </w14:solidFill>
                </w14:textFill>
              </w:rPr>
              <w:t>卫生间、工具间、更衣室、</w:t>
            </w:r>
            <w:r>
              <w:rPr>
                <w:rFonts w:hint="default"/>
                <w:bCs/>
                <w:color w:val="000000" w:themeColor="text1"/>
                <w:sz w:val="24"/>
                <w14:textFill>
                  <w14:solidFill>
                    <w14:schemeClr w14:val="tx1"/>
                  </w14:solidFill>
                </w14:textFill>
              </w:rPr>
              <w:t>消防值班室、耗材库、气泵房</w:t>
            </w:r>
            <w:r>
              <w:rPr>
                <w:rFonts w:hint="eastAsia"/>
                <w:bCs/>
                <w:color w:val="000000" w:themeColor="text1"/>
                <w:sz w:val="24"/>
                <w14:textFill>
                  <w14:solidFill>
                    <w14:schemeClr w14:val="tx1"/>
                  </w14:solidFill>
                </w14:textFill>
              </w:rPr>
              <w:t>以及换热站</w:t>
            </w:r>
            <w:r>
              <w:rPr>
                <w:rFonts w:hint="default"/>
                <w:bCs/>
                <w:color w:val="000000" w:themeColor="text1"/>
                <w:sz w:val="24"/>
                <w14:textFill>
                  <w14:solidFill>
                    <w14:schemeClr w14:val="tx1"/>
                  </w14:solidFill>
                </w14:textFill>
              </w:rPr>
              <w:t>。</w:t>
            </w:r>
            <w:r>
              <w:rPr>
                <w:rFonts w:hint="default"/>
                <w:color w:val="000000" w:themeColor="text1"/>
                <w:kern w:val="0"/>
                <w:sz w:val="24"/>
                <w:szCs w:val="24"/>
                <w14:textFill>
                  <w14:solidFill>
                    <w14:schemeClr w14:val="tx1"/>
                  </w14:solidFill>
                </w14:textFill>
              </w:rPr>
              <w:t>环保设备位于喷漆大厅的东西两侧。</w:t>
            </w:r>
            <w:r>
              <w:rPr>
                <w:rFonts w:hint="default"/>
                <w:bCs/>
                <w:color w:val="000000" w:themeColor="text1"/>
                <w:sz w:val="24"/>
                <w14:textFill>
                  <w14:solidFill>
                    <w14:schemeClr w14:val="tx1"/>
                  </w14:solidFill>
                </w14:textFill>
              </w:rPr>
              <w:t>项目平面布置和流程布局紧凑、合理。</w:t>
            </w:r>
            <w:r>
              <w:rPr>
                <w:rFonts w:hint="default"/>
                <w:bCs/>
                <w:color w:val="000000" w:themeColor="text1"/>
                <w:sz w:val="24"/>
                <w:szCs w:val="24"/>
                <w14:textFill>
                  <w14:solidFill>
                    <w14:schemeClr w14:val="tx1"/>
                  </w14:solidFill>
                </w14:textFill>
              </w:rPr>
              <w:t>总平面布置见附图3。</w:t>
            </w:r>
          </w:p>
          <w:p>
            <w:pPr>
              <w:pStyle w:val="2"/>
              <w:keepNext w:val="0"/>
              <w:keepLines w:val="0"/>
              <w:suppressLineNumbers w:val="0"/>
              <w:spacing w:before="0" w:beforeAutospacing="0" w:afterAutospacing="0"/>
              <w:ind w:left="0" w:leftChars="0" w:right="0" w:firstLine="0" w:firstLineChars="0"/>
              <w:rPr>
                <w:rFonts w:hint="default" w:ascii="Times New Roman" w:hAnsi="Times New Roman"/>
                <w:color w:val="000000" w:themeColor="text1"/>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ascii="Times New Roman" w:hAnsi="Times New Roman"/>
                <w:color w:val="000000" w:themeColor="text1"/>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ascii="Times New Roman" w:hAnsi="Times New Roman"/>
                <w:color w:val="000000" w:themeColor="text1"/>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ascii="Times New Roman" w:hAnsi="Times New Roman"/>
                <w:color w:val="000000" w:themeColor="text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290" w:hRule="atLeast"/>
          <w:jc w:val="center"/>
        </w:trPr>
        <w:tc>
          <w:tcPr>
            <w:tcW w:w="8994" w:type="dxa"/>
            <w:gridSpan w:val="8"/>
          </w:tcPr>
          <w:p>
            <w:pPr>
              <w:keepNext w:val="0"/>
              <w:keepLines w:val="0"/>
              <w:suppressLineNumbers w:val="0"/>
              <w:adjustRightInd w:val="0"/>
              <w:snapToGrid w:val="0"/>
              <w:spacing w:before="0" w:beforeAutospacing="0" w:after="0" w:afterAutospacing="0" w:line="520" w:lineRule="exact"/>
              <w:ind w:left="0" w:right="0"/>
              <w:rPr>
                <w:rFonts w:hint="default"/>
                <w:b/>
                <w:color w:val="000000" w:themeColor="text1"/>
                <w:sz w:val="28"/>
                <w:szCs w:val="28"/>
                <w14:textFill>
                  <w14:solidFill>
                    <w14:schemeClr w14:val="tx1"/>
                  </w14:solidFill>
                </w14:textFill>
              </w:rPr>
            </w:pPr>
            <w:r>
              <w:rPr>
                <w:rFonts w:hint="default"/>
                <w:b/>
                <w:color w:val="000000" w:themeColor="text1"/>
                <w:sz w:val="28"/>
                <w:szCs w:val="28"/>
                <w14:textFill>
                  <w14:solidFill>
                    <w14:schemeClr w14:val="tx1"/>
                  </w14:solidFill>
                </w14:textFill>
              </w:rPr>
              <w:t>与项目有关的原有污染情况及主要环境问题</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项目已建成运行多年，用于维修飞机的停放。</w:t>
            </w:r>
            <w:r>
              <w:rPr>
                <w:rFonts w:hint="default"/>
                <w:color w:val="000000" w:themeColor="text1"/>
                <w:sz w:val="24"/>
                <w:szCs w:val="20"/>
                <w14:textFill>
                  <w14:solidFill>
                    <w14:schemeClr w14:val="tx1"/>
                  </w14:solidFill>
                </w14:textFill>
              </w:rPr>
              <w:t>2013年10月16日取得陕西省西咸新区空港新城生态环保局文件关于东航西安维修基地新机库及配套建设项目环境影响报告表的批复（陕空港环批复[2013]10号），</w:t>
            </w:r>
            <w:r>
              <w:rPr>
                <w:rFonts w:hint="eastAsia"/>
                <w:color w:val="000000" w:themeColor="text1"/>
                <w:sz w:val="24"/>
                <w:szCs w:val="20"/>
                <w14:textFill>
                  <w14:solidFill>
                    <w14:schemeClr w14:val="tx1"/>
                  </w14:solidFill>
                </w14:textFill>
              </w:rPr>
              <w:t>2016年7月21日取得陕西省西咸新区空港新城规划建设环保局关于东航西安维修基地新机库及配套建设项目竣工环保验收的批复（空港规建环[2016]23号）</w:t>
            </w:r>
            <w:r>
              <w:rPr>
                <w:rFonts w:hint="default"/>
                <w:color w:val="000000" w:themeColor="text1"/>
                <w:sz w:val="24"/>
                <w:szCs w:val="20"/>
                <w14:textFill>
                  <w14:solidFill>
                    <w14:schemeClr w14:val="tx1"/>
                  </w14:solidFill>
                </w14:textFill>
              </w:rPr>
              <w:t>。</w:t>
            </w:r>
            <w:r>
              <w:rPr>
                <w:rFonts w:hint="default"/>
                <w:color w:val="000000" w:themeColor="text1"/>
                <w:sz w:val="24"/>
                <w14:textFill>
                  <w14:solidFill>
                    <w14:schemeClr w14:val="tx1"/>
                  </w14:solidFill>
                </w14:textFill>
              </w:rPr>
              <w:t>故不存在与本项目有关的原有污染情况及主要环境。</w:t>
            </w: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color w:val="000000" w:themeColor="text1"/>
                <w:sz w:val="24"/>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color w:val="000000" w:themeColor="text1"/>
                <w:sz w:val="24"/>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color w:val="000000" w:themeColor="text1"/>
                <w:sz w:val="24"/>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color w:val="000000" w:themeColor="text1"/>
                <w:sz w:val="24"/>
                <w14:textFill>
                  <w14:solidFill>
                    <w14:schemeClr w14:val="tx1"/>
                  </w14:solidFill>
                </w14:textFill>
              </w:rPr>
            </w:pPr>
          </w:p>
          <w:p>
            <w:pPr>
              <w:pStyle w:val="2"/>
              <w:keepNext w:val="0"/>
              <w:keepLines w:val="0"/>
              <w:suppressLineNumbers w:val="0"/>
              <w:spacing w:before="0" w:beforeAutospacing="0" w:afterAutospacing="0"/>
              <w:ind w:left="0" w:leftChars="0" w:right="0" w:firstLine="0" w:firstLineChars="0"/>
              <w:rPr>
                <w:rFonts w:hint="default"/>
                <w:color w:val="000000" w:themeColor="text1"/>
                <w:sz w:val="24"/>
                <w14:textFill>
                  <w14:solidFill>
                    <w14:schemeClr w14:val="tx1"/>
                  </w14:solidFill>
                </w14:textFill>
              </w:rPr>
            </w:pPr>
          </w:p>
        </w:tc>
      </w:tr>
    </w:tbl>
    <w:p>
      <w:pPr>
        <w:rPr>
          <w:rStyle w:val="78"/>
        </w:rPr>
      </w:pPr>
      <w:bookmarkStart w:id="9" w:name="_Toc183170408"/>
      <w:bookmarkStart w:id="10" w:name="_Toc178817697"/>
      <w:bookmarkStart w:id="11" w:name="_Toc183006402"/>
      <w:bookmarkStart w:id="12" w:name="_Toc183088179"/>
      <w:bookmarkStart w:id="13" w:name="_Toc193872734"/>
      <w:bookmarkStart w:id="14" w:name="_Toc182888693"/>
      <w:bookmarkStart w:id="15" w:name="_Toc171761614"/>
      <w:bookmarkStart w:id="16" w:name="_Toc182819243"/>
      <w:bookmarkStart w:id="17" w:name="_Toc182830655"/>
      <w:r>
        <w:rPr>
          <w:b/>
          <w:bCs/>
          <w:kern w:val="44"/>
          <w:sz w:val="30"/>
          <w:szCs w:val="44"/>
        </w:rPr>
        <mc:AlternateContent>
          <mc:Choice Requires="wps">
            <w:drawing>
              <wp:anchor distT="0" distB="0" distL="114300" distR="114300" simplePos="0" relativeHeight="251658240" behindDoc="0" locked="0" layoutInCell="1" allowOverlap="1">
                <wp:simplePos x="0" y="0"/>
                <wp:positionH relativeFrom="column">
                  <wp:posOffset>6502400</wp:posOffset>
                </wp:positionH>
                <wp:positionV relativeFrom="paragraph">
                  <wp:posOffset>2585720</wp:posOffset>
                </wp:positionV>
                <wp:extent cx="901700" cy="1017270"/>
                <wp:effectExtent l="0" t="0" r="0" b="3810"/>
                <wp:wrapNone/>
                <wp:docPr id="122" name="自选图形 1088"/>
                <wp:cNvGraphicFramePr/>
                <a:graphic xmlns:a="http://schemas.openxmlformats.org/drawingml/2006/main">
                  <a:graphicData uri="http://schemas.microsoft.com/office/word/2010/wordprocessingShape">
                    <wps:wsp>
                      <wps:cNvCnPr>
                        <a:cxnSpLocks noChangeShapeType="1"/>
                      </wps:cNvCnPr>
                      <wps:spPr bwMode="auto">
                        <a:xfrm flipV="1">
                          <a:off x="0" y="0"/>
                          <a:ext cx="901700" cy="1017270"/>
                        </a:xfrm>
                        <a:prstGeom prst="straightConnector1">
                          <a:avLst/>
                        </a:prstGeom>
                        <a:noFill/>
                        <a:ln>
                          <a:noFill/>
                        </a:ln>
                      </wps:spPr>
                      <wps:bodyPr/>
                    </wps:wsp>
                  </a:graphicData>
                </a:graphic>
              </wp:anchor>
            </w:drawing>
          </mc:Choice>
          <mc:Fallback>
            <w:pict>
              <v:shape id="自选图形 1088" o:spid="_x0000_s1026" o:spt="32" type="#_x0000_t32" style="position:absolute;left:0pt;flip:y;margin-left:512pt;margin-top:203.6pt;height:80.1pt;width:71pt;z-index:251658240;mso-width-relative:page;mso-height-relative:page;" filled="f" stroked="f" coordsize="21600,21600" o:gfxdata="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BwaBnjYAAAADQEAAA8AAAAAAAAAAQAgAAAAIgAAAGRycy9kb3ducmV2LnhtbFBL&#10;AQIUABQAAAAIAIdO4kCI9w+evQEAAD8DAAAOAAAAAAAAAAEAIAAAACcBAABkcnMvZTJvRG9jLnht&#10;bFBLBQYAAAAABgAGAFkBAABWBQAAAAA=&#10;">
                <v:fill on="f" focussize="0,0"/>
                <v:stroke on="f"/>
                <v:imagedata o:title=""/>
                <o:lock v:ext="edit" aspectratio="f"/>
              </v:shape>
            </w:pict>
          </mc:Fallback>
        </mc:AlternateContent>
      </w:r>
      <w:r>
        <w:rPr>
          <w:rStyle w:val="78"/>
        </w:rPr>
        <w:t>建设项目所在地自然环境简况</w:t>
      </w:r>
      <w:bookmarkEnd w:id="9"/>
      <w:bookmarkEnd w:id="10"/>
      <w:bookmarkEnd w:id="11"/>
      <w:bookmarkEnd w:id="12"/>
      <w:bookmarkEnd w:id="13"/>
      <w:bookmarkEnd w:id="14"/>
      <w:bookmarkEnd w:id="15"/>
      <w:bookmarkEnd w:id="16"/>
      <w:bookmarkEnd w:id="17"/>
    </w:p>
    <w:tbl>
      <w:tblPr>
        <w:tblStyle w:val="38"/>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2" w:hRule="atLeast"/>
        </w:trPr>
        <w:tc>
          <w:tcPr>
            <w:tcW w:w="9040" w:type="dxa"/>
          </w:tcPr>
          <w:p>
            <w:pPr>
              <w:pStyle w:val="13"/>
              <w:keepNext w:val="0"/>
              <w:keepLines w:val="0"/>
              <w:suppressLineNumbers w:val="0"/>
              <w:snapToGrid w:val="0"/>
              <w:spacing w:before="156" w:beforeLines="50" w:beforeAutospacing="0" w:after="0" w:afterAutospacing="0" w:line="520" w:lineRule="exact"/>
              <w:ind w:left="0" w:right="0"/>
              <w:rPr>
                <w:rFonts w:hint="default" w:ascii="Times New Roman" w:hAnsi="Times New Roman" w:cs="Times New Roman"/>
                <w:b/>
                <w:sz w:val="24"/>
                <w:szCs w:val="20"/>
              </w:rPr>
            </w:pPr>
            <w:r>
              <w:rPr>
                <w:rFonts w:hint="default" w:ascii="Times New Roman" w:hAnsi="Times New Roman" w:cs="Times New Roman"/>
                <w:b/>
                <w:sz w:val="24"/>
                <w:szCs w:val="20"/>
              </w:rPr>
              <w:t>自然环境简况（地形、地貌、地质、气候、气象、水文、植被、生物多样性、矿产资源等）：</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一、地理位置</w:t>
            </w:r>
          </w:p>
          <w:p>
            <w:pPr>
              <w:keepNext w:val="0"/>
              <w:keepLines w:val="0"/>
              <w:suppressLineNumbers w:val="0"/>
              <w:spacing w:before="50" w:beforeAutospacing="0" w:after="0" w:afterAutospacing="0" w:line="520" w:lineRule="exact"/>
              <w:ind w:left="0" w:right="0" w:firstLine="480"/>
              <w:rPr>
                <w:rFonts w:hint="default"/>
                <w:color w:val="000000"/>
                <w:sz w:val="24"/>
              </w:rPr>
            </w:pPr>
            <w:r>
              <w:rPr>
                <w:rFonts w:hint="default"/>
                <w:sz w:val="24"/>
              </w:rPr>
              <w:t> </w:t>
            </w:r>
            <w:r>
              <w:rPr>
                <w:rFonts w:hint="default"/>
                <w:color w:val="000000"/>
                <w:sz w:val="24"/>
              </w:rPr>
              <w:t>西安咸阳国际机场位于中国陕西省</w:t>
            </w:r>
            <w:r>
              <w:rPr>
                <w:rFonts w:hint="default"/>
              </w:rPr>
              <w:fldChar w:fldCharType="begin"/>
            </w:r>
            <w:r>
              <w:rPr>
                <w:rFonts w:hint="default"/>
              </w:rPr>
              <w:instrText xml:space="preserve"> HYPERLINK "https://baike.baidu.com/item/%E8%A5%BF%E5%AE%89%E5%B8%82/1002501" \t "_blank" </w:instrText>
            </w:r>
            <w:r>
              <w:rPr>
                <w:rFonts w:hint="default"/>
              </w:rPr>
              <w:fldChar w:fldCharType="separate"/>
            </w:r>
            <w:r>
              <w:rPr>
                <w:rStyle w:val="45"/>
                <w:rFonts w:hint="default"/>
                <w:color w:val="000000"/>
                <w:sz w:val="24"/>
                <w:u w:val="none"/>
              </w:rPr>
              <w:t>西安市</w:t>
            </w:r>
            <w:r>
              <w:rPr>
                <w:rStyle w:val="45"/>
                <w:rFonts w:hint="default"/>
                <w:color w:val="000000"/>
                <w:sz w:val="24"/>
                <w:u w:val="none"/>
              </w:rPr>
              <w:fldChar w:fldCharType="end"/>
            </w:r>
            <w:r>
              <w:rPr>
                <w:rFonts w:hint="default"/>
                <w:color w:val="000000"/>
                <w:sz w:val="24"/>
              </w:rPr>
              <w:t>西北方向的西咸新区，距西安市区25公里，为4F级民用国际机场，是中国八大区域枢纽机场之一</w:t>
            </w:r>
            <w:r>
              <w:rPr>
                <w:rFonts w:hint="default"/>
                <w:color w:val="000000"/>
                <w:sz w:val="24"/>
                <w:vertAlign w:val="superscript"/>
              </w:rPr>
              <w:t> </w:t>
            </w:r>
            <w:r>
              <w:rPr>
                <w:rFonts w:hint="default"/>
                <w:color w:val="000000"/>
                <w:sz w:val="24"/>
              </w:rPr>
              <w:t>、国际定期航班机场、世界前百位主要机场。</w:t>
            </w:r>
            <w:r>
              <w:rPr>
                <w:rFonts w:hint="default"/>
                <w:color w:val="000000"/>
                <w:sz w:val="24"/>
                <w:vertAlign w:val="superscript"/>
              </w:rPr>
              <w:t> </w:t>
            </w:r>
            <w:r>
              <w:rPr>
                <w:rFonts w:hint="default"/>
                <w:color w:val="000000"/>
                <w:sz w:val="24"/>
              </w:rPr>
              <w:t>2014年6月成为西北第一个、中国第八个实行72小时</w:t>
            </w:r>
            <w:r>
              <w:rPr>
                <w:rFonts w:hint="default"/>
              </w:rPr>
              <w:fldChar w:fldCharType="begin"/>
            </w:r>
            <w:r>
              <w:rPr>
                <w:rFonts w:hint="default"/>
              </w:rPr>
              <w:instrText xml:space="preserve"> HYPERLINK "https://baike.baidu.com/item/%E8%BF%87%E5%A2%83%E5%85%8D%E7%AD%BE/3380753" \t "_blank" </w:instrText>
            </w:r>
            <w:r>
              <w:rPr>
                <w:rFonts w:hint="default"/>
              </w:rPr>
              <w:fldChar w:fldCharType="separate"/>
            </w:r>
            <w:r>
              <w:rPr>
                <w:rStyle w:val="45"/>
                <w:rFonts w:hint="default"/>
                <w:color w:val="000000"/>
                <w:sz w:val="24"/>
                <w:u w:val="none"/>
              </w:rPr>
              <w:t>过境免签</w:t>
            </w:r>
            <w:r>
              <w:rPr>
                <w:rStyle w:val="45"/>
                <w:rFonts w:hint="default"/>
                <w:color w:val="000000"/>
                <w:sz w:val="24"/>
                <w:u w:val="none"/>
              </w:rPr>
              <w:fldChar w:fldCharType="end"/>
            </w:r>
            <w:r>
              <w:rPr>
                <w:rFonts w:hint="default"/>
                <w:color w:val="000000"/>
                <w:sz w:val="24"/>
              </w:rPr>
              <w:t>政策的航空口岸。西安咸阳国际机场于1991年9月1日正式建成通航；2003年9月16日完成二期工程建设，西安咸阳国际机场T2航站楼启用；2012年5月3日完成二期扩建工程，西安咸阳国际机场T3航站楼开始使用。</w:t>
            </w:r>
          </w:p>
          <w:p>
            <w:pPr>
              <w:keepNext w:val="0"/>
              <w:keepLines w:val="0"/>
              <w:suppressLineNumbers w:val="0"/>
              <w:spacing w:before="50" w:beforeAutospacing="0" w:after="0" w:afterAutospacing="0" w:line="520" w:lineRule="exact"/>
              <w:ind w:left="0" w:right="0" w:firstLine="480"/>
              <w:rPr>
                <w:rFonts w:hint="default"/>
                <w:sz w:val="24"/>
              </w:rPr>
            </w:pPr>
            <w:bookmarkStart w:id="18" w:name="_Toc58646767"/>
            <w:bookmarkStart w:id="19" w:name="_Toc74300274"/>
            <w:bookmarkStart w:id="20" w:name="_Toc73352241"/>
            <w:bookmarkStart w:id="21" w:name="_Toc58641487"/>
            <w:bookmarkStart w:id="22" w:name="_Toc60024595"/>
            <w:bookmarkStart w:id="23" w:name="_Toc58491008"/>
            <w:bookmarkStart w:id="24" w:name="_Toc73527815"/>
            <w:bookmarkStart w:id="25" w:name="_Toc58816639"/>
            <w:bookmarkStart w:id="26" w:name="_Toc73527663"/>
            <w:bookmarkStart w:id="27" w:name="_Toc60035519"/>
            <w:bookmarkStart w:id="28" w:name="_Toc57868320"/>
            <w:bookmarkStart w:id="29" w:name="_Toc58124705"/>
            <w:bookmarkStart w:id="30" w:name="_Toc58638876"/>
            <w:bookmarkStart w:id="31" w:name="_Toc75688623"/>
            <w:bookmarkStart w:id="32" w:name="_Toc58041088"/>
            <w:bookmarkStart w:id="33" w:name="_Toc72826727"/>
            <w:bookmarkStart w:id="34" w:name="_Toc58810536"/>
            <w:bookmarkStart w:id="35" w:name="_Toc74307536"/>
            <w:bookmarkStart w:id="36" w:name="_Toc71616965"/>
            <w:bookmarkStart w:id="37" w:name="_Toc58121771"/>
            <w:bookmarkStart w:id="38" w:name="_Toc75688475"/>
            <w:bookmarkStart w:id="39" w:name="_Toc75423663"/>
            <w:bookmarkStart w:id="40" w:name="_Toc74908560"/>
            <w:bookmarkStart w:id="41" w:name="_Toc75688769"/>
            <w:bookmarkStart w:id="42" w:name="_Toc58229300"/>
            <w:bookmarkStart w:id="43" w:name="_Toc73348467"/>
            <w:bookmarkStart w:id="44" w:name="_Toc73522864"/>
            <w:bookmarkStart w:id="45" w:name="_Toc58643188"/>
            <w:bookmarkStart w:id="46" w:name="_Toc59682783"/>
            <w:bookmarkStart w:id="47" w:name="_Toc58731254"/>
            <w:bookmarkStart w:id="48" w:name="_Toc73349380"/>
            <w:bookmarkStart w:id="49" w:name="_Toc75688915"/>
            <w:bookmarkStart w:id="50" w:name="_Toc88211867"/>
            <w:bookmarkStart w:id="51" w:name="_Toc88211721"/>
            <w:bookmarkStart w:id="52" w:name="_Toc73348619"/>
            <w:bookmarkStart w:id="53" w:name="_Toc74908706"/>
            <w:bookmarkStart w:id="54" w:name="_Toc88209379"/>
            <w:bookmarkStart w:id="55" w:name="_Toc80254150"/>
            <w:bookmarkStart w:id="56" w:name="_Toc59851095"/>
            <w:bookmarkStart w:id="57" w:name="_Toc75852260"/>
            <w:bookmarkStart w:id="58" w:name="_Toc74908350"/>
            <w:bookmarkStart w:id="59" w:name="_Toc59965643"/>
            <w:bookmarkStart w:id="60" w:name="_Toc58810449"/>
            <w:bookmarkStart w:id="61" w:name="_Toc73503860"/>
            <w:bookmarkStart w:id="62" w:name="_Toc80254296"/>
            <w:bookmarkStart w:id="63" w:name="_Toc58314436"/>
            <w:bookmarkStart w:id="64" w:name="_Toc74300420"/>
            <w:bookmarkStart w:id="65" w:name="_Toc59266584"/>
            <w:r>
              <w:rPr>
                <w:rFonts w:hint="default"/>
                <w:sz w:val="24"/>
                <w:szCs w:val="24"/>
              </w:rPr>
              <w:t>本项目位于</w:t>
            </w:r>
            <w:r>
              <w:rPr>
                <w:rFonts w:hint="default"/>
                <w:sz w:val="24"/>
              </w:rPr>
              <w:t>陕西省西咸新区空港新城西安咸阳机场空港东二路东航技术公司西北分公司1号机库（东经108°46′09.54″，北纬34°26′53.35″）</w:t>
            </w:r>
            <w:r>
              <w:rPr>
                <w:rFonts w:hint="default"/>
                <w:sz w:val="24"/>
                <w:szCs w:val="24"/>
              </w:rPr>
              <w:t>。项目东北侧为机场配套的设备存放棚、消防水池及充电间、消防泵房；东南侧为APU修理车间和变电站及机加车库；项目西南侧为闲置办公楼和培训中心，项目西北侧为停机坪。</w:t>
            </w:r>
            <w:r>
              <w:rPr>
                <w:rFonts w:hint="default"/>
                <w:sz w:val="24"/>
              </w:rPr>
              <w:t xml:space="preserve">项目地理位置见附图1。项目四邻关系见附图2。 </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二、地形地貌</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西安咸阳国际机场地处关中构造盆地中部的渭河北岸地堑地带，地势西北高、东南低，从北至南向渭河倾斜，地貌区属关中盆地的一部分，地貌类型包括河漫滩、河流阶地、黄土台塬和山前冲积扇群。西安咸阳国际机场位于陕北台凹缘与渭河断凹相接的地带，在陕西地层区划中，分属陕甘宁盆地分区和汾渭分区的渭河小区。根据《中国地震烈度区划分》，本区基本地震烈度为</w:t>
            </w:r>
            <w:r>
              <w:rPr>
                <w:rFonts w:hint="default" w:ascii="MS Mincho" w:hAnsi="MS Mincho" w:eastAsia="MS Mincho" w:cs="MS Mincho"/>
                <w:sz w:val="24"/>
              </w:rPr>
              <w:t>Ⅶ</w:t>
            </w:r>
            <w:r>
              <w:rPr>
                <w:rFonts w:hint="default"/>
                <w:sz w:val="24"/>
              </w:rPr>
              <w:t>度，地震动峰值加速度为0.15g。</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根据现场勘查，项目所在地地势平坦，无山洪、泥石流等地质灾害。</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三、气候、气象</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项目所在区地处内陆，属暖温带大陆性半干旱季风性气候。表现为四季冷暖分明，春季（3月下旬开始）大地回暖，降水增多，冷空气活动频繁，易出现寒潮、大风、霜冻和春旱天气；夏季（5月下旬开始）气温最高，降水量大，光照充足，夏初和伏天多旱，后期易出现大风暴雨；秋季（9月上旬开始）初多阴雨，气温缓降，湿度大，光照少，后期气温猛降，干旱少雨；冬季（11月上旬开始）气候变冷，干燥少雨。年平均最高气温18.6</w:t>
            </w:r>
            <w:r>
              <w:rPr>
                <w:rFonts w:hint="default" w:ascii="MS Mincho" w:hAnsi="MS Mincho" w:eastAsia="MS Mincho" w:cs="MS Mincho"/>
                <w:sz w:val="24"/>
              </w:rPr>
              <w:t>℃</w:t>
            </w:r>
            <w:r>
              <w:rPr>
                <w:rFonts w:hint="default"/>
                <w:sz w:val="24"/>
              </w:rPr>
              <w:t>，最高气温极值42.0</w:t>
            </w:r>
            <w:r>
              <w:rPr>
                <w:rFonts w:hint="default" w:ascii="MS Mincho" w:hAnsi="MS Mincho" w:eastAsia="MS Mincho" w:cs="MS Mincho"/>
                <w:sz w:val="24"/>
              </w:rPr>
              <w:t>℃</w:t>
            </w:r>
            <w:r>
              <w:rPr>
                <w:rFonts w:hint="default"/>
                <w:sz w:val="24"/>
              </w:rPr>
              <w:t>；年平均最低气温8.2</w:t>
            </w:r>
            <w:r>
              <w:rPr>
                <w:rFonts w:hint="default" w:ascii="MS Mincho" w:hAnsi="MS Mincho" w:eastAsia="MS Mincho" w:cs="MS Mincho"/>
                <w:sz w:val="24"/>
              </w:rPr>
              <w:t>℃</w:t>
            </w:r>
            <w:r>
              <w:rPr>
                <w:rFonts w:hint="default"/>
                <w:sz w:val="24"/>
              </w:rPr>
              <w:t>，最低气温极值-19.7</w:t>
            </w:r>
            <w:r>
              <w:rPr>
                <w:rFonts w:hint="default" w:ascii="MS Mincho" w:hAnsi="MS Mincho" w:eastAsia="MS Mincho" w:cs="MS Mincho"/>
                <w:sz w:val="24"/>
              </w:rPr>
              <w:t>℃</w:t>
            </w:r>
            <w:r>
              <w:rPr>
                <w:rFonts w:hint="default"/>
                <w:sz w:val="24"/>
              </w:rPr>
              <w:t>。</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四、水文</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项目所在区域属于泾渭河平原区，由全新统与中、上更新统冲积层组成，含水层岩性主要为中细砂含砾石和中粗砂夹砾石组成，水位埋深20～40m，单位涌水量18～22t/h·m。本项目所在区域的地表河流主要为泾河，泾河源自宁夏回族自治区六盘水，经咸阳市长武县入陕西省，经长武、彬县、永寿、淳化、礼券、泾阳等六县，于泾阳县高庄镇出咸阳市境。泾河在咸阳市境内流长272.3km，流域面积6705.4km</w:t>
            </w:r>
            <w:r>
              <w:rPr>
                <w:rFonts w:hint="default"/>
                <w:sz w:val="24"/>
                <w:vertAlign w:val="superscript"/>
              </w:rPr>
              <w:t>2</w:t>
            </w:r>
            <w:r>
              <w:rPr>
                <w:rFonts w:hint="default"/>
                <w:sz w:val="24"/>
              </w:rPr>
              <w:t>，多年平均净流量18.67亿m³，平均流量64.1m³/s，最大洪峰流量9200m³/s，年均输砂量2.74亿m³，平均含沙量141kg/m³。</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根据现场勘查，距本项目最近的地表水为东北侧6.5km的泾河。</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五、土壤</w:t>
            </w:r>
          </w:p>
          <w:p>
            <w:pPr>
              <w:keepNext w:val="0"/>
              <w:keepLines w:val="0"/>
              <w:suppressLineNumbers w:val="0"/>
              <w:spacing w:before="50" w:beforeAutospacing="0" w:after="0" w:afterAutospacing="0" w:line="520" w:lineRule="exact"/>
              <w:ind w:left="0" w:right="0" w:firstLine="480"/>
              <w:rPr>
                <w:rFonts w:hint="default"/>
                <w:sz w:val="24"/>
              </w:rPr>
            </w:pPr>
            <w:r>
              <w:rPr>
                <w:rFonts w:hint="default"/>
                <w:sz w:val="24"/>
              </w:rPr>
              <w:t>项目区黄土台塬属风积堆平原,奠基于中更新世,形成于上更新世,表层覆盖80～100米厚的黄土层。塬面平坦,地势高亢,以红油土为主。塬间洼地水分条件较好,以黑油土为主。塬面起伏不平处是由剥蚀堆积作用在次生黄土上发育的具有明显地带性特征的褐饧土;土壕及塬坡上零星有黄、白饧土。渭河冲积平原区三级阶地前缘以陡壁、冲沟与二级阶地相连结。其后缘多以缓坡与黄土台塬过渡,故多分布红油土和褐饧土。二级阶地阶面平坦,以淤饧土为主。一级阶地多分布潮翙土、潮土、淤泥土。沿岸河漫滩地势低洼,分布河淤土及沼泽土。据1982年土壤普查,本区土壤分为6个土类、11个亚类、22个土属、51个土种。分布规律从北向南依次为翙土、黄土性土、淤土、潮土、水稻土、沼泽土。</w:t>
            </w:r>
          </w:p>
          <w:p>
            <w:pPr>
              <w:keepNext w:val="0"/>
              <w:keepLines w:val="0"/>
              <w:suppressLineNumbers w:val="0"/>
              <w:tabs>
                <w:tab w:val="left" w:pos="1128"/>
              </w:tabs>
              <w:spacing w:before="0" w:beforeAutospacing="0" w:after="0" w:afterAutospacing="0"/>
              <w:ind w:left="0" w:right="0"/>
              <w:rPr>
                <w:rFonts w:hint="default"/>
                <w:sz w:val="24"/>
              </w:rPr>
            </w:pPr>
          </w:p>
          <w:p>
            <w:pPr>
              <w:keepNext w:val="0"/>
              <w:keepLines w:val="0"/>
              <w:suppressLineNumbers w:val="0"/>
              <w:tabs>
                <w:tab w:val="left" w:pos="1128"/>
              </w:tabs>
              <w:spacing w:before="0" w:beforeAutospacing="0" w:after="0" w:afterAutospacing="0"/>
              <w:ind w:left="0" w:right="0"/>
              <w:rPr>
                <w:rFonts w:hint="default"/>
                <w:sz w:val="24"/>
              </w:rPr>
            </w:pPr>
          </w:p>
          <w:p>
            <w:pPr>
              <w:keepNext w:val="0"/>
              <w:keepLines w:val="0"/>
              <w:suppressLineNumbers w:val="0"/>
              <w:tabs>
                <w:tab w:val="left" w:pos="1128"/>
              </w:tabs>
              <w:spacing w:before="0" w:beforeAutospacing="0" w:after="0" w:afterAutospacing="0"/>
              <w:ind w:left="0" w:right="0"/>
              <w:rPr>
                <w:rFonts w:hint="default"/>
                <w:sz w:val="24"/>
              </w:rPr>
            </w:pPr>
          </w:p>
        </w:tc>
      </w:tr>
    </w:tbl>
    <w:p>
      <w:pPr>
        <w:rPr>
          <w:rStyle w:val="78"/>
        </w:rPr>
        <w:sectPr>
          <w:headerReference r:id="rId5" w:type="first"/>
          <w:footerReference r:id="rId7" w:type="first"/>
          <w:footerReference r:id="rId6" w:type="default"/>
          <w:pgSz w:w="11906" w:h="16838"/>
          <w:pgMar w:top="1440" w:right="1286" w:bottom="1440" w:left="1440" w:header="851" w:footer="992" w:gutter="170"/>
          <w:pgBorders>
            <w:top w:val="none" w:sz="0" w:space="0"/>
            <w:left w:val="none" w:sz="0" w:space="0"/>
            <w:bottom w:val="none" w:sz="0" w:space="0"/>
            <w:right w:val="none" w:sz="0" w:space="0"/>
          </w:pgBorders>
          <w:pgNumType w:start="1"/>
          <w:cols w:space="720" w:num="1"/>
          <w:titlePg/>
          <w:docGrid w:type="lines" w:linePitch="312" w:charSpace="0"/>
        </w:sectPr>
      </w:pPr>
      <w:bookmarkStart w:id="66" w:name="_Toc183088180"/>
      <w:bookmarkStart w:id="67" w:name="_Toc182830656"/>
      <w:bookmarkStart w:id="68" w:name="_Toc193872735"/>
      <w:bookmarkStart w:id="69" w:name="_Toc182888694"/>
      <w:bookmarkStart w:id="70" w:name="_Toc182819244"/>
      <w:bookmarkStart w:id="71" w:name="_Toc178817698"/>
      <w:bookmarkStart w:id="72" w:name="_Toc183170409"/>
      <w:bookmarkStart w:id="73" w:name="_Toc171761615"/>
      <w:bookmarkStart w:id="74" w:name="_Toc183006403"/>
    </w:p>
    <w:p>
      <w:pPr>
        <w:rPr>
          <w:rStyle w:val="78"/>
        </w:rPr>
      </w:pPr>
      <w:r>
        <w:rPr>
          <w:rStyle w:val="78"/>
        </w:rPr>
        <w:t>环境质量状况</w:t>
      </w:r>
      <w:bookmarkEnd w:id="66"/>
      <w:bookmarkEnd w:id="67"/>
      <w:bookmarkEnd w:id="68"/>
      <w:bookmarkEnd w:id="69"/>
      <w:bookmarkEnd w:id="70"/>
      <w:bookmarkEnd w:id="71"/>
      <w:bookmarkEnd w:id="72"/>
      <w:bookmarkEnd w:id="73"/>
      <w:bookmarkEnd w:id="74"/>
    </w:p>
    <w:tbl>
      <w:tblPr>
        <w:tblStyle w:val="38"/>
        <w:tblW w:w="90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35" w:type="dxa"/>
          </w:tcPr>
          <w:p>
            <w:pPr>
              <w:pStyle w:val="13"/>
              <w:keepNext w:val="0"/>
              <w:keepLines w:val="0"/>
              <w:suppressLineNumbers w:val="0"/>
              <w:snapToGrid w:val="0"/>
              <w:spacing w:before="156" w:beforeLines="50" w:beforeAutospacing="0" w:after="0" w:afterAutospacing="0" w:line="520" w:lineRule="exact"/>
              <w:ind w:left="0" w:right="0"/>
              <w:rPr>
                <w:rFonts w:hint="default" w:ascii="Times New Roman" w:hAnsi="Times New Roman" w:cs="Times New Roman"/>
                <w:b/>
                <w:color w:val="000000" w:themeColor="text1"/>
                <w:szCs w:val="28"/>
                <w14:textFill>
                  <w14:solidFill>
                    <w14:schemeClr w14:val="tx1"/>
                  </w14:solidFill>
                </w14:textFill>
              </w:rPr>
            </w:pPr>
            <w:r>
              <w:rPr>
                <w:rFonts w:hint="default" w:ascii="Times New Roman" w:hAnsi="Times New Roman" w:cs="Times New Roman"/>
                <w:b/>
                <w:color w:val="000000" w:themeColor="text1"/>
                <w:szCs w:val="28"/>
                <w14:textFill>
                  <w14:solidFill>
                    <w14:schemeClr w14:val="tx1"/>
                  </w14:solidFill>
                </w14:textFill>
              </w:rPr>
              <w:t>建设项目所在地区域环境质量现状及主要环境问题（环境空气、地表水、地下水、声环境、生态环境等）:</w:t>
            </w:r>
          </w:p>
          <w:p>
            <w:pPr>
              <w:keepNext w:val="0"/>
              <w:keepLines w:val="0"/>
              <w:suppressLineNumbers w:val="0"/>
              <w:adjustRightInd w:val="0"/>
              <w:snapToGrid w:val="0"/>
              <w:spacing w:before="50" w:beforeAutospacing="0" w:after="0" w:afterAutospacing="0" w:line="520" w:lineRule="exact"/>
              <w:ind w:left="0" w:right="0" w:firstLine="48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1、环境空气质量现状</w:t>
            </w:r>
          </w:p>
          <w:p>
            <w:pPr>
              <w:keepNext w:val="0"/>
              <w:keepLines w:val="0"/>
              <w:suppressLineNumbers w:val="0"/>
              <w:adjustRightInd w:val="0"/>
              <w:snapToGrid w:val="0"/>
              <w:spacing w:before="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本项目大气环境质量现状引用2020年环保快报中西咸新区空港新城2019年空气质量状况数据，区域空气质量现状评价见下表。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表12    区域空气质量现状评价表（2019西咸新区空港新城）</w:t>
            </w:r>
          </w:p>
          <w:tbl>
            <w:tblPr>
              <w:tblStyle w:val="38"/>
              <w:tblW w:w="8791"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904"/>
              <w:gridCol w:w="3151"/>
              <w:gridCol w:w="1350"/>
              <w:gridCol w:w="1466"/>
              <w:gridCol w:w="916"/>
              <w:gridCol w:w="1004"/>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blHeader/>
                <w:jc w:val="center"/>
              </w:trPr>
              <w:tc>
                <w:tcPr>
                  <w:tcW w:w="904" w:type="dxa"/>
                  <w:tcBorders>
                    <w:top w:val="single" w:color="000000" w:sz="12"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污染物</w:t>
                  </w:r>
                </w:p>
              </w:tc>
              <w:tc>
                <w:tcPr>
                  <w:tcW w:w="3151"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年评价指标</w:t>
                  </w:r>
                </w:p>
              </w:tc>
              <w:tc>
                <w:tcPr>
                  <w:tcW w:w="1350"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现状浓度/</w:t>
                  </w:r>
                </w:p>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（μg/m</w:t>
                  </w:r>
                  <w:r>
                    <w:rPr>
                      <w:rFonts w:hint="default" w:ascii="Times New Roman" w:hAnsi="Times New Roman" w:eastAsia="宋体" w:cs="Times New Roman"/>
                      <w:b/>
                      <w:bCs/>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 w:val="21"/>
                      <w:szCs w:val="21"/>
                      <w14:textFill>
                        <w14:solidFill>
                          <w14:schemeClr w14:val="tx1"/>
                        </w14:solidFill>
                      </w14:textFill>
                    </w:rPr>
                    <w:t>）</w:t>
                  </w:r>
                </w:p>
              </w:tc>
              <w:tc>
                <w:tcPr>
                  <w:tcW w:w="1466"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标准值/</w:t>
                  </w:r>
                </w:p>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（μg/m</w:t>
                  </w:r>
                  <w:r>
                    <w:rPr>
                      <w:rFonts w:hint="default" w:ascii="Times New Roman" w:hAnsi="Times New Roman" w:eastAsia="宋体" w:cs="Times New Roman"/>
                      <w:b/>
                      <w:bCs/>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 w:val="21"/>
                      <w:szCs w:val="21"/>
                      <w14:textFill>
                        <w14:solidFill>
                          <w14:schemeClr w14:val="tx1"/>
                        </w14:solidFill>
                      </w14:textFill>
                    </w:rPr>
                    <w:t>）</w:t>
                  </w:r>
                </w:p>
              </w:tc>
              <w:tc>
                <w:tcPr>
                  <w:tcW w:w="916" w:type="dxa"/>
                  <w:tcBorders>
                    <w:top w:val="single" w:color="000000" w:sz="12"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占标率/%</w:t>
                  </w:r>
                </w:p>
              </w:tc>
              <w:tc>
                <w:tcPr>
                  <w:tcW w:w="1004" w:type="dxa"/>
                  <w:tcBorders>
                    <w:top w:val="single" w:color="000000" w:sz="12"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b/>
                      <w:bCs/>
                      <w:color w:val="000000" w:themeColor="text1"/>
                      <w:kern w:val="0"/>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14:textFill>
                        <w14:solidFill>
                          <w14:schemeClr w14:val="tx1"/>
                        </w14:solidFill>
                      </w14:textFill>
                    </w:rPr>
                    <w:t>达标</w:t>
                  </w:r>
                  <w:r>
                    <w:rPr>
                      <w:rFonts w:hint="default" w:ascii="Times New Roman" w:hAnsi="Times New Roman" w:eastAsia="宋体" w:cs="Times New Roman"/>
                      <w:b/>
                      <w:bCs/>
                      <w:color w:val="000000" w:themeColor="text1"/>
                      <w:kern w:val="0"/>
                      <w:sz w:val="21"/>
                      <w:szCs w:val="21"/>
                      <w14:textFill>
                        <w14:solidFill>
                          <w14:schemeClr w14:val="tx1"/>
                        </w14:solidFill>
                      </w14:textFill>
                    </w:rPr>
                    <w:br w:type="textWrapping"/>
                  </w:r>
                  <w:r>
                    <w:rPr>
                      <w:rFonts w:hint="default" w:ascii="Times New Roman" w:hAnsi="Times New Roman" w:eastAsia="宋体" w:cs="Times New Roman"/>
                      <w:b/>
                      <w:bCs/>
                      <w:color w:val="000000" w:themeColor="text1"/>
                      <w:kern w:val="0"/>
                      <w:sz w:val="21"/>
                      <w:szCs w:val="21"/>
                      <w14:textFill>
                        <w14:solidFill>
                          <w14:schemeClr w14:val="tx1"/>
                        </w14:solidFill>
                      </w14:textFill>
                    </w:rPr>
                    <w:t>情况</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SO</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2</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7</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11.67</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NO</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2</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33</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82.5</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PM</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10</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88</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70</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125.72</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不达标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PM</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2.5</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年平均质量浓度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55</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35</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157.15</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不达标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CO</w:t>
                  </w:r>
                </w:p>
              </w:tc>
              <w:tc>
                <w:tcPr>
                  <w:tcW w:w="31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日均第95百分位数质量浓度</w:t>
                  </w:r>
                </w:p>
              </w:tc>
              <w:tc>
                <w:tcPr>
                  <w:tcW w:w="13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1.4（mg/m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4（mg/m</w:t>
                  </w:r>
                  <w:r>
                    <w:rPr>
                      <w:rFonts w:hint="default" w:ascii="Times New Roman" w:hAnsi="Times New Roman" w:eastAsia="宋体" w:cs="Times New Roman"/>
                      <w:color w:val="000000" w:themeColor="text1"/>
                      <w:kern w:val="0"/>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9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35</w:t>
                  </w:r>
                </w:p>
              </w:tc>
              <w:tc>
                <w:tcPr>
                  <w:tcW w:w="1004" w:type="dxa"/>
                  <w:tcBorders>
                    <w:top w:val="single" w:color="000000" w:sz="6" w:space="0"/>
                    <w:left w:val="single" w:color="000000" w:sz="6" w:space="0"/>
                    <w:bottom w:val="single" w:color="000000" w:sz="6"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04" w:type="dxa"/>
                  <w:tcBorders>
                    <w:top w:val="single" w:color="000000" w:sz="6" w:space="0"/>
                    <w:left w:val="nil"/>
                    <w:bottom w:val="single" w:color="000000" w:sz="12"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highlight w:val="yellow"/>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O</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3</w:t>
                  </w:r>
                </w:p>
              </w:tc>
              <w:tc>
                <w:tcPr>
                  <w:tcW w:w="3151"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日最大8h平均第90百分位数质量浓度</w:t>
                  </w:r>
                </w:p>
              </w:tc>
              <w:tc>
                <w:tcPr>
                  <w:tcW w:w="1350"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156</w:t>
                  </w:r>
                </w:p>
              </w:tc>
              <w:tc>
                <w:tcPr>
                  <w:tcW w:w="1466"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160</w:t>
                  </w:r>
                </w:p>
              </w:tc>
              <w:tc>
                <w:tcPr>
                  <w:tcW w:w="916" w:type="dxa"/>
                  <w:tcBorders>
                    <w:top w:val="single" w:color="000000" w:sz="6" w:space="0"/>
                    <w:left w:val="single" w:color="000000" w:sz="6" w:space="0"/>
                    <w:bottom w:val="single" w:color="000000" w:sz="12" w:space="0"/>
                    <w:right w:val="single" w:color="000000" w:sz="6" w:space="0"/>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97.5</w:t>
                  </w:r>
                </w:p>
              </w:tc>
              <w:tc>
                <w:tcPr>
                  <w:tcW w:w="1004" w:type="dxa"/>
                  <w:tcBorders>
                    <w:top w:val="single" w:color="000000" w:sz="6" w:space="0"/>
                    <w:left w:val="single" w:color="000000" w:sz="6" w:space="0"/>
                    <w:bottom w:val="single" w:color="000000" w:sz="12" w:space="0"/>
                    <w:right w:val="nil"/>
                  </w:tcBorders>
                  <w:shd w:val="clear" w:color="auto" w:fill="FFFFFF"/>
                  <w:vAlign w:val="center"/>
                </w:tcPr>
                <w:p>
                  <w:pPr>
                    <w:pStyle w:val="54"/>
                    <w:keepNext w:val="0"/>
                    <w:keepLines w:val="0"/>
                    <w:suppressLineNumbers w:val="0"/>
                    <w:spacing w:before="24" w:beforeAutospacing="0" w:after="0" w:afterAutospacing="0" w:line="320" w:lineRule="exact"/>
                    <w:ind w:left="0" w:right="0"/>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达标</w:t>
                  </w:r>
                </w:p>
              </w:tc>
            </w:tr>
          </w:tbl>
          <w:p>
            <w:pPr>
              <w:keepNext w:val="0"/>
              <w:keepLines w:val="0"/>
              <w:suppressLineNumbers w:val="0"/>
              <w:autoSpaceDN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环境空气基本污染物监测项目中，SO</w:t>
            </w:r>
            <w:r>
              <w:rPr>
                <w:rFonts w:hint="default"/>
                <w:bCs/>
                <w:color w:val="000000" w:themeColor="text1"/>
                <w:sz w:val="24"/>
                <w:vertAlign w:val="subscript"/>
                <w14:textFill>
                  <w14:solidFill>
                    <w14:schemeClr w14:val="tx1"/>
                  </w14:solidFill>
                </w14:textFill>
              </w:rPr>
              <w:t>2</w:t>
            </w:r>
            <w:r>
              <w:rPr>
                <w:rFonts w:hint="default"/>
                <w:bCs/>
                <w:color w:val="000000" w:themeColor="text1"/>
                <w:sz w:val="24"/>
                <w14:textFill>
                  <w14:solidFill>
                    <w14:schemeClr w14:val="tx1"/>
                  </w14:solidFill>
                </w14:textFill>
              </w:rPr>
              <w:t>年平均浓度、NO</w:t>
            </w:r>
            <w:r>
              <w:rPr>
                <w:rFonts w:hint="default"/>
                <w:bCs/>
                <w:color w:val="000000" w:themeColor="text1"/>
                <w:sz w:val="24"/>
                <w:vertAlign w:val="subscript"/>
                <w14:textFill>
                  <w14:solidFill>
                    <w14:schemeClr w14:val="tx1"/>
                  </w14:solidFill>
                </w14:textFill>
              </w:rPr>
              <w:t>2</w:t>
            </w:r>
            <w:r>
              <w:rPr>
                <w:rFonts w:hint="default"/>
                <w:bCs/>
                <w:color w:val="000000" w:themeColor="text1"/>
                <w:sz w:val="24"/>
                <w14:textFill>
                  <w14:solidFill>
                    <w14:schemeClr w14:val="tx1"/>
                  </w14:solidFill>
                </w14:textFill>
              </w:rPr>
              <w:t>年均浓度、O</w:t>
            </w:r>
            <w:r>
              <w:rPr>
                <w:rFonts w:hint="default"/>
                <w:bCs/>
                <w:color w:val="000000" w:themeColor="text1"/>
                <w:sz w:val="24"/>
                <w:vertAlign w:val="subscript"/>
                <w14:textFill>
                  <w14:solidFill>
                    <w14:schemeClr w14:val="tx1"/>
                  </w14:solidFill>
                </w14:textFill>
              </w:rPr>
              <w:t>3</w:t>
            </w:r>
            <w:r>
              <w:rPr>
                <w:rFonts w:hint="default"/>
                <w:bCs/>
                <w:color w:val="000000" w:themeColor="text1"/>
                <w:sz w:val="24"/>
                <w14:textFill>
                  <w14:solidFill>
                    <w14:schemeClr w14:val="tx1"/>
                  </w14:solidFill>
                </w14:textFill>
              </w:rPr>
              <w:t>日最大8小时平均第90百分位浓度和CO24小时平均第95百分位数浓度低于《环境空气质量标准》（GB3095-2012）中的二级标准要求； PM</w:t>
            </w:r>
            <w:r>
              <w:rPr>
                <w:rFonts w:hint="default"/>
                <w:bCs/>
                <w:color w:val="000000" w:themeColor="text1"/>
                <w:sz w:val="24"/>
                <w:vertAlign w:val="subscript"/>
                <w14:textFill>
                  <w14:solidFill>
                    <w14:schemeClr w14:val="tx1"/>
                  </w14:solidFill>
                </w14:textFill>
              </w:rPr>
              <w:t>10</w:t>
            </w:r>
            <w:r>
              <w:rPr>
                <w:rFonts w:hint="default"/>
                <w:bCs/>
                <w:color w:val="000000" w:themeColor="text1"/>
                <w:sz w:val="24"/>
                <w14:textFill>
                  <w14:solidFill>
                    <w14:schemeClr w14:val="tx1"/>
                  </w14:solidFill>
                </w14:textFill>
              </w:rPr>
              <w:t>年平均浓度和PM</w:t>
            </w:r>
            <w:r>
              <w:rPr>
                <w:rFonts w:hint="default"/>
                <w:bCs/>
                <w:color w:val="000000" w:themeColor="text1"/>
                <w:sz w:val="24"/>
                <w:vertAlign w:val="subscript"/>
                <w14:textFill>
                  <w14:solidFill>
                    <w14:schemeClr w14:val="tx1"/>
                  </w14:solidFill>
                </w14:textFill>
              </w:rPr>
              <w:t>2.5</w:t>
            </w:r>
            <w:r>
              <w:rPr>
                <w:rFonts w:hint="default"/>
                <w:bCs/>
                <w:color w:val="000000" w:themeColor="text1"/>
                <w:sz w:val="24"/>
                <w14:textFill>
                  <w14:solidFill>
                    <w14:schemeClr w14:val="tx1"/>
                  </w14:solidFill>
                </w14:textFill>
              </w:rPr>
              <w:t>年平均浓度均高于《环境空气质量标准》（GB3095-2012）中的二级标准要求。因此项目所在地为大气环境质量</w:t>
            </w:r>
            <w:r>
              <w:rPr>
                <w:rFonts w:hint="eastAsia"/>
                <w:bCs/>
                <w:color w:val="000000" w:themeColor="text1"/>
                <w:sz w:val="24"/>
                <w14:textFill>
                  <w14:solidFill>
                    <w14:schemeClr w14:val="tx1"/>
                  </w14:solidFill>
                </w14:textFill>
              </w:rPr>
              <w:t>不</w:t>
            </w:r>
            <w:r>
              <w:rPr>
                <w:rFonts w:hint="default"/>
                <w:bCs/>
                <w:color w:val="000000" w:themeColor="text1"/>
                <w:sz w:val="24"/>
                <w14:textFill>
                  <w14:solidFill>
                    <w14:schemeClr w14:val="tx1"/>
                  </w14:solidFill>
                </w14:textFill>
              </w:rPr>
              <w:t>达标区。</w:t>
            </w:r>
          </w:p>
          <w:p>
            <w:pPr>
              <w:pStyle w:val="17"/>
              <w:keepNext w:val="0"/>
              <w:keepLines w:val="0"/>
              <w:suppressLineNumbers w:val="0"/>
              <w:spacing w:before="50" w:beforeAutospacing="0" w:after="0" w:afterAutospacing="0" w:line="520" w:lineRule="exact"/>
              <w:ind w:left="0" w:right="0" w:firstLine="48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陕西汇捷维研检测技术有限公司</w:t>
            </w:r>
            <w:r>
              <w:rPr>
                <w:rFonts w:hint="default" w:ascii="Times New Roman" w:hAnsi="Times New Roman" w:cs="Times New Roman"/>
                <w:color w:val="000000" w:themeColor="text1"/>
                <w:sz w:val="24"/>
                <w:szCs w:val="24"/>
                <w14:textFill>
                  <w14:solidFill>
                    <w14:schemeClr w14:val="tx1"/>
                  </w14:solidFill>
                </w14:textFill>
              </w:rPr>
              <w:t>于2019年6月8日至6月14日对</w:t>
            </w:r>
            <w:r>
              <w:rPr>
                <w:rFonts w:hint="default" w:ascii="Times New Roman" w:hAnsi="Times New Roman" w:cs="Times New Roman"/>
                <w:color w:val="000000" w:themeColor="text1"/>
                <w:sz w:val="24"/>
                <w14:textFill>
                  <w14:solidFill>
                    <w14:schemeClr w14:val="tx1"/>
                  </w14:solidFill>
                </w14:textFill>
              </w:rPr>
              <w:t>本项目环境空气质量现状</w:t>
            </w:r>
            <w:r>
              <w:rPr>
                <w:rFonts w:hint="default" w:ascii="Times New Roman" w:hAnsi="Times New Roman" w:cs="Times New Roman"/>
                <w:color w:val="000000" w:themeColor="text1"/>
                <w:sz w:val="24"/>
                <w:szCs w:val="24"/>
                <w14:textFill>
                  <w14:solidFill>
                    <w14:schemeClr w14:val="tx1"/>
                  </w14:solidFill>
                </w14:textFill>
              </w:rPr>
              <w:t>进行了监测，监测因子为非甲烷总烃、甲苯、二甲苯和乙苯，监测点位为项目所在地及所在地下风向5km范围内，共2个，监测结果见下表。</w:t>
            </w:r>
          </w:p>
          <w:p>
            <w:pPr>
              <w:pStyle w:val="17"/>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表13    非甲烷总烃监测结果      单位：mg/m</w:t>
            </w:r>
            <w:r>
              <w:rPr>
                <w:rFonts w:hint="default" w:ascii="Times New Roman" w:hAnsi="Times New Roman" w:eastAsia="黑体" w:cs="Times New Roman"/>
                <w:color w:val="000000" w:themeColor="text1"/>
                <w:sz w:val="24"/>
                <w:vertAlign w:val="superscript"/>
                <w14:textFill>
                  <w14:solidFill>
                    <w14:schemeClr w14:val="tx1"/>
                  </w14:solidFill>
                </w14:textFill>
              </w:rPr>
              <w:t>3</w:t>
            </w:r>
          </w:p>
          <w:tbl>
            <w:tblPr>
              <w:tblStyle w:val="38"/>
              <w:tblW w:w="88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5"/>
              <w:gridCol w:w="695"/>
              <w:gridCol w:w="1056"/>
              <w:gridCol w:w="1056"/>
              <w:gridCol w:w="1079"/>
              <w:gridCol w:w="1057"/>
              <w:gridCol w:w="1057"/>
              <w:gridCol w:w="1057"/>
              <w:gridCol w:w="10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采样点位</w:t>
                  </w:r>
                </w:p>
              </w:tc>
              <w:tc>
                <w:tcPr>
                  <w:tcW w:w="69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采样时间</w:t>
                  </w:r>
                </w:p>
              </w:tc>
              <w:tc>
                <w:tcPr>
                  <w:tcW w:w="7419"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2019.6.8</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2019.6.9</w:t>
                  </w:r>
                </w:p>
              </w:tc>
              <w:tc>
                <w:tcPr>
                  <w:tcW w:w="1079"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2019.6.10</w:t>
                  </w:r>
                </w:p>
              </w:tc>
              <w:tc>
                <w:tcPr>
                  <w:tcW w:w="1057"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2019.6.11</w:t>
                  </w:r>
                </w:p>
              </w:tc>
              <w:tc>
                <w:tcPr>
                  <w:tcW w:w="1057"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2019.6.12</w:t>
                  </w:r>
                </w:p>
              </w:tc>
              <w:tc>
                <w:tcPr>
                  <w:tcW w:w="1057"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2019.6.13</w:t>
                  </w:r>
                </w:p>
              </w:tc>
              <w:tc>
                <w:tcPr>
                  <w:tcW w:w="1057"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1#项目所在地</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0.74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0.70</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0.74</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0.60</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0.83</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0.71</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0.69</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0.69</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0.65</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0.56</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0.71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0.65</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0.67</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0.60</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0.80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0.70</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0.68</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0.66</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2#项目所在地下风向</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0.86</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0.88</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1.18</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0.79</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1.03</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0.86</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1.00</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0.76</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0.95</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0.82</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0.90</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0.97</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1.09</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0.76</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0.87</w:t>
                  </w:r>
                </w:p>
              </w:tc>
              <w:tc>
                <w:tcPr>
                  <w:tcW w:w="107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0.81</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0.98</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0.82</w:t>
                  </w:r>
                </w:p>
              </w:tc>
              <w:tc>
                <w:tcPr>
                  <w:tcW w:w="1057"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标准</w:t>
                  </w:r>
                </w:p>
              </w:tc>
              <w:tc>
                <w:tcPr>
                  <w:tcW w:w="8114"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r>
                    <w:rPr>
                      <w:rFonts w:hint="default"/>
                      <w:color w:val="000000" w:themeColor="text1"/>
                      <w:kern w:val="0"/>
                      <w14:textFill>
                        <w14:solidFill>
                          <w14:schemeClr w14:val="tx1"/>
                        </w14:solidFill>
                      </w14:textFill>
                    </w:rPr>
                    <w:t>mg/m</w:t>
                  </w:r>
                  <w:r>
                    <w:rPr>
                      <w:rFonts w:hint="default"/>
                      <w:color w:val="000000" w:themeColor="text1"/>
                      <w:kern w:val="0"/>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70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达标情况</w:t>
                  </w:r>
                </w:p>
              </w:tc>
              <w:tc>
                <w:tcPr>
                  <w:tcW w:w="8114"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w:t>
                  </w:r>
                </w:p>
              </w:tc>
            </w:tr>
          </w:tbl>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表14   甲苯监测结果      单位：mg/m</w:t>
            </w:r>
            <w:r>
              <w:rPr>
                <w:rFonts w:hint="default" w:ascii="Times New Roman" w:hAnsi="Times New Roman" w:eastAsia="黑体" w:cs="Times New Roman"/>
                <w:color w:val="000000" w:themeColor="text1"/>
                <w:sz w:val="24"/>
                <w:vertAlign w:val="superscript"/>
                <w14:textFill>
                  <w14:solidFill>
                    <w14:schemeClr w14:val="tx1"/>
                  </w14:solidFill>
                </w14:textFill>
              </w:rPr>
              <w:t>3</w:t>
            </w:r>
          </w:p>
          <w:tbl>
            <w:tblPr>
              <w:tblStyle w:val="38"/>
              <w:tblW w:w="87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6"/>
              <w:gridCol w:w="695"/>
              <w:gridCol w:w="1056"/>
              <w:gridCol w:w="1056"/>
              <w:gridCol w:w="1056"/>
              <w:gridCol w:w="1056"/>
              <w:gridCol w:w="1056"/>
              <w:gridCol w:w="1056"/>
              <w:gridCol w:w="10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采样点位</w:t>
                  </w:r>
                </w:p>
              </w:tc>
              <w:tc>
                <w:tcPr>
                  <w:tcW w:w="69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采样时间</w:t>
                  </w:r>
                </w:p>
              </w:tc>
              <w:tc>
                <w:tcPr>
                  <w:tcW w:w="7395"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2019.6.8</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2019.6.9</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2019.6.10</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2019.6.11</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2019.6.12</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2019.6.13</w:t>
                  </w:r>
                </w:p>
              </w:tc>
              <w:tc>
                <w:tcPr>
                  <w:tcW w:w="1059"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1#项目所在地</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0.0040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0.0052</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0.0038</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0.0036</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0.0034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0.0022</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0.0035</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0.0023</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0.0014</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0.0044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0.0042</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0.0061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0.0052</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4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2#项目所在地下风向</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0.0034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0.0059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0.0048</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0.0034</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0.0042</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0.0042</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0.0033</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0.0060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0.0043</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0.0049</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0.0047</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eastAsia="DengXian"/>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0.0041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0.0043</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0.0041</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0.0016</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0.0047</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4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标准</w:t>
                  </w:r>
                </w:p>
              </w:tc>
              <w:tc>
                <w:tcPr>
                  <w:tcW w:w="8090"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0.11</w:t>
                  </w:r>
                  <w:r>
                    <w:rPr>
                      <w:rFonts w:hint="default"/>
                      <w:color w:val="000000" w:themeColor="text1"/>
                      <w:kern w:val="0"/>
                      <w14:textFill>
                        <w14:solidFill>
                          <w14:schemeClr w14:val="tx1"/>
                        </w14:solidFill>
                      </w14:textFill>
                    </w:rPr>
                    <w:t>mg/m</w:t>
                  </w:r>
                  <w:r>
                    <w:rPr>
                      <w:rFonts w:hint="default"/>
                      <w:color w:val="000000" w:themeColor="text1"/>
                      <w:kern w:val="0"/>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4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达标情况</w:t>
                  </w:r>
                </w:p>
              </w:tc>
              <w:tc>
                <w:tcPr>
                  <w:tcW w:w="8090"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w:t>
                  </w:r>
                </w:p>
              </w:tc>
            </w:tr>
          </w:tbl>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表15   二甲苯监测结果      单位：mg/m</w:t>
            </w:r>
            <w:r>
              <w:rPr>
                <w:rFonts w:hint="default" w:ascii="Times New Roman" w:hAnsi="Times New Roman" w:eastAsia="黑体" w:cs="Times New Roman"/>
                <w:color w:val="000000" w:themeColor="text1"/>
                <w:sz w:val="24"/>
                <w:vertAlign w:val="superscript"/>
                <w14:textFill>
                  <w14:solidFill>
                    <w14:schemeClr w14:val="tx1"/>
                  </w14:solidFill>
                </w14:textFill>
              </w:rPr>
              <w:t>3</w:t>
            </w:r>
          </w:p>
          <w:tbl>
            <w:tblPr>
              <w:tblStyle w:val="38"/>
              <w:tblW w:w="87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695"/>
              <w:gridCol w:w="1056"/>
              <w:gridCol w:w="1056"/>
              <w:gridCol w:w="1056"/>
              <w:gridCol w:w="1056"/>
              <w:gridCol w:w="1056"/>
              <w:gridCol w:w="1056"/>
              <w:gridCol w:w="10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采样点位</w:t>
                  </w:r>
                </w:p>
              </w:tc>
              <w:tc>
                <w:tcPr>
                  <w:tcW w:w="69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采样时间</w:t>
                  </w:r>
                </w:p>
              </w:tc>
              <w:tc>
                <w:tcPr>
                  <w:tcW w:w="7398"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2019.6.8</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2019.6.9</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2019.6.10</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2019.6.11</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2019.6.12</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2019.6.13</w:t>
                  </w:r>
                </w:p>
              </w:tc>
              <w:tc>
                <w:tcPr>
                  <w:tcW w:w="1062"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1#项目所在地</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43"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2#项目所在地下风向</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3"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6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4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标准</w:t>
                  </w:r>
                </w:p>
              </w:tc>
              <w:tc>
                <w:tcPr>
                  <w:tcW w:w="8093"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r>
                    <w:rPr>
                      <w:rFonts w:hint="default"/>
                      <w:color w:val="000000" w:themeColor="text1"/>
                      <w:kern w:val="0"/>
                      <w14:textFill>
                        <w14:solidFill>
                          <w14:schemeClr w14:val="tx1"/>
                        </w14:solidFill>
                      </w14:textFill>
                    </w:rPr>
                    <w:t>mg/m</w:t>
                  </w:r>
                  <w:r>
                    <w:rPr>
                      <w:rFonts w:hint="default"/>
                      <w:color w:val="000000" w:themeColor="text1"/>
                      <w:kern w:val="0"/>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4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达标情况</w:t>
                  </w:r>
                </w:p>
              </w:tc>
              <w:tc>
                <w:tcPr>
                  <w:tcW w:w="8093"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w:t>
                  </w:r>
                </w:p>
              </w:tc>
            </w:tr>
          </w:tbl>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表16    乙苯监测结果      单位：mg/m</w:t>
            </w:r>
            <w:r>
              <w:rPr>
                <w:rFonts w:hint="default" w:ascii="Times New Roman" w:hAnsi="Times New Roman" w:eastAsia="黑体" w:cs="Times New Roman"/>
                <w:color w:val="000000" w:themeColor="text1"/>
                <w:sz w:val="24"/>
                <w:vertAlign w:val="superscript"/>
                <w14:textFill>
                  <w14:solidFill>
                    <w14:schemeClr w14:val="tx1"/>
                  </w14:solidFill>
                </w14:textFill>
              </w:rPr>
              <w:t>3</w:t>
            </w:r>
          </w:p>
          <w:tbl>
            <w:tblPr>
              <w:tblStyle w:val="38"/>
              <w:tblW w:w="87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6"/>
              <w:gridCol w:w="695"/>
              <w:gridCol w:w="1056"/>
              <w:gridCol w:w="1056"/>
              <w:gridCol w:w="1056"/>
              <w:gridCol w:w="1056"/>
              <w:gridCol w:w="1056"/>
              <w:gridCol w:w="1056"/>
              <w:gridCol w:w="10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采样点位</w:t>
                  </w:r>
                </w:p>
              </w:tc>
              <w:tc>
                <w:tcPr>
                  <w:tcW w:w="69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采样时间</w:t>
                  </w:r>
                </w:p>
              </w:tc>
              <w:tc>
                <w:tcPr>
                  <w:tcW w:w="7395" w:type="dxa"/>
                  <w:gridSpan w:val="7"/>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2019.6.8</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2019.6.9</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2019.6.10</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2019.6.11</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2019.6.12</w:t>
                  </w:r>
                </w:p>
              </w:tc>
              <w:tc>
                <w:tcPr>
                  <w:tcW w:w="1056"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2019.6.13</w:t>
                  </w:r>
                </w:p>
              </w:tc>
              <w:tc>
                <w:tcPr>
                  <w:tcW w:w="1059"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kern w:val="24"/>
                      <w14:textFill>
                        <w14:solidFill>
                          <w14:schemeClr w14:val="tx1"/>
                        </w14:solidFill>
                      </w14:textFill>
                    </w:rPr>
                  </w:pPr>
                  <w:r>
                    <w:rPr>
                      <w:rFonts w:hint="default"/>
                      <w:bCs/>
                      <w:color w:val="000000" w:themeColor="text1"/>
                      <w:kern w:val="24"/>
                      <w14:textFill>
                        <w14:solidFill>
                          <w14:schemeClr w14:val="tx1"/>
                        </w14:solidFill>
                      </w14:textFill>
                    </w:rPr>
                    <w:t>2019.6.14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1#项目所在地</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bCs/>
                      <w:color w:val="000000" w:themeColor="text1"/>
                      <w:kern w:val="24"/>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4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2#项目所在地下风向</w:t>
                  </w: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02:00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08:00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14:00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5" w:type="dxa"/>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Cs/>
                      <w:color w:val="000000" w:themeColor="text1"/>
                      <w14:textFill>
                        <w14:solidFill>
                          <w14:schemeClr w14:val="tx1"/>
                        </w14:solidFill>
                      </w14:textFill>
                    </w:rPr>
                    <w:t>20:00</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c>
                <w:tcPr>
                  <w:tcW w:w="1059"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eastAsia="DengXian"/>
                      <w:color w:val="000000" w:themeColor="text1"/>
                      <w14:textFill>
                        <w14:solidFill>
                          <w14:schemeClr w14:val="tx1"/>
                        </w14:solidFill>
                      </w14:textFill>
                    </w:rPr>
                    <w:t>1.5</w:t>
                  </w:r>
                  <w:r>
                    <w:rPr>
                      <w:rFonts w:hint="default"/>
                      <w:color w:val="000000" w:themeColor="text1"/>
                      <w14:textFill>
                        <w14:solidFill>
                          <w14:schemeClr w14:val="tx1"/>
                        </w14:solidFill>
                      </w14:textFill>
                    </w:rPr>
                    <w:t>×</w:t>
                  </w:r>
                  <w:r>
                    <w:rPr>
                      <w:rFonts w:hint="default" w:eastAsia="DengXian"/>
                      <w:color w:val="000000" w:themeColor="text1"/>
                      <w14:textFill>
                        <w14:solidFill>
                          <w14:schemeClr w14:val="tx1"/>
                        </w14:solidFill>
                      </w14:textFill>
                    </w:rPr>
                    <w:t>10</w:t>
                  </w:r>
                  <w:r>
                    <w:rPr>
                      <w:rFonts w:hint="default" w:eastAsia="DengXian"/>
                      <w:color w:val="000000" w:themeColor="text1"/>
                      <w:vertAlign w:val="superscript"/>
                      <w14:textFill>
                        <w14:solidFill>
                          <w14:schemeClr w14:val="tx1"/>
                        </w14:solidFill>
                      </w14:textFill>
                    </w:rPr>
                    <w:t>-3</w:t>
                  </w:r>
                  <w:r>
                    <w:rPr>
                      <w:rFonts w:hint="default" w:eastAsia="DengXian"/>
                      <w:color w:val="000000" w:themeColor="text1"/>
                      <w14:textFill>
                        <w14:solidFill>
                          <w14:schemeClr w14:val="tx1"/>
                        </w14:solidFill>
                      </w14:textFill>
                    </w:rPr>
                    <w:t xml:space="preserve"> ND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4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标准</w:t>
                  </w:r>
                </w:p>
              </w:tc>
              <w:tc>
                <w:tcPr>
                  <w:tcW w:w="8090"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w:t>
                  </w:r>
                  <w:r>
                    <w:rPr>
                      <w:rFonts w:hint="default"/>
                      <w:color w:val="000000" w:themeColor="text1"/>
                      <w:kern w:val="0"/>
                      <w14:textFill>
                        <w14:solidFill>
                          <w14:schemeClr w14:val="tx1"/>
                        </w14:solidFill>
                      </w14:textFill>
                    </w:rPr>
                    <w:t>mg/m</w:t>
                  </w:r>
                  <w:r>
                    <w:rPr>
                      <w:rFonts w:hint="default"/>
                      <w:color w:val="000000" w:themeColor="text1"/>
                      <w:kern w:val="0"/>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4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达标情况</w:t>
                  </w:r>
                </w:p>
              </w:tc>
              <w:tc>
                <w:tcPr>
                  <w:tcW w:w="8090" w:type="dxa"/>
                  <w:gridSpan w:val="8"/>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达标</w:t>
                  </w:r>
                </w:p>
              </w:tc>
            </w:tr>
          </w:tbl>
          <w:p>
            <w:pPr>
              <w:keepNext w:val="0"/>
              <w:keepLines w:val="0"/>
              <w:suppressLineNumbers w:val="0"/>
              <w:autoSpaceDN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监测结果表明，评价区</w:t>
            </w:r>
            <w:r>
              <w:rPr>
                <w:rFonts w:hint="default"/>
                <w:color w:val="000000" w:themeColor="text1"/>
                <w:sz w:val="24"/>
                <w14:textFill>
                  <w14:solidFill>
                    <w14:schemeClr w14:val="tx1"/>
                  </w14:solidFill>
                </w14:textFill>
              </w:rPr>
              <w:t>环境空气中非甲烷总烃满足《大气污染物综合排放标准详解》中限值；甲苯、二甲苯满足《环境影响评价技术导则 大气环境》（HJ2.2-2018）附录D限值；乙苯满足《前苏联居民大气有害物质的最大允许浓度》中浓度限值。</w:t>
            </w:r>
          </w:p>
          <w:p>
            <w:pPr>
              <w:keepNext w:val="0"/>
              <w:keepLines w:val="0"/>
              <w:suppressLineNumbers w:val="0"/>
              <w:tabs>
                <w:tab w:val="left" w:pos="3870"/>
              </w:tabs>
              <w:adjustRightInd w:val="0"/>
              <w:snapToGrid w:val="0"/>
              <w:spacing w:before="0" w:beforeAutospacing="0" w:after="0" w:afterAutospacing="0" w:line="520" w:lineRule="exact"/>
              <w:ind w:left="0" w:right="0" w:firstLine="482" w:firstLineChars="20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2、声环境质量现状</w:t>
            </w:r>
          </w:p>
          <w:p>
            <w:pPr>
              <w:pStyle w:val="17"/>
              <w:keepNext w:val="0"/>
              <w:keepLines w:val="0"/>
              <w:suppressLineNumbers w:val="0"/>
              <w:spacing w:before="0" w:beforeAutospacing="0" w:after="0" w:afterAutospacing="0" w:line="520" w:lineRule="exact"/>
              <w:ind w:left="0" w:right="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本次声环境现状委托</w:t>
            </w:r>
            <w:r>
              <w:rPr>
                <w:rFonts w:hint="default" w:ascii="Times New Roman" w:hAnsi="Times New Roman" w:cs="Times New Roman"/>
                <w:color w:val="000000" w:themeColor="text1"/>
                <w:sz w:val="24"/>
                <w14:textFill>
                  <w14:solidFill>
                    <w14:schemeClr w14:val="tx1"/>
                  </w14:solidFill>
                </w14:textFill>
              </w:rPr>
              <w:t>陕西汇捷维研检测技术有限公司</w:t>
            </w:r>
            <w:r>
              <w:rPr>
                <w:rFonts w:hint="default" w:ascii="Times New Roman" w:hAnsi="Times New Roman" w:cs="Times New Roman"/>
                <w:color w:val="000000" w:themeColor="text1"/>
                <w:sz w:val="24"/>
                <w:szCs w:val="24"/>
                <w14:textFill>
                  <w14:solidFill>
                    <w14:schemeClr w14:val="tx1"/>
                  </w14:solidFill>
                </w14:textFill>
              </w:rPr>
              <w:t>于2019年6月12日至6月13日进行了监测，监测点位为厂界四周</w:t>
            </w:r>
            <w:r>
              <w:rPr>
                <w:rFonts w:hint="eastAsia" w:ascii="Times New Roman" w:hAnsi="Times New Roman" w:cs="Times New Roman"/>
                <w:color w:val="000000" w:themeColor="text1"/>
                <w:sz w:val="24"/>
                <w:szCs w:val="24"/>
                <w14:textFill>
                  <w14:solidFill>
                    <w14:schemeClr w14:val="tx1"/>
                  </w14:solidFill>
                </w14:textFill>
              </w:rPr>
              <w:t>，监测期间项目未运行</w:t>
            </w:r>
            <w:r>
              <w:rPr>
                <w:rFonts w:hint="default" w:ascii="Times New Roman" w:hAnsi="Times New Roman" w:cs="Times New Roman"/>
                <w:color w:val="000000" w:themeColor="text1"/>
                <w:sz w:val="24"/>
                <w:szCs w:val="24"/>
                <w14:textFill>
                  <w14:solidFill>
                    <w14:schemeClr w14:val="tx1"/>
                  </w14:solidFill>
                </w14:textFill>
              </w:rPr>
              <w:t>。监测结果见下表。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表17    环境噪声监测结果统计表    单位dB(A)</w:t>
            </w:r>
          </w:p>
          <w:tbl>
            <w:tblPr>
              <w:tblStyle w:val="38"/>
              <w:tblW w:w="8791"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138"/>
              <w:gridCol w:w="1432"/>
              <w:gridCol w:w="1496"/>
              <w:gridCol w:w="1275"/>
              <w:gridCol w:w="145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7" w:hRule="atLeast"/>
                <w:jc w:val="center"/>
              </w:trPr>
              <w:tc>
                <w:tcPr>
                  <w:tcW w:w="3138"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监测地点</w:t>
                  </w:r>
                </w:p>
              </w:tc>
              <w:tc>
                <w:tcPr>
                  <w:tcW w:w="2928"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2019年6月12日</w:t>
                  </w:r>
                </w:p>
              </w:tc>
              <w:tc>
                <w:tcPr>
                  <w:tcW w:w="2725"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2019年6月13日</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90" w:hRule="atLeast"/>
                <w:jc w:val="center"/>
              </w:trPr>
              <w:tc>
                <w:tcPr>
                  <w:tcW w:w="3138"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3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昼间</w:t>
                  </w:r>
                </w:p>
              </w:tc>
              <w:tc>
                <w:tcPr>
                  <w:tcW w:w="149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夜间</w:t>
                  </w:r>
                </w:p>
              </w:tc>
              <w:tc>
                <w:tcPr>
                  <w:tcW w:w="127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昼间</w:t>
                  </w:r>
                </w:p>
              </w:tc>
              <w:tc>
                <w:tcPr>
                  <w:tcW w:w="1450"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夜间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313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厂界东（1#）</w:t>
                  </w:r>
                </w:p>
              </w:tc>
              <w:tc>
                <w:tcPr>
                  <w:tcW w:w="143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57.6</w:t>
                  </w:r>
                </w:p>
              </w:tc>
              <w:tc>
                <w:tcPr>
                  <w:tcW w:w="149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51.5</w:t>
                  </w:r>
                </w:p>
              </w:tc>
              <w:tc>
                <w:tcPr>
                  <w:tcW w:w="1275"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56.8</w:t>
                  </w:r>
                </w:p>
              </w:tc>
              <w:tc>
                <w:tcPr>
                  <w:tcW w:w="145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313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厂界南（2#）</w:t>
                  </w:r>
                </w:p>
              </w:tc>
              <w:tc>
                <w:tcPr>
                  <w:tcW w:w="143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61.6</w:t>
                  </w:r>
                </w:p>
              </w:tc>
              <w:tc>
                <w:tcPr>
                  <w:tcW w:w="149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52.6</w:t>
                  </w:r>
                </w:p>
              </w:tc>
              <w:tc>
                <w:tcPr>
                  <w:tcW w:w="1275"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61.8</w:t>
                  </w:r>
                </w:p>
              </w:tc>
              <w:tc>
                <w:tcPr>
                  <w:tcW w:w="145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313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厂界西（3#）</w:t>
                  </w:r>
                </w:p>
              </w:tc>
              <w:tc>
                <w:tcPr>
                  <w:tcW w:w="143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62.0</w:t>
                  </w:r>
                </w:p>
              </w:tc>
              <w:tc>
                <w:tcPr>
                  <w:tcW w:w="149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53.2</w:t>
                  </w:r>
                </w:p>
              </w:tc>
              <w:tc>
                <w:tcPr>
                  <w:tcW w:w="1275"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62.3</w:t>
                  </w:r>
                </w:p>
              </w:tc>
              <w:tc>
                <w:tcPr>
                  <w:tcW w:w="145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53.6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313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厂界北（4#）</w:t>
                  </w:r>
                </w:p>
              </w:tc>
              <w:tc>
                <w:tcPr>
                  <w:tcW w:w="1432"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63.2</w:t>
                  </w:r>
                </w:p>
              </w:tc>
              <w:tc>
                <w:tcPr>
                  <w:tcW w:w="1496"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53.8</w:t>
                  </w:r>
                </w:p>
              </w:tc>
              <w:tc>
                <w:tcPr>
                  <w:tcW w:w="1275"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63.4</w:t>
                  </w:r>
                </w:p>
              </w:tc>
              <w:tc>
                <w:tcPr>
                  <w:tcW w:w="1450" w:type="dxa"/>
                  <w:vAlign w:val="center"/>
                </w:tcPr>
                <w:p>
                  <w:pPr>
                    <w:keepNext w:val="0"/>
                    <w:keepLines w:val="0"/>
                    <w:suppressLineNumbers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53.8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2" w:hRule="atLeast"/>
                <w:jc w:val="center"/>
              </w:trPr>
              <w:tc>
                <w:tcPr>
                  <w:tcW w:w="313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GB9660-88中二类区域</w:t>
                  </w:r>
                </w:p>
              </w:tc>
              <w:tc>
                <w:tcPr>
                  <w:tcW w:w="5653" w:type="dxa"/>
                  <w:gridSpan w:val="4"/>
                  <w:vAlign w:val="center"/>
                </w:tcPr>
                <w:p>
                  <w:pPr>
                    <w:keepNext w:val="0"/>
                    <w:keepLines w:val="0"/>
                    <w:suppressLineNumbers w:val="0"/>
                    <w:autoSpaceDN w:val="0"/>
                    <w:adjustRightInd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昼间：75   夜间：75</w:t>
                  </w:r>
                </w:p>
              </w:tc>
            </w:tr>
          </w:tbl>
          <w:p>
            <w:pPr>
              <w:keepNext w:val="0"/>
              <w:keepLines w:val="0"/>
              <w:suppressLineNumbers w:val="0"/>
              <w:adjustRightInd w:val="0"/>
              <w:snapToGrid w:val="0"/>
              <w:spacing w:before="156" w:beforeLines="5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从上表中监测结果可知，项目所在区域声环境质量现状监测值满足《机场周围飞机噪声环境标准质量标准》（GB9660-88）二类区域要求。</w:t>
            </w:r>
          </w:p>
          <w:p>
            <w:pPr>
              <w:keepNext w:val="0"/>
              <w:keepLines w:val="0"/>
              <w:suppressLineNumbers w:val="0"/>
              <w:tabs>
                <w:tab w:val="left" w:pos="3870"/>
              </w:tabs>
              <w:adjustRightInd w:val="0"/>
              <w:snapToGrid w:val="0"/>
              <w:spacing w:before="0" w:beforeAutospacing="0" w:after="0" w:afterAutospacing="0" w:line="520" w:lineRule="exact"/>
              <w:ind w:left="0" w:right="0" w:firstLine="482" w:firstLineChars="20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3、土壤环境质量现状</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kern w:val="0"/>
                <w:sz w:val="24"/>
                <w14:textFill>
                  <w14:solidFill>
                    <w14:schemeClr w14:val="tx1"/>
                  </w14:solidFill>
                </w14:textFill>
              </w:rPr>
              <w:t>根据工程分析，项目在运营期将产生废水、废气、噪声和固体废物，属于污染影响型项目。根据附录A，本项目属于使用有机涂层，为I类项目。项目占地面积4790m</w:t>
            </w:r>
            <w:r>
              <w:rPr>
                <w:rFonts w:hint="default"/>
                <w:color w:val="000000" w:themeColor="text1"/>
                <w:kern w:val="0"/>
                <w:sz w:val="24"/>
                <w:vertAlign w:val="superscript"/>
                <w14:textFill>
                  <w14:solidFill>
                    <w14:schemeClr w14:val="tx1"/>
                  </w14:solidFill>
                </w14:textFill>
              </w:rPr>
              <w:t>2</w:t>
            </w:r>
            <w:r>
              <w:rPr>
                <w:rFonts w:hint="default"/>
                <w:color w:val="000000" w:themeColor="text1"/>
                <w:kern w:val="0"/>
                <w:sz w:val="24"/>
                <w14:textFill>
                  <w14:solidFill>
                    <w14:schemeClr w14:val="tx1"/>
                  </w14:solidFill>
                </w14:textFill>
              </w:rPr>
              <w:t>，为小型占地。本项目产生的污染主要为喷漆及烘干废气经排气筒排放后可通过大气沉降到土壤。根据估算模型计算结果，排气筒最大落地浓度对应下风向距离为115m。根据土地利用规划图，项目下风向范围内用地类型为建设用地，项目敏感程度可判定为不敏感。项目土壤环境影响评价等级为二级。</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kern w:val="0"/>
                <w:sz w:val="24"/>
                <w14:textFill>
                  <w14:solidFill>
                    <w14:schemeClr w14:val="tx1"/>
                  </w14:solidFill>
                </w14:textFill>
              </w:rPr>
              <w:t>（1）监测点位</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kern w:val="0"/>
                <w:sz w:val="24"/>
                <w14:textFill>
                  <w14:solidFill>
                    <w14:schemeClr w14:val="tx1"/>
                  </w14:solidFill>
                </w14:textFill>
              </w:rPr>
              <w:t>根据《环境影响评价技术导则 土壤环境》，评价等级为二级污染影响型，需在占地范围内设3个柱状样点，1个表层样点，占地范围外设2个表层样点。根据现场勘查，项目占地范围内为1号机库，且地面均已硬化，故本次取样仅在占地范围外，设表层样3个。本项目土壤监测委托中认英泰检测技术有限公司对项目区土壤进行现状监测。具体点位图见附图6。</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kern w:val="0"/>
                <w:sz w:val="24"/>
                <w14:textFill>
                  <w14:solidFill>
                    <w14:schemeClr w14:val="tx1"/>
                  </w14:solidFill>
                </w14:textFill>
              </w:rPr>
              <w:t>（2）监测项目</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kern w:val="0"/>
                <w:sz w:val="24"/>
                <w14:textFill>
                  <w14:solidFill>
                    <w14:schemeClr w14:val="tx1"/>
                  </w14:solidFill>
                </w14:textFill>
              </w:rPr>
              <w:t>监测项目：砷、镉、六价铬、铜、铅、汞、镍、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硝基苯、苯胺、2-氯酚、苯并［a］蒽、苯并［a］芘、苯并［b］荧蒽、苯并［k］荧蒽、䓛、二苯并［a，h］蒽、茚并［1,2,3-cd］芘、萘。</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ascii="Times New Roman" w:hAnsi="Times New Roman" w:eastAsia="黑体" w:cs="Times New Roman"/>
                <w:color w:val="000000" w:themeColor="text1"/>
                <w:sz w:val="24"/>
                <w14:textFill>
                  <w14:solidFill>
                    <w14:schemeClr w14:val="tx1"/>
                  </w14:solidFill>
                </w14:textFill>
              </w:rPr>
            </w:pPr>
            <w:r>
              <w:rPr>
                <w:rFonts w:hint="default"/>
                <w:color w:val="000000" w:themeColor="text1"/>
                <w:kern w:val="0"/>
                <w:sz w:val="24"/>
                <w14:textFill>
                  <w14:solidFill>
                    <w14:schemeClr w14:val="tx1"/>
                  </w14:solidFill>
                </w14:textFill>
              </w:rPr>
              <w:t>（3）监测结果统计</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表18  项目区厂界外土壤表层样环境监测数据及统计结果表</w:t>
            </w:r>
          </w:p>
          <w:tbl>
            <w:tblPr>
              <w:tblStyle w:val="38"/>
              <w:tblW w:w="88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9"/>
              <w:gridCol w:w="1240"/>
              <w:gridCol w:w="1415"/>
              <w:gridCol w:w="982"/>
              <w:gridCol w:w="1136"/>
              <w:gridCol w:w="1251"/>
              <w:gridCol w:w="9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tcBorders>
                    <w:top w:val="single" w:color="auto" w:sz="12" w:space="0"/>
                    <w:left w:val="nil"/>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监测点位</w:t>
                  </w:r>
                </w:p>
              </w:tc>
              <w:tc>
                <w:tcPr>
                  <w:tcW w:w="1240" w:type="dxa"/>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采样日期</w:t>
                  </w:r>
                </w:p>
              </w:tc>
              <w:tc>
                <w:tcPr>
                  <w:tcW w:w="1415" w:type="dxa"/>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监测项目</w:t>
                  </w:r>
                </w:p>
              </w:tc>
              <w:tc>
                <w:tcPr>
                  <w:tcW w:w="982" w:type="dxa"/>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监测结果（0.2m土样）</w:t>
                  </w:r>
                </w:p>
              </w:tc>
              <w:tc>
                <w:tcPr>
                  <w:tcW w:w="1136" w:type="dxa"/>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单位</w:t>
                  </w:r>
                </w:p>
              </w:tc>
              <w:tc>
                <w:tcPr>
                  <w:tcW w:w="1251" w:type="dxa"/>
                  <w:tcBorders>
                    <w:top w:val="single" w:color="auto" w:sz="12"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评价标准</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926" w:type="dxa"/>
                  <w:tcBorders>
                    <w:top w:val="single" w:color="auto" w:sz="12" w:space="0"/>
                    <w:left w:val="single" w:color="auto" w:sz="6" w:space="0"/>
                    <w:bottom w:val="single" w:color="auto" w:sz="6" w:space="0"/>
                    <w:right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restart"/>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1#厂界外上风向 E108°46′11.11″</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N34°26′55.40″</w:t>
                  </w:r>
                </w:p>
              </w:tc>
              <w:tc>
                <w:tcPr>
                  <w:tcW w:w="1240" w:type="dxa"/>
                  <w:vMerge w:val="restar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2019.12.16</w:t>
                  </w: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18.5</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镉</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0.37</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六价铬</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0.90</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铜</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26</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18000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铅</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34.8</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汞</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0.095</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镍</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21</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900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四氯化碳</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氯仿</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氯甲烷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37</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1,1-二氯乙烷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1,2-二氯乙烷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1,1-二氯乙烯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66</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顺-1,2-二氯乙烯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596</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反-1,2-二氯乙烯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54</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二氯甲烷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616</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1,2-二氯丙烷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1,1,1,2-四氯乙烷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1,1,2,2-四氯乙烷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四氯乙烯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53</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1,1,1-三氯乙烷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840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1,1,2-三氯乙烷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三氯乙烯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1,2,3-三氯丙烷</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0.43</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氯苯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1,2-二氯苯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560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1,4-二氯苯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苯乙烯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1290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highlight w:val="yellow"/>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硝基苯*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76</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苯胺*</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260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2-氯酚*</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2256</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苯并［a］蒽</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苯并［a］芘</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苯并［b］荧蒽</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苯并［k］荧蒽</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151</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䓛</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1293</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二苯并［a，h］蒽</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茚并［1,2,3-cd］芘</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napToGrid w:val="0"/>
                    <w:spacing w:before="0" w:beforeAutospacing="0" w:after="0" w:afterAutospacing="0" w:line="36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top w:val="single" w:color="auto" w:sz="6" w:space="0"/>
                    <w:left w:val="nil"/>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40" w:type="dxa"/>
                  <w:vMerge w:val="continue"/>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萘</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restart"/>
                  <w:tcBorders>
                    <w:top w:val="single" w:color="auto" w:sz="4" w:space="0"/>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2#厂界外下风向E108°46′8.12″</w:t>
                  </w:r>
                </w:p>
                <w:p>
                  <w:pPr>
                    <w:keepNext w:val="0"/>
                    <w:keepLines w:val="0"/>
                    <w:suppressLineNumbers w:val="0"/>
                    <w:spacing w:before="0" w:beforeAutospacing="0" w:after="0" w:afterAutospacing="0" w:line="36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N34°26′51.10″</w:t>
                  </w:r>
                </w:p>
              </w:tc>
              <w:tc>
                <w:tcPr>
                  <w:tcW w:w="1240" w:type="dxa"/>
                  <w:vMerge w:val="restart"/>
                  <w:tcBorders>
                    <w:top w:val="single" w:color="auto" w:sz="4"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2019.12.16</w:t>
                  </w:r>
                </w:p>
              </w:tc>
              <w:tc>
                <w:tcPr>
                  <w:tcW w:w="1415"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982"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1200</w:t>
                  </w:r>
                </w:p>
              </w:tc>
              <w:tc>
                <w:tcPr>
                  <w:tcW w:w="926" w:type="dxa"/>
                  <w:tcBorders>
                    <w:top w:val="single" w:color="auto" w:sz="4"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restart"/>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3厂界外下风向E108°46′8.57″</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N34°26′50.34″</w:t>
                  </w:r>
                </w:p>
              </w:tc>
              <w:tc>
                <w:tcPr>
                  <w:tcW w:w="1240" w:type="dxa"/>
                  <w:vMerge w:val="restart"/>
                  <w:tcBorders>
                    <w:top w:val="single" w:color="auto" w:sz="4"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2019.12.16</w:t>
                  </w:r>
                </w:p>
              </w:tc>
              <w:tc>
                <w:tcPr>
                  <w:tcW w:w="1415"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间二甲苯+对二甲苯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邻二甲苯</w:t>
                  </w:r>
                </w:p>
              </w:tc>
              <w:tc>
                <w:tcPr>
                  <w:tcW w:w="982"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640</w:t>
                  </w:r>
                </w:p>
              </w:tc>
              <w:tc>
                <w:tcPr>
                  <w:tcW w:w="926" w:type="dxa"/>
                  <w:tcBorders>
                    <w:top w:val="single" w:color="auto" w:sz="6" w:space="0"/>
                    <w:left w:val="single" w:color="auto" w:sz="6" w:space="0"/>
                    <w:bottom w:val="single" w:color="auto" w:sz="6"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69" w:type="dxa"/>
                  <w:vMerge w:val="continue"/>
                  <w:tcBorders>
                    <w:left w:val="nil"/>
                    <w:bottom w:val="single" w:color="auto" w:sz="12"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240" w:type="dxa"/>
                  <w:vMerge w:val="continue"/>
                  <w:tcBorders>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415" w:type="dxa"/>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乙苯</w:t>
                  </w:r>
                </w:p>
              </w:tc>
              <w:tc>
                <w:tcPr>
                  <w:tcW w:w="982" w:type="dxa"/>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未检出</w:t>
                  </w:r>
                </w:p>
              </w:tc>
              <w:tc>
                <w:tcPr>
                  <w:tcW w:w="1136" w:type="dxa"/>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mg/kg</w:t>
                  </w:r>
                </w:p>
              </w:tc>
              <w:tc>
                <w:tcPr>
                  <w:tcW w:w="1251" w:type="dxa"/>
                  <w:tcBorders>
                    <w:top w:val="single" w:color="auto" w:sz="6" w:space="0"/>
                    <w:left w:val="single" w:color="auto" w:sz="6" w:space="0"/>
                    <w:bottom w:val="single" w:color="auto" w:sz="12" w:space="0"/>
                    <w:right w:val="single" w:color="auto" w:sz="6" w:space="0"/>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926" w:type="dxa"/>
                  <w:tcBorders>
                    <w:top w:val="single" w:color="auto" w:sz="6" w:space="0"/>
                    <w:left w:val="single" w:color="auto" w:sz="6" w:space="0"/>
                    <w:bottom w:val="single" w:color="auto" w:sz="12" w:space="0"/>
                    <w:right w:val="nil"/>
                  </w:tcBorders>
                  <w:vAlign w:val="center"/>
                </w:tcPr>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达标</w:t>
                  </w:r>
                </w:p>
              </w:tc>
            </w:tr>
          </w:tbl>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kern w:val="0"/>
                <w:sz w:val="24"/>
                <w:szCs w:val="20"/>
                <w14:textFill>
                  <w14:solidFill>
                    <w14:schemeClr w14:val="tx1"/>
                  </w14:solidFill>
                </w14:textFill>
              </w:rPr>
            </w:pPr>
            <w:r>
              <w:rPr>
                <w:rFonts w:hint="default" w:ascii="Times New Roman" w:hAnsi="Times New Roman"/>
                <w:color w:val="000000" w:themeColor="text1"/>
                <w:kern w:val="0"/>
                <w:sz w:val="24"/>
                <w:szCs w:val="20"/>
                <w14:textFill>
                  <w14:solidFill>
                    <w14:schemeClr w14:val="tx1"/>
                  </w14:solidFill>
                </w14:textFill>
              </w:rPr>
              <w:t>由监测数据统计结果可以看出，项目区周边各个监测点位的监测结果均满足《土壤环境质量 建设用地土壤污染风险管控标准》（GB36600-2018）中第二类用地筛选值标准要求。</w:t>
            </w:r>
          </w:p>
          <w:p>
            <w:pPr>
              <w:pStyle w:val="2"/>
              <w:keepNext w:val="0"/>
              <w:keepLines w:val="0"/>
              <w:suppressLineNumbers w:val="0"/>
              <w:spacing w:before="0" w:beforeAutospacing="0" w:afterAutospacing="0"/>
              <w:ind w:right="0" w:firstLine="560"/>
              <w:rPr>
                <w:rFonts w:hint="default" w:ascii="Times New Roman" w:hAnsi="Times New Roman"/>
                <w:color w:val="000000" w:themeColor="text1"/>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firstLine="480" w:firstLineChars="20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24"/>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18"/>
                <w:szCs w:val="18"/>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18"/>
                <w:szCs w:val="18"/>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18"/>
                <w:szCs w:val="18"/>
                <w14:textFill>
                  <w14:solidFill>
                    <w14:schemeClr w14:val="tx1"/>
                  </w14:solidFill>
                </w14:textFill>
              </w:rPr>
            </w:pPr>
          </w:p>
          <w:p>
            <w:pPr>
              <w:keepNext w:val="0"/>
              <w:keepLines w:val="0"/>
              <w:widowControl/>
              <w:suppressLineNumbers w:val="0"/>
              <w:autoSpaceDN w:val="0"/>
              <w:spacing w:before="50" w:beforeAutospacing="0" w:after="0" w:afterAutospacing="0" w:line="520" w:lineRule="exact"/>
              <w:ind w:left="0" w:right="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36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36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36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36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360"/>
              <w:rPr>
                <w:rFonts w:hint="default"/>
                <w:color w:val="000000" w:themeColor="text1"/>
                <w:kern w:val="0"/>
                <w:sz w:val="18"/>
                <w:szCs w:val="18"/>
                <w14:textFill>
                  <w14:solidFill>
                    <w14:schemeClr w14:val="tx1"/>
                  </w14:solidFill>
                </w14:textFill>
              </w:rPr>
            </w:pPr>
          </w:p>
          <w:p>
            <w:pPr>
              <w:pStyle w:val="2"/>
              <w:keepNext w:val="0"/>
              <w:keepLines w:val="0"/>
              <w:suppressLineNumbers w:val="0"/>
              <w:spacing w:before="0" w:beforeAutospacing="0" w:afterAutospacing="0"/>
              <w:ind w:right="0" w:firstLine="560"/>
              <w:rPr>
                <w:rFonts w:hint="default"/>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6" w:hRule="atLeast"/>
        </w:trPr>
        <w:tc>
          <w:tcPr>
            <w:tcW w:w="9035" w:type="dxa"/>
          </w:tcPr>
          <w:p>
            <w:pPr>
              <w:keepNext w:val="0"/>
              <w:keepLines w:val="0"/>
              <w:suppressLineNumbers w:val="0"/>
              <w:adjustRightInd w:val="0"/>
              <w:snapToGrid w:val="0"/>
              <w:spacing w:before="156" w:beforeLines="50" w:beforeAutospacing="0" w:after="0" w:afterAutospacing="0" w:line="520" w:lineRule="exact"/>
              <w:ind w:left="0" w:right="0"/>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主要环境保护目标（列出名单及保护级别）:</w:t>
            </w:r>
          </w:p>
          <w:p>
            <w:pPr>
              <w:pStyle w:val="17"/>
              <w:keepNext w:val="0"/>
              <w:keepLines w:val="0"/>
              <w:suppressLineNumbers w:val="0"/>
              <w:spacing w:before="50" w:beforeAutospacing="0" w:after="0" w:afterAutospacing="0" w:line="520" w:lineRule="exact"/>
              <w:ind w:left="0" w:right="0" w:firstLine="482"/>
              <w:outlineLvl w:val="0"/>
              <w:rPr>
                <w:rFonts w:hint="default" w:ascii="Times New Roman" w:hAnsi="Times New Roman" w:cs="Times New Roman"/>
                <w:color w:val="000000" w:themeColor="text1"/>
                <w:sz w:val="24"/>
                <w:szCs w:val="24"/>
                <w:highlight w:val="yellow"/>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项目主要环境保护目标及保护级别见下表。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表19    项目周围主要环境保护目标</w:t>
            </w:r>
          </w:p>
          <w:tbl>
            <w:tblPr>
              <w:tblStyle w:val="38"/>
              <w:tblW w:w="88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34"/>
              <w:gridCol w:w="1134"/>
              <w:gridCol w:w="1259"/>
              <w:gridCol w:w="1169"/>
              <w:gridCol w:w="1028"/>
              <w:gridCol w:w="905"/>
              <w:gridCol w:w="11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28"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2468" w:type="dxa"/>
                  <w:gridSpan w:val="2"/>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坐标</w:t>
                  </w:r>
                </w:p>
              </w:tc>
              <w:tc>
                <w:tcPr>
                  <w:tcW w:w="1259"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保护</w:t>
                  </w:r>
                </w:p>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对象</w:t>
                  </w:r>
                </w:p>
              </w:tc>
              <w:tc>
                <w:tcPr>
                  <w:tcW w:w="1169"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保护</w:t>
                  </w:r>
                </w:p>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内容</w:t>
                  </w:r>
                </w:p>
              </w:tc>
              <w:tc>
                <w:tcPr>
                  <w:tcW w:w="1028"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环境功能区</w:t>
                  </w:r>
                </w:p>
              </w:tc>
              <w:tc>
                <w:tcPr>
                  <w:tcW w:w="905"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相对厂址方位</w:t>
                  </w:r>
                </w:p>
              </w:tc>
              <w:tc>
                <w:tcPr>
                  <w:tcW w:w="1162"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相对厂界</w:t>
                  </w:r>
                </w:p>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X</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Y</w:t>
                  </w:r>
                </w:p>
              </w:tc>
              <w:tc>
                <w:tcPr>
                  <w:tcW w:w="1259"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c>
                <w:tcPr>
                  <w:tcW w:w="1169"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c>
                <w:tcPr>
                  <w:tcW w:w="905"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c>
                <w:tcPr>
                  <w:tcW w:w="1162"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
                      <w:bCs/>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w:t>
                  </w:r>
                </w:p>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空气保护目标</w:t>
                  </w: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108.796363</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34.445388</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丁家小堡</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约300人</w:t>
                  </w:r>
                </w:p>
              </w:tc>
              <w:tc>
                <w:tcPr>
                  <w:tcW w:w="1028" w:type="dxa"/>
                  <w:vMerge w:val="restart"/>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环境空气二类区</w:t>
                  </w: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东</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108.791041</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34.432753</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布里村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约450人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东南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2680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108.779626</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34.431726</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上召窑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约300人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东南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108.741302</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34.444716</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靳里村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约540人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2368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108.753405</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34.451865</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南杜村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约270人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东南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108.762460</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34.457562</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岳家村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约360人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108.763146</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34.465134</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任家</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约420人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108.767138</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34.462870</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成家村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约270人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108.776965</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34.466939</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瓦刘村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约630人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108.791256</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34.470724</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王村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约420人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3259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13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108.786492</w:t>
                  </w:r>
                </w:p>
              </w:tc>
              <w:tc>
                <w:tcPr>
                  <w:tcW w:w="1134"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34.458836</w:t>
                  </w:r>
                </w:p>
              </w:tc>
              <w:tc>
                <w:tcPr>
                  <w:tcW w:w="125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韩家村</w:t>
                  </w:r>
                </w:p>
              </w:tc>
              <w:tc>
                <w:tcPr>
                  <w:tcW w:w="1169"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约210人</w:t>
                  </w:r>
                </w:p>
              </w:tc>
              <w:tc>
                <w:tcPr>
                  <w:tcW w:w="1028" w:type="dxa"/>
                  <w:vMerge w:val="continue"/>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2113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28"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w:t>
                  </w:r>
                </w:p>
              </w:tc>
              <w:tc>
                <w:tcPr>
                  <w:tcW w:w="4896" w:type="dxa"/>
                  <w:gridSpan w:val="4"/>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泾河</w:t>
                  </w:r>
                </w:p>
              </w:tc>
              <w:tc>
                <w:tcPr>
                  <w:tcW w:w="1028"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 3 \* ROMAN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III</w:t>
                  </w:r>
                  <w:r>
                    <w:rPr>
                      <w:rFonts w:hint="default"/>
                      <w:color w:val="000000" w:themeColor="text1"/>
                      <w14:textFill>
                        <w14:solidFill>
                          <w14:schemeClr w14:val="tx1"/>
                        </w14:solidFill>
                      </w14:textFill>
                    </w:rPr>
                    <w:fldChar w:fldCharType="end"/>
                  </w:r>
                  <w:r>
                    <w:rPr>
                      <w:rFonts w:hint="default"/>
                      <w:color w:val="000000" w:themeColor="text1"/>
                      <w14:textFill>
                        <w14:solidFill>
                          <w14:schemeClr w14:val="tx1"/>
                        </w14:solidFill>
                      </w14:textFill>
                    </w:rPr>
                    <w:t>类</w:t>
                  </w:r>
                </w:p>
              </w:tc>
              <w:tc>
                <w:tcPr>
                  <w:tcW w:w="905"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东北</w:t>
                  </w:r>
                </w:p>
              </w:tc>
              <w:tc>
                <w:tcPr>
                  <w:tcW w:w="1162"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28" w:type="dxa"/>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土壤环境</w:t>
                  </w:r>
                </w:p>
              </w:tc>
              <w:tc>
                <w:tcPr>
                  <w:tcW w:w="7991" w:type="dxa"/>
                  <w:gridSpan w:val="7"/>
                  <w:vAlign w:val="center"/>
                </w:tcPr>
                <w:p>
                  <w:pPr>
                    <w:keepNext w:val="0"/>
                    <w:keepLines w:val="0"/>
                    <w:suppressLineNumbers w:val="0"/>
                    <w:adjustRightInd w:val="0"/>
                    <w:snapToGrid w:val="0"/>
                    <w:spacing w:before="62" w:beforeLines="20" w:beforeAutospacing="0" w:after="31" w:afterLines="1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占地范围外200m范围内</w:t>
                  </w:r>
                </w:p>
              </w:tc>
            </w:tr>
          </w:tbl>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r>
              <w:rPr>
                <w:rFonts w:hint="default"/>
                <w:color w:val="000000" w:themeColor="text1"/>
                <w:sz w:val="18"/>
                <w:szCs w:val="18"/>
                <w14:textFill>
                  <w14:solidFill>
                    <w14:schemeClr w14:val="tx1"/>
                  </w14:solidFill>
                </w14:textFill>
              </w:rPr>
              <w:t>　　</w:t>
            </w: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8"/>
                <w:szCs w:val="18"/>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default"/>
                <w:color w:val="000000" w:themeColor="text1"/>
                <w:sz w:val="10"/>
                <w:szCs w:val="10"/>
                <w14:textFill>
                  <w14:solidFill>
                    <w14:schemeClr w14:val="tx1"/>
                  </w14:solidFill>
                </w14:textFill>
              </w:rPr>
            </w:pPr>
          </w:p>
          <w:p>
            <w:pPr>
              <w:keepNext w:val="0"/>
              <w:keepLines w:val="0"/>
              <w:suppressLineNumbers w:val="0"/>
              <w:tabs>
                <w:tab w:val="left" w:pos="930"/>
              </w:tabs>
              <w:adjustRightInd w:val="0"/>
              <w:snapToGrid w:val="0"/>
              <w:spacing w:before="0" w:beforeAutospacing="0" w:after="0" w:afterAutospacing="0" w:line="360" w:lineRule="auto"/>
              <w:ind w:left="0" w:right="0"/>
              <w:rPr>
                <w:rFonts w:hint="eastAsia"/>
                <w:color w:val="000000" w:themeColor="text1"/>
                <w:sz w:val="10"/>
                <w:szCs w:val="10"/>
                <w14:textFill>
                  <w14:solidFill>
                    <w14:schemeClr w14:val="tx1"/>
                  </w14:solidFill>
                </w14:textFill>
              </w:rPr>
            </w:pPr>
          </w:p>
        </w:tc>
      </w:tr>
    </w:tbl>
    <w:p>
      <w:pPr>
        <w:rPr>
          <w:rStyle w:val="78"/>
        </w:rPr>
      </w:pPr>
      <w:bookmarkStart w:id="75" w:name="_Toc182888695"/>
      <w:bookmarkStart w:id="76" w:name="_Toc183006404"/>
      <w:bookmarkStart w:id="77" w:name="_Toc183088181"/>
      <w:bookmarkStart w:id="78" w:name="_Toc171761616"/>
      <w:bookmarkStart w:id="79" w:name="_Toc193872736"/>
      <w:bookmarkStart w:id="80" w:name="_Toc182830657"/>
      <w:bookmarkStart w:id="81" w:name="_Toc178817699"/>
      <w:bookmarkStart w:id="82" w:name="_Toc183170410"/>
      <w:bookmarkStart w:id="83" w:name="_Toc182819245"/>
      <w:r>
        <w:rPr>
          <w:rStyle w:val="78"/>
        </w:rPr>
        <w:br w:type="page"/>
      </w:r>
    </w:p>
    <w:p>
      <w:pPr>
        <w:rPr>
          <w:rStyle w:val="78"/>
        </w:rPr>
      </w:pPr>
      <w:r>
        <w:rPr>
          <w:rStyle w:val="78"/>
        </w:rPr>
        <w:t>评价适用标准</w:t>
      </w:r>
      <w:bookmarkEnd w:id="75"/>
      <w:bookmarkEnd w:id="76"/>
      <w:bookmarkEnd w:id="77"/>
      <w:bookmarkEnd w:id="78"/>
      <w:bookmarkEnd w:id="79"/>
      <w:bookmarkEnd w:id="80"/>
      <w:bookmarkEnd w:id="81"/>
      <w:bookmarkEnd w:id="82"/>
      <w:bookmarkEnd w:id="83"/>
    </w:p>
    <w:tbl>
      <w:tblPr>
        <w:tblStyle w:val="38"/>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8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trPr>
        <w:tc>
          <w:tcPr>
            <w:tcW w:w="540" w:type="dxa"/>
            <w:vAlign w:val="center"/>
          </w:tcPr>
          <w:p>
            <w:pPr>
              <w:keepNext w:val="0"/>
              <w:keepLines w:val="0"/>
              <w:suppressLineNumbers w:val="0"/>
              <w:spacing w:before="0" w:beforeAutospacing="0" w:after="0" w:afterAutospacing="0"/>
              <w:ind w:left="0" w:right="0"/>
              <w:jc w:val="center"/>
              <w:rPr>
                <w:rFonts w:hint="default"/>
                <w:b/>
                <w:bCs/>
                <w:color w:val="000000" w:themeColor="text1"/>
                <w:spacing w:val="40"/>
                <w:sz w:val="24"/>
                <w:szCs w:val="24"/>
                <w14:textFill>
                  <w14:solidFill>
                    <w14:schemeClr w14:val="tx1"/>
                  </w14:solidFill>
                </w14:textFill>
              </w:rPr>
            </w:pPr>
            <w:r>
              <w:rPr>
                <w:rFonts w:hint="default"/>
                <w:b/>
                <w:bCs/>
                <w:color w:val="000000" w:themeColor="text1"/>
                <w:spacing w:val="40"/>
                <w:sz w:val="24"/>
                <w:szCs w:val="24"/>
                <w14:textFill>
                  <w14:solidFill>
                    <w14:schemeClr w14:val="tx1"/>
                  </w14:solidFill>
                </w14:textFill>
              </w:rPr>
              <w:t>环境质量标准</w:t>
            </w:r>
          </w:p>
        </w:tc>
        <w:tc>
          <w:tcPr>
            <w:tcW w:w="8391" w:type="dxa"/>
            <w:vAlign w:val="center"/>
          </w:tcPr>
          <w:p>
            <w:pPr>
              <w:keepNext w:val="0"/>
              <w:keepLines w:val="0"/>
              <w:suppressLineNumbers w:val="0"/>
              <w:spacing w:before="0" w:beforeAutospacing="0" w:after="0" w:afterAutospacing="0" w:line="440" w:lineRule="exact"/>
              <w:ind w:left="0" w:right="0" w:firstLine="480" w:firstLineChars="200"/>
              <w:rPr>
                <w:rFonts w:hint="default"/>
                <w:bCs/>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1、环境空气质量执行《环境空气质量标准》（GB3095-2012）二级标准，非甲烷总烃参照《大气污染物综合排放标准详解》中限值；甲苯、二甲苯参照《环境影响评价技术导则 大气环境》（HJ2.2-2018）附录D限值；乙苯参照《前苏联居民大气有害物质的最大允许浓度》中浓度限值。</w:t>
            </w:r>
            <w:r>
              <w:rPr>
                <w:rFonts w:hint="default"/>
                <w:bCs/>
                <w:color w:val="000000" w:themeColor="text1"/>
                <w:sz w:val="24"/>
                <w14:textFill>
                  <w14:solidFill>
                    <w14:schemeClr w14:val="tx1"/>
                  </w14:solidFill>
                </w14:textFill>
              </w:rPr>
              <w:t xml:space="preserve"> </w:t>
            </w:r>
          </w:p>
          <w:p>
            <w:pPr>
              <w:keepNext w:val="0"/>
              <w:keepLines w:val="0"/>
              <w:suppressLineNumbers w:val="0"/>
              <w:spacing w:before="0" w:beforeAutospacing="0" w:after="0" w:afterAutospacing="0" w:line="44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2、声环境质量执行《机场周围飞机噪声环境标准质量标准》（GB9660-88）二类区域要求。</w:t>
            </w:r>
          </w:p>
          <w:p>
            <w:pPr>
              <w:keepNext w:val="0"/>
              <w:keepLines w:val="0"/>
              <w:suppressLineNumbers w:val="0"/>
              <w:spacing w:before="0" w:beforeAutospacing="0" w:after="0" w:afterAutospacing="0" w:line="440" w:lineRule="exact"/>
              <w:ind w:left="0" w:right="0" w:firstLine="480" w:firstLineChars="200"/>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3、土壤环境质量执行</w:t>
            </w:r>
            <w:r>
              <w:rPr>
                <w:rFonts w:hint="default"/>
                <w:color w:val="000000" w:themeColor="text1"/>
                <w:sz w:val="24"/>
                <w14:textFill>
                  <w14:solidFill>
                    <w14:schemeClr w14:val="tx1"/>
                  </w14:solidFill>
                </w14:textFill>
              </w:rPr>
              <w:t>《土壤环境质量 建设用地土壤污染风险管控标准》（GB36600-2018）中第二类用地筛选值标准要求。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2" w:hRule="atLeast"/>
        </w:trPr>
        <w:tc>
          <w:tcPr>
            <w:tcW w:w="540"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ind w:left="0" w:right="0"/>
              <w:rPr>
                <w:rFonts w:hint="default"/>
                <w:b/>
                <w:bCs/>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ind w:left="0" w:right="0"/>
              <w:rPr>
                <w:rStyle w:val="78"/>
                <w:rFonts w:hint="default"/>
                <w:color w:val="000000" w:themeColor="text1"/>
                <w14:textFill>
                  <w14:solidFill>
                    <w14:schemeClr w14:val="tx1"/>
                  </w14:solidFill>
                </w14:textFill>
              </w:rPr>
            </w:pPr>
            <w:r>
              <w:rPr>
                <w:rFonts w:hint="default"/>
                <w:b/>
                <w:bCs/>
                <w:color w:val="000000" w:themeColor="text1"/>
                <w:sz w:val="24"/>
                <w:szCs w:val="24"/>
                <w14:textFill>
                  <w14:solidFill>
                    <w14:schemeClr w14:val="tx1"/>
                  </w14:solidFill>
                </w14:textFill>
              </w:rPr>
              <w:t>污染物排放标准</w:t>
            </w:r>
          </w:p>
        </w:tc>
        <w:tc>
          <w:tcPr>
            <w:tcW w:w="8391" w:type="dxa"/>
            <w:vAlign w:val="center"/>
          </w:tcPr>
          <w:p>
            <w:pPr>
              <w:keepNext w:val="0"/>
              <w:keepLines w:val="0"/>
              <w:suppressLineNumbers w:val="0"/>
              <w:spacing w:before="0" w:beforeAutospacing="0" w:after="0" w:afterAutospacing="0" w:line="440" w:lineRule="exact"/>
              <w:ind w:left="0" w:right="0" w:firstLine="480" w:firstLineChars="200"/>
              <w:jc w:val="left"/>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1、运营期废气中的颗粒物执行</w:t>
            </w:r>
            <w:r>
              <w:rPr>
                <w:rFonts w:hint="default"/>
                <w:color w:val="000000" w:themeColor="text1"/>
                <w:kern w:val="0"/>
                <w:sz w:val="24"/>
                <w:szCs w:val="24"/>
                <w14:textFill>
                  <w14:solidFill>
                    <w14:schemeClr w14:val="tx1"/>
                  </w14:solidFill>
                </w14:textFill>
              </w:rPr>
              <w:t>《大气污染综合排放标准》(GB16297-1996)中二级标准要求；非甲烷总烃、甲苯+乙苯、二甲苯最高排放浓度执行《挥发性有机物排放控制标准》(DB 61/T1061-2017)中最高允许排放浓度限值要求。</w:t>
            </w:r>
          </w:p>
          <w:p>
            <w:pPr>
              <w:keepNext w:val="0"/>
              <w:keepLines w:val="0"/>
              <w:suppressLineNumbers w:val="0"/>
              <w:spacing w:before="0" w:beforeAutospacing="0" w:after="0" w:afterAutospacing="0" w:line="44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2、运营期废水排放执行《污水综合排放标准》(GB68978-1996)表4中三级标准和《污水排入城镇下水道水质标准》（GB/T31962-2015）表1中A级标准。</w:t>
            </w:r>
          </w:p>
          <w:p>
            <w:pPr>
              <w:keepNext w:val="0"/>
              <w:keepLines w:val="0"/>
              <w:suppressLineNumbers w:val="0"/>
              <w:spacing w:before="0" w:beforeAutospacing="0" w:after="0" w:afterAutospacing="0" w:line="44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3、运营期噪声执行《工业企业厂界环境噪声排放标准》（GB 12348-2008）中3类标准。</w:t>
            </w:r>
          </w:p>
          <w:p>
            <w:pPr>
              <w:keepNext w:val="0"/>
              <w:keepLines w:val="0"/>
              <w:suppressLineNumbers w:val="0"/>
              <w:spacing w:before="0" w:beforeAutospacing="0" w:after="0" w:afterAutospacing="0" w:line="44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4、固体废物执行《一般工业固体废物贮存、处置场污染控制标准》(GB18599—2001)及修改单中相关规定；</w:t>
            </w:r>
            <w:r>
              <w:rPr>
                <w:rFonts w:hint="default"/>
                <w:bCs/>
                <w:color w:val="000000" w:themeColor="text1"/>
                <w:sz w:val="24"/>
                <w14:textFill>
                  <w14:solidFill>
                    <w14:schemeClr w14:val="tx1"/>
                  </w14:solidFill>
                </w14:textFill>
              </w:rPr>
              <w:t>危险废物执行《危险废物贮存污染控制标准》（GB18597-2001）及其修改单中相关规定。</w:t>
            </w:r>
          </w:p>
          <w:p>
            <w:pPr>
              <w:keepNext w:val="0"/>
              <w:keepLines w:val="0"/>
              <w:suppressLineNumbers w:val="0"/>
              <w:tabs>
                <w:tab w:val="left" w:pos="4404"/>
              </w:tabs>
              <w:spacing w:before="0" w:beforeAutospacing="0" w:after="0" w:afterAutospacing="0" w:line="520" w:lineRule="exact"/>
              <w:ind w:left="0" w:right="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 xml:space="preserve">    5、其他按照国家、陕西省及西咸新区空港新城的有关规定执行。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40" w:type="dxa"/>
            <w:vAlign w:val="center"/>
          </w:tcPr>
          <w:p>
            <w:pPr>
              <w:keepNext w:val="0"/>
              <w:keepLines w:val="0"/>
              <w:suppressLineNumbers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总量控制指标</w:t>
            </w:r>
          </w:p>
        </w:tc>
        <w:tc>
          <w:tcPr>
            <w:tcW w:w="8391" w:type="dxa"/>
            <w:vAlign w:val="center"/>
          </w:tcPr>
          <w:p>
            <w:pPr>
              <w:keepNext w:val="0"/>
              <w:keepLines w:val="0"/>
              <w:suppressLineNumbers w:val="0"/>
              <w:autoSpaceDE w:val="0"/>
              <w:autoSpaceDN w:val="0"/>
              <w:spacing w:before="0" w:beforeAutospacing="0" w:after="0" w:afterAutospacing="0" w:line="360" w:lineRule="auto"/>
              <w:ind w:left="0" w:right="0" w:firstLine="480"/>
              <w:rPr>
                <w:rFonts w:hint="default"/>
                <w:color w:val="000000" w:themeColor="text1"/>
                <w:sz w:val="24"/>
                <w14:textFill>
                  <w14:solidFill>
                    <w14:schemeClr w14:val="tx1"/>
                  </w14:solidFill>
                </w14:textFill>
              </w:rPr>
            </w:pPr>
          </w:p>
          <w:p>
            <w:pPr>
              <w:keepNext w:val="0"/>
              <w:keepLines w:val="0"/>
              <w:suppressLineNumbers w:val="0"/>
              <w:autoSpaceDE w:val="0"/>
              <w:autoSpaceDN w:val="0"/>
              <w:spacing w:before="0" w:beforeAutospacing="0" w:after="0" w:afterAutospacing="0" w:line="360" w:lineRule="auto"/>
              <w:ind w:left="0" w:right="0"/>
              <w:rPr>
                <w:rFonts w:hint="default"/>
                <w:color w:val="000000" w:themeColor="text1"/>
                <w:sz w:val="24"/>
                <w14:textFill>
                  <w14:solidFill>
                    <w14:schemeClr w14:val="tx1"/>
                  </w14:solidFill>
                </w14:textFill>
              </w:rPr>
            </w:pPr>
          </w:p>
          <w:p>
            <w:pPr>
              <w:keepNext w:val="0"/>
              <w:keepLines w:val="0"/>
              <w:suppressLineNumbers w:val="0"/>
              <w:autoSpaceDE w:val="0"/>
              <w:autoSpaceDN w:val="0"/>
              <w:spacing w:before="0" w:beforeAutospacing="0" w:after="0" w:afterAutospacing="0" w:line="360" w:lineRule="auto"/>
              <w:ind w:left="0" w:right="0" w:firstLine="48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“十三五”期间污染物控制指标为化学需氧量、氨氮、二氧化硫和氮氧化物、VOC</w:t>
            </w:r>
            <w:r>
              <w:rPr>
                <w:rFonts w:hint="default"/>
                <w:color w:val="000000" w:themeColor="text1"/>
                <w:sz w:val="24"/>
                <w:vertAlign w:val="subscript"/>
                <w14:textFill>
                  <w14:solidFill>
                    <w14:schemeClr w14:val="tx1"/>
                  </w14:solidFill>
                </w14:textFill>
              </w:rPr>
              <w:t>S</w:t>
            </w:r>
            <w:r>
              <w:rPr>
                <w:rFonts w:hint="default"/>
                <w:color w:val="000000" w:themeColor="text1"/>
                <w:sz w:val="24"/>
                <w14:textFill>
                  <w14:solidFill>
                    <w14:schemeClr w14:val="tx1"/>
                  </w14:solidFill>
                </w14:textFill>
              </w:rPr>
              <w:t>。本项目废水排入咸阳机场污水处理厂处理，总量指标纳入咸阳机场污水处理厂，不单独申请。项目涉及申请总量控制指标为VOCs：1.3522t/a。</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 xml:space="preserve"> </w:t>
            </w:r>
          </w:p>
          <w:p>
            <w:pPr>
              <w:pStyle w:val="2"/>
              <w:keepNext w:val="0"/>
              <w:keepLines w:val="0"/>
              <w:suppressLineNumbers w:val="0"/>
              <w:spacing w:before="0" w:beforeAutospacing="0" w:afterAutospacing="0"/>
              <w:ind w:right="0"/>
              <w:rPr>
                <w:rFonts w:hint="default"/>
                <w:color w:val="000000" w:themeColor="text1"/>
                <w:sz w:val="24"/>
                <w:szCs w:val="24"/>
                <w14:textFill>
                  <w14:solidFill>
                    <w14:schemeClr w14:val="tx1"/>
                  </w14:solidFill>
                </w14:textFill>
              </w:rPr>
            </w:pPr>
          </w:p>
          <w:p>
            <w:pPr>
              <w:pStyle w:val="2"/>
              <w:keepNext w:val="0"/>
              <w:keepLines w:val="0"/>
              <w:suppressLineNumbers w:val="0"/>
              <w:spacing w:before="0" w:beforeAutospacing="0" w:afterAutospacing="0"/>
              <w:ind w:right="0"/>
              <w:rPr>
                <w:rFonts w:hint="default"/>
                <w:color w:val="000000" w:themeColor="text1"/>
                <w:sz w:val="24"/>
                <w:szCs w:val="24"/>
                <w14:textFill>
                  <w14:solidFill>
                    <w14:schemeClr w14:val="tx1"/>
                  </w14:solidFill>
                </w14:textFill>
              </w:rPr>
            </w:pPr>
          </w:p>
          <w:p>
            <w:pPr>
              <w:keepNext w:val="0"/>
              <w:keepLines w:val="0"/>
              <w:suppressLineNumbers w:val="0"/>
              <w:adjustRightInd w:val="0"/>
              <w:snapToGrid w:val="0"/>
              <w:spacing w:before="0" w:beforeAutospacing="0" w:after="0" w:afterAutospacing="0" w:line="520" w:lineRule="exact"/>
              <w:ind w:left="0" w:right="0"/>
              <w:rPr>
                <w:rFonts w:hint="default"/>
                <w:color w:val="000000" w:themeColor="text1"/>
                <w:sz w:val="24"/>
                <w:szCs w:val="24"/>
                <w14:textFill>
                  <w14:solidFill>
                    <w14:schemeClr w14:val="tx1"/>
                  </w14:solidFill>
                </w14:textFill>
              </w:rPr>
            </w:pPr>
          </w:p>
        </w:tc>
      </w:tr>
    </w:tbl>
    <w:p>
      <w:pPr>
        <w:rPr>
          <w:rStyle w:val="78"/>
        </w:rPr>
      </w:pPr>
      <w:bookmarkStart w:id="84" w:name="_Toc193872737"/>
      <w:r>
        <w:rPr>
          <w:rStyle w:val="78"/>
        </w:rPr>
        <w:t>建设项目工程分析</w:t>
      </w:r>
      <w:bookmarkEnd w:id="84"/>
    </w:p>
    <w:tbl>
      <w:tblPr>
        <w:tblStyle w:val="3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9000" w:type="dxa"/>
          </w:tcPr>
          <w:p>
            <w:pPr>
              <w:keepNext w:val="0"/>
              <w:keepLines w:val="0"/>
              <w:suppressLineNumbers w:val="0"/>
              <w:adjustRightInd w:val="0"/>
              <w:snapToGrid w:val="0"/>
              <w:spacing w:before="156" w:beforeLines="50" w:beforeAutospacing="0" w:after="0" w:afterAutospacing="0" w:line="360" w:lineRule="auto"/>
              <w:ind w:left="0" w:right="0"/>
              <w:rPr>
                <w:rFonts w:hint="default"/>
                <w:b/>
                <w:bCs/>
                <w:szCs w:val="28"/>
              </w:rPr>
            </w:pPr>
            <w:r>
              <w:rPr>
                <w:rFonts w:hint="default"/>
                <w:b/>
                <w:bCs/>
                <w:szCs w:val="28"/>
              </w:rPr>
              <w:t>工艺流程简述（图示）</w:t>
            </w:r>
          </w:p>
          <w:p>
            <w:pPr>
              <w:keepNext w:val="0"/>
              <w:keepLines w:val="0"/>
              <w:suppressLineNumbers w:val="0"/>
              <w:adjustRightInd w:val="0"/>
              <w:snapToGrid w:val="0"/>
              <w:spacing w:before="156" w:beforeLines="50" w:beforeAutospacing="0" w:after="0" w:afterAutospacing="0" w:line="360" w:lineRule="auto"/>
              <w:ind w:left="0" w:right="0" w:firstLine="482" w:firstLineChars="200"/>
              <w:rPr>
                <w:rFonts w:hint="default"/>
                <w:b/>
                <w:sz w:val="24"/>
                <w:szCs w:val="24"/>
              </w:rPr>
            </w:pPr>
            <w:r>
              <w:rPr>
                <w:rFonts w:hint="default"/>
                <w:b/>
                <w:sz w:val="24"/>
                <w:szCs w:val="24"/>
              </w:rPr>
              <w:t>1、飞机喷漆工艺流程及产污环节</w:t>
            </w:r>
          </w:p>
          <w:p>
            <w:pPr>
              <w:keepNext w:val="0"/>
              <w:keepLines w:val="0"/>
              <w:suppressLineNumbers w:val="0"/>
              <w:adjustRightInd w:val="0"/>
              <w:snapToGrid w:val="0"/>
              <w:spacing w:before="156" w:beforeLines="50" w:beforeAutospacing="0" w:after="0" w:afterAutospacing="0" w:line="360" w:lineRule="auto"/>
              <w:ind w:left="0" w:right="0" w:firstLine="480" w:firstLineChars="200"/>
              <w:jc w:val="center"/>
              <w:rPr>
                <w:rFonts w:hint="default"/>
                <w:sz w:val="24"/>
                <w:szCs w:val="24"/>
              </w:rPr>
            </w:pPr>
            <w:r>
              <w:rPr>
                <w:rFonts w:hint="default"/>
                <w:sz w:val="24"/>
                <w:szCs w:val="24"/>
              </w:rPr>
              <w:drawing>
                <wp:inline distT="0" distB="0" distL="0" distR="0">
                  <wp:extent cx="2585720" cy="22390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2623165" cy="2271379"/>
                          </a:xfrm>
                          <a:prstGeom prst="rect">
                            <a:avLst/>
                          </a:prstGeom>
                        </pic:spPr>
                      </pic:pic>
                    </a:graphicData>
                  </a:graphic>
                </wp:inline>
              </w:drawing>
            </w:r>
          </w:p>
          <w:p>
            <w:pPr>
              <w:keepNext w:val="0"/>
              <w:keepLines w:val="0"/>
              <w:suppressLineNumbers w:val="0"/>
              <w:adjustRightInd w:val="0"/>
              <w:snapToGrid w:val="0"/>
              <w:spacing w:before="156" w:beforeLines="50" w:beforeAutospacing="0" w:after="0" w:afterAutospacing="0" w:line="360" w:lineRule="auto"/>
              <w:ind w:left="0" w:right="0"/>
              <w:jc w:val="center"/>
              <w:rPr>
                <w:rFonts w:hint="default" w:eastAsia="黑体"/>
                <w:color w:val="000000"/>
                <w:sz w:val="24"/>
                <w:szCs w:val="24"/>
              </w:rPr>
            </w:pPr>
            <w:r>
              <w:rPr>
                <w:rFonts w:hint="default" w:eastAsia="黑体"/>
                <w:color w:val="000000"/>
                <w:sz w:val="24"/>
                <w:szCs w:val="24"/>
              </w:rPr>
              <w:t>图1   飞机喷漆工艺流程及产污环节图</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（1）工艺说明</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检查、保护：</w:t>
            </w:r>
            <w:r>
              <w:rPr>
                <w:rFonts w:hint="default"/>
                <w:bCs/>
                <w:sz w:val="24"/>
              </w:rPr>
              <w:t>当飞机停好后，工人要将机身梯靠拢飞机，便于工人在上面作业。对飞机的玻璃、孔、天线、复合材料进行包贴保护，防止清洗水、油漆等在喷涂时接触到这些部件。</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打磨、退漆：</w:t>
            </w:r>
            <w:r>
              <w:rPr>
                <w:rFonts w:hint="default"/>
                <w:bCs/>
                <w:sz w:val="24"/>
              </w:rPr>
              <w:t>退漆方式为打磨退漆，采用气动打磨机打磨至第一层底漆。</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清洗、保护：</w:t>
            </w:r>
            <w:r>
              <w:rPr>
                <w:rFonts w:hint="default"/>
                <w:bCs/>
                <w:sz w:val="24"/>
              </w:rPr>
              <w:t>退漆后的飞机表面用清水清洗并</w:t>
            </w:r>
            <w:r>
              <w:rPr>
                <w:rFonts w:hint="default"/>
                <w:bCs/>
                <w:color w:val="000000"/>
                <w:sz w:val="24"/>
              </w:rPr>
              <w:t>干燥，采用自来水，经一台中央热水器加热后和未加热的自来水混合后，用于飞机打磨之后的粉尘清洗。在冬天的供暖季用机场动力站提供水暖系统通过机库暖风机进行晾干，其他季节自然风进行风干。干燥完成后保护不需要喷漆的区域。</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喷漆：</w:t>
            </w:r>
            <w:r>
              <w:rPr>
                <w:rFonts w:hint="default"/>
                <w:bCs/>
                <w:sz w:val="24"/>
              </w:rPr>
              <w:t>针对飞机不同部位，喷涂不同功能的底漆和面漆，共喷涂4种油漆。喷漆过程不需要加热，在室温内即可完成固化，自然干燥。</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检查、出</w:t>
            </w:r>
            <w:r>
              <w:rPr>
                <w:rFonts w:hint="eastAsia"/>
                <w:b/>
                <w:bCs/>
                <w:sz w:val="24"/>
              </w:rPr>
              <w:t>库</w:t>
            </w:r>
            <w:r>
              <w:rPr>
                <w:rFonts w:hint="default"/>
                <w:b/>
                <w:bCs/>
                <w:sz w:val="24"/>
              </w:rPr>
              <w:t>：</w:t>
            </w:r>
            <w:r>
              <w:rPr>
                <w:rFonts w:hint="default"/>
                <w:bCs/>
                <w:sz w:val="24"/>
              </w:rPr>
              <w:t>依据出</w:t>
            </w:r>
            <w:r>
              <w:rPr>
                <w:rFonts w:hint="eastAsia"/>
                <w:bCs/>
                <w:sz w:val="24"/>
              </w:rPr>
              <w:t>库</w:t>
            </w:r>
            <w:r>
              <w:rPr>
                <w:rFonts w:hint="default"/>
                <w:bCs/>
                <w:sz w:val="24"/>
              </w:rPr>
              <w:t>检查单进行检查，检查完毕的飞机即可出</w:t>
            </w:r>
            <w:r>
              <w:rPr>
                <w:rFonts w:hint="eastAsia"/>
                <w:bCs/>
                <w:sz w:val="24"/>
              </w:rPr>
              <w:t>库</w:t>
            </w:r>
            <w:r>
              <w:rPr>
                <w:rFonts w:hint="default"/>
                <w:bCs/>
                <w:sz w:val="24"/>
              </w:rPr>
              <w:t>。</w:t>
            </w:r>
          </w:p>
          <w:p>
            <w:pPr>
              <w:pStyle w:val="3"/>
              <w:keepNext w:val="0"/>
              <w:keepLines w:val="0"/>
              <w:suppressLineNumbers w:val="0"/>
              <w:spacing w:before="0" w:beforeAutospacing="0" w:after="0" w:afterAutospacing="0" w:line="520" w:lineRule="exact"/>
              <w:ind w:left="0" w:leftChars="0" w:right="0" w:firstLine="482" w:firstLineChars="200"/>
              <w:rPr>
                <w:rFonts w:hint="default" w:ascii="Times New Roman" w:hAnsi="Times New Roman"/>
                <w:sz w:val="24"/>
                <w:szCs w:val="20"/>
              </w:rPr>
            </w:pPr>
            <w:r>
              <w:rPr>
                <w:rFonts w:hint="default" w:ascii="Times New Roman" w:hAnsi="Times New Roman"/>
                <w:b/>
                <w:bCs/>
                <w:sz w:val="24"/>
              </w:rPr>
              <w:t>（2）产污环节分析：</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废气：</w:t>
            </w:r>
            <w:r>
              <w:rPr>
                <w:rFonts w:hint="default"/>
                <w:bCs/>
                <w:sz w:val="24"/>
              </w:rPr>
              <w:t>打磨时产生的粉尘、喷漆过程会产生漆雾和有机废气；</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废水：</w:t>
            </w:r>
            <w:r>
              <w:rPr>
                <w:rFonts w:hint="default"/>
                <w:bCs/>
                <w:sz w:val="24"/>
              </w:rPr>
              <w:t>清洗过程会产生清洗废水；</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噪声：</w:t>
            </w:r>
            <w:r>
              <w:rPr>
                <w:rFonts w:hint="default"/>
                <w:bCs/>
                <w:sz w:val="24"/>
              </w:rPr>
              <w:t>喷漆设备运行产生噪声；</w:t>
            </w:r>
          </w:p>
          <w:p>
            <w:pPr>
              <w:keepNext w:val="0"/>
              <w:keepLines w:val="0"/>
              <w:suppressLineNumbers w:val="0"/>
              <w:spacing w:before="0" w:beforeAutospacing="0" w:after="0" w:afterAutospacing="0" w:line="520" w:lineRule="exact"/>
              <w:ind w:left="0" w:right="0" w:firstLine="482" w:firstLineChars="200"/>
              <w:rPr>
                <w:rFonts w:hint="default"/>
                <w:bCs/>
                <w:color w:val="000000"/>
                <w:sz w:val="24"/>
              </w:rPr>
            </w:pPr>
            <w:r>
              <w:rPr>
                <w:rFonts w:hint="default"/>
                <w:b/>
                <w:bCs/>
                <w:color w:val="000000"/>
                <w:sz w:val="24"/>
              </w:rPr>
              <w:t>固废：</w:t>
            </w:r>
            <w:r>
              <w:rPr>
                <w:rFonts w:hint="default"/>
                <w:bCs/>
                <w:color w:val="000000"/>
                <w:sz w:val="24"/>
              </w:rPr>
              <w:t>少量生活垃圾、废有机溶剂桶、废过滤棉、</w:t>
            </w:r>
            <w:r>
              <w:rPr>
                <w:rFonts w:hint="eastAsia"/>
                <w:bCs/>
                <w:color w:val="000000"/>
                <w:sz w:val="24"/>
              </w:rPr>
              <w:t>废滤芯、</w:t>
            </w:r>
            <w:r>
              <w:rPr>
                <w:rFonts w:hint="default"/>
                <w:bCs/>
                <w:color w:val="000000"/>
                <w:sz w:val="24"/>
              </w:rPr>
              <w:t>废活性炭。</w:t>
            </w:r>
          </w:p>
          <w:p>
            <w:pPr>
              <w:keepNext w:val="0"/>
              <w:keepLines w:val="0"/>
              <w:suppressLineNumbers w:val="0"/>
              <w:spacing w:before="0" w:beforeAutospacing="0" w:after="0" w:afterAutospacing="0" w:line="520" w:lineRule="exact"/>
              <w:ind w:left="0" w:right="0" w:firstLine="480" w:firstLineChars="200"/>
              <w:rPr>
                <w:rFonts w:hint="default"/>
                <w:bCs/>
                <w:color w:val="000000"/>
                <w:sz w:val="24"/>
              </w:rPr>
            </w:pPr>
            <w:r>
              <w:rPr>
                <w:rFonts w:hint="default"/>
                <w:bCs/>
                <w:color w:val="000000"/>
                <w:sz w:val="24"/>
              </w:rPr>
              <w:t xml:space="preserve">喷漆大厅通风系统按照喷漆、干燥的不同要求分别设计全新风直流通风系统和风循环系统。喷漆工况下，为控制喷漆室弥散和飞溅的喷雾，设计了上送下排的垂直气流组织，排风经过废气处理装置处理后达标排放。喷漆后，飞机在大厅静置晾干，静置晾干阶段采用和喷漆阶段相同通风方式，排风经过废气处理装置处理后达标排放。少量的补漆也在大厅内完成，人工持刷子蘸油漆后进行涂刷，废气产生量很小，可忽略不计，少量废气经过大厅的排风系统一并引至废气处理装置处理， </w:t>
            </w:r>
          </w:p>
          <w:p>
            <w:pPr>
              <w:keepNext w:val="0"/>
              <w:keepLines w:val="0"/>
              <w:suppressLineNumbers w:val="0"/>
              <w:spacing w:before="0" w:beforeAutospacing="0" w:after="0" w:afterAutospacing="0" w:line="520" w:lineRule="exact"/>
              <w:ind w:left="0" w:right="0" w:firstLine="480" w:firstLineChars="200"/>
              <w:rPr>
                <w:rFonts w:hint="default"/>
                <w:bCs/>
                <w:color w:val="000000"/>
                <w:sz w:val="24"/>
              </w:rPr>
            </w:pPr>
            <w:r>
              <w:rPr>
                <w:rFonts w:hint="default"/>
                <w:bCs/>
                <w:color w:val="000000"/>
                <w:sz w:val="24"/>
              </w:rPr>
              <w:t>飞机入库后，机库保持微负压封闭状态，直至整个喷漆周期完成。根据飞机喷漆机库设计规范（GB50671-2011）和厂家技术要求，飞机机库的温度、相对湿度应满足喷漆生产工艺的要求。</w:t>
            </w:r>
          </w:p>
          <w:p>
            <w:pPr>
              <w:pStyle w:val="2"/>
              <w:keepNext w:val="0"/>
              <w:keepLines w:val="0"/>
              <w:suppressLineNumbers w:val="0"/>
              <w:spacing w:before="0" w:beforeAutospacing="0" w:afterAutospacing="0"/>
              <w:ind w:right="0" w:firstLine="560"/>
              <w:rPr>
                <w:rFonts w:hint="default"/>
              </w:rPr>
            </w:pPr>
            <w:r>
              <w:rPr>
                <w:rFonts w:hint="eastAsia"/>
              </w:rPr>
              <w:t xml:space="preserve">         </w:t>
            </w:r>
            <w:r>
              <w:rPr>
                <w:rFonts w:hint="default"/>
              </w:rPr>
              <w:drawing>
                <wp:inline distT="0" distB="0" distL="0" distR="0">
                  <wp:extent cx="2529205" cy="27374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a:stretch>
                            <a:fillRect/>
                          </a:stretch>
                        </pic:blipFill>
                        <pic:spPr>
                          <a:xfrm>
                            <a:off x="0" y="0"/>
                            <a:ext cx="2557346" cy="2767520"/>
                          </a:xfrm>
                          <a:prstGeom prst="rect">
                            <a:avLst/>
                          </a:prstGeom>
                        </pic:spPr>
                      </pic:pic>
                    </a:graphicData>
                  </a:graphic>
                </wp:inline>
              </w:drawing>
            </w:r>
          </w:p>
          <w:p>
            <w:pPr>
              <w:keepNext w:val="0"/>
              <w:keepLines w:val="0"/>
              <w:suppressLineNumbers w:val="0"/>
              <w:adjustRightInd w:val="0"/>
              <w:snapToGrid w:val="0"/>
              <w:spacing w:before="156" w:beforeLines="50" w:beforeAutospacing="0" w:after="0" w:afterAutospacing="0" w:line="360" w:lineRule="auto"/>
              <w:ind w:left="0" w:right="0"/>
              <w:jc w:val="center"/>
              <w:rPr>
                <w:rFonts w:hint="default" w:eastAsia="黑体"/>
                <w:color w:val="000000" w:themeColor="text1"/>
                <w:sz w:val="24"/>
                <w:szCs w:val="24"/>
                <w14:textFill>
                  <w14:solidFill>
                    <w14:schemeClr w14:val="tx1"/>
                  </w14:solidFill>
                </w14:textFill>
              </w:rPr>
            </w:pPr>
            <w:r>
              <w:rPr>
                <w:rFonts w:hint="default" w:eastAsia="黑体"/>
                <w:color w:val="000000" w:themeColor="text1"/>
                <w:sz w:val="24"/>
                <w:szCs w:val="24"/>
                <w14:textFill>
                  <w14:solidFill>
                    <w14:schemeClr w14:val="tx1"/>
                  </w14:solidFill>
                </w14:textFill>
              </w:rPr>
              <w:t>图2   飞机维修工艺流程及产污环节图</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（1）工艺说明</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eastAsia" w:ascii="Times New Roman" w:hAnsi="Times New Roman"/>
                <w:szCs w:val="20"/>
              </w:rPr>
              <w:t>喷漆</w:t>
            </w:r>
            <w:r>
              <w:rPr>
                <w:rFonts w:hint="default" w:ascii="Times New Roman" w:hAnsi="Times New Roman"/>
                <w:szCs w:val="20"/>
              </w:rPr>
              <w:t>大厅主要进行整机维修，整机维修工艺流程包括以下步骤：</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t>维修：维修主要包括以下几种作业工段</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1</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机身主体维修：对机身或零部件结构等由于飞机飞行过程中空气摩擦等原因造成的变形、破损情况，进行修补修正；</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2</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机翼维修：对机翼使用过程中所产生的疲劳裂纹使用垫圈进行修复，提高疲劳强度；</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3</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起落架维修（着落系统）：对飞机着落系统进行检测，重点检查是否存在结构裂纹、损伤以及零部件磨损引起的缓冲性能、防摆性能、操纵性能下降等故障。对于无严重创伤的零部件进行打磨的方法处理损伤，对于需要更换的零部件进行更换；</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4</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飞机控制系统维修：对飞控系统进行检查、维修，重点检测控制与现实装置、传感器、飞控计算机、作动器、自测试装置、信息传输链及接口装置等；保证设备运转正常，更换失灵导线及设备；</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5</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传动系统维修：对飞机液压传动进行检验维修，重点检验垫片、扭力管是否失效，对其及时更换；</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6</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发动机部装、APU维修：对发动机进行检查维修，本项目对发动机的维修只能更换简单配件。对于发动机内部核心故障，需将其送至专业发电机维修单位检修；</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7</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机载电子、电气系统维修：对于飞机上安装的导航系统、信息收集系统、照明灯电子设备发生故障，将其拆除后交由电子车间进行修理，主要作业内容包括电脑程序的修正、线路排故等，没有机械加工作业；</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8</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线路维修：对飞机电气系统的线路进行检测，更换由于线路老化或绝缘层磨损二产生的故障；</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fldChar w:fldCharType="begin"/>
            </w:r>
            <w:r>
              <w:rPr>
                <w:rFonts w:hint="default" w:ascii="Times New Roman" w:hAnsi="Times New Roman"/>
                <w:szCs w:val="20"/>
              </w:rPr>
              <w:instrText xml:space="preserve"> eq \o\ac(○,</w:instrText>
            </w:r>
            <w:r>
              <w:rPr>
                <w:rFonts w:hint="default" w:ascii="Times New Roman" w:hAnsi="Times New Roman"/>
                <w:position w:val="3"/>
                <w:sz w:val="16"/>
                <w:szCs w:val="20"/>
              </w:rPr>
              <w:instrText xml:space="preserve">9</w:instrText>
            </w:r>
            <w:r>
              <w:rPr>
                <w:rFonts w:hint="default" w:ascii="Times New Roman" w:hAnsi="Times New Roman"/>
                <w:szCs w:val="20"/>
              </w:rPr>
              <w:instrText xml:space="preserve">)</w:instrText>
            </w:r>
            <w:r>
              <w:rPr>
                <w:rFonts w:hint="default" w:ascii="Times New Roman" w:hAnsi="Times New Roman"/>
                <w:szCs w:val="20"/>
              </w:rPr>
              <w:fldChar w:fldCharType="end"/>
            </w:r>
            <w:r>
              <w:rPr>
                <w:rFonts w:hint="default" w:ascii="Times New Roman" w:hAnsi="Times New Roman"/>
                <w:szCs w:val="20"/>
              </w:rPr>
              <w:t>舱内设施维修（装饰、座椅、灯光、防冰、氧气、救生、货物系统、机窗、机门）：对于飞机机舱内饰，包括座椅、卫生间、配餐间等出现的故障进行维修，</w:t>
            </w: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szCs w:val="20"/>
              </w:rPr>
            </w:pPr>
            <w:r>
              <w:rPr>
                <w:rFonts w:hint="default" w:ascii="Times New Roman" w:hAnsi="Times New Roman"/>
                <w:szCs w:val="20"/>
              </w:rPr>
              <w:t>主要是对其安装的各类按键、管线进行检查，进行简单的换件处理。</w:t>
            </w: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szCs w:val="20"/>
              </w:rPr>
            </w:pPr>
            <w:r>
              <w:rPr>
                <w:rFonts w:hint="eastAsia" w:ascii="Times New Roman" w:hAnsi="Times New Roman"/>
                <w:szCs w:val="20"/>
              </w:rPr>
              <w:t xml:space="preserve">    </w:t>
            </w:r>
            <w:r>
              <w:rPr>
                <w:rFonts w:hint="default" w:ascii="Times New Roman" w:hAnsi="Times New Roman"/>
                <w:szCs w:val="20"/>
              </w:rPr>
              <w:t>试机：以上工作全部完成后，飞机由牵引车拖至咸阳国际机场机坪，开启发电机，仪表测试飞机各项参数是否正常。项目试机不在此次评价范围内，本项目不对</w:t>
            </w: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szCs w:val="20"/>
              </w:rPr>
            </w:pPr>
            <w:r>
              <w:rPr>
                <w:rFonts w:hint="default" w:ascii="Times New Roman" w:hAnsi="Times New Roman"/>
                <w:szCs w:val="20"/>
              </w:rPr>
              <w:t>发动机进行修理，不进行发动机测试，因此不产生试机噪声。</w:t>
            </w:r>
          </w:p>
          <w:p>
            <w:pPr>
              <w:pStyle w:val="34"/>
              <w:keepNext w:val="0"/>
              <w:keepLines w:val="0"/>
              <w:suppressLineNumbers w:val="0"/>
              <w:adjustRightInd w:val="0"/>
              <w:snapToGrid w:val="0"/>
              <w:spacing w:before="0" w:beforeAutospacing="0" w:after="0" w:afterAutospacing="0" w:line="520" w:lineRule="exact"/>
              <w:ind w:left="0" w:right="0" w:firstLine="482"/>
              <w:rPr>
                <w:rFonts w:hint="default" w:ascii="Times New Roman" w:hAnsi="Times New Roman"/>
                <w:szCs w:val="20"/>
              </w:rPr>
            </w:pPr>
            <w:r>
              <w:rPr>
                <w:rFonts w:hint="default" w:ascii="Times New Roman" w:hAnsi="Times New Roman"/>
                <w:szCs w:val="20"/>
              </w:rPr>
              <w:t>客户接收：对于试机完成，各项参数均符合要求的送检飞机，由委托检修的航空公司进行接收。</w:t>
            </w:r>
          </w:p>
          <w:p>
            <w:pPr>
              <w:pStyle w:val="3"/>
              <w:keepNext w:val="0"/>
              <w:keepLines w:val="0"/>
              <w:suppressLineNumbers w:val="0"/>
              <w:spacing w:before="0" w:beforeAutospacing="0" w:after="0" w:afterAutospacing="0" w:line="520" w:lineRule="exact"/>
              <w:ind w:left="0" w:leftChars="0" w:right="0" w:firstLine="482" w:firstLineChars="200"/>
              <w:rPr>
                <w:rFonts w:hint="default" w:ascii="Times New Roman" w:hAnsi="Times New Roman"/>
                <w:sz w:val="24"/>
                <w:szCs w:val="20"/>
              </w:rPr>
            </w:pPr>
            <w:r>
              <w:rPr>
                <w:rFonts w:hint="default" w:ascii="Times New Roman" w:hAnsi="Times New Roman"/>
                <w:b/>
                <w:bCs/>
                <w:sz w:val="24"/>
              </w:rPr>
              <w:t>（2）产污环节分析：</w:t>
            </w:r>
          </w:p>
          <w:p>
            <w:pPr>
              <w:keepNext w:val="0"/>
              <w:keepLines w:val="0"/>
              <w:suppressLineNumbers w:val="0"/>
              <w:spacing w:before="0" w:beforeAutospacing="0" w:after="0" w:afterAutospacing="0" w:line="520" w:lineRule="exact"/>
              <w:ind w:left="0" w:right="0" w:firstLine="482" w:firstLineChars="200"/>
              <w:rPr>
                <w:rFonts w:hint="default"/>
                <w:bCs/>
                <w:sz w:val="24"/>
              </w:rPr>
            </w:pPr>
            <w:r>
              <w:rPr>
                <w:rFonts w:hint="default"/>
                <w:b/>
                <w:bCs/>
                <w:sz w:val="24"/>
              </w:rPr>
              <w:t>噪声：</w:t>
            </w:r>
            <w:r>
              <w:rPr>
                <w:rFonts w:hint="default"/>
                <w:bCs/>
                <w:sz w:val="24"/>
              </w:rPr>
              <w:t>维修设备运行会产生噪声；</w:t>
            </w:r>
          </w:p>
          <w:p>
            <w:pPr>
              <w:keepNext w:val="0"/>
              <w:keepLines w:val="0"/>
              <w:suppressLineNumbers w:val="0"/>
              <w:spacing w:before="0" w:beforeAutospacing="0" w:after="0" w:afterAutospacing="0" w:line="520" w:lineRule="exact"/>
              <w:ind w:left="0" w:right="0" w:firstLine="482" w:firstLineChars="200"/>
              <w:rPr>
                <w:rFonts w:hint="default"/>
                <w:bCs/>
                <w:color w:val="000000"/>
                <w:sz w:val="24"/>
              </w:rPr>
            </w:pPr>
            <w:r>
              <w:rPr>
                <w:rFonts w:hint="default"/>
                <w:b/>
                <w:bCs/>
                <w:color w:val="000000"/>
                <w:sz w:val="24"/>
              </w:rPr>
              <w:t>固废：</w:t>
            </w:r>
            <w:r>
              <w:rPr>
                <w:rFonts w:hint="default"/>
                <w:bCs/>
                <w:color w:val="000000"/>
                <w:sz w:val="24"/>
              </w:rPr>
              <w:t>系统维修时的废机油、废抹布和手套等。</w:t>
            </w: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default" w:ascii="Times New Roman" w:hAnsi="Times New Roman"/>
                <w:bCs/>
              </w:rPr>
            </w:pPr>
          </w:p>
          <w:p>
            <w:pPr>
              <w:pStyle w:val="34"/>
              <w:keepNext w:val="0"/>
              <w:keepLines w:val="0"/>
              <w:suppressLineNumbers w:val="0"/>
              <w:adjustRightInd w:val="0"/>
              <w:snapToGrid w:val="0"/>
              <w:spacing w:before="0" w:beforeAutospacing="0" w:after="0" w:afterAutospacing="0" w:line="520" w:lineRule="exact"/>
              <w:ind w:left="0" w:right="0"/>
              <w:rPr>
                <w:rFonts w:hint="eastAsia" w:ascii="Times New Roman" w:hAnsi="Times New Roman"/>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3" w:hRule="atLeast"/>
          <w:jc w:val="center"/>
        </w:trPr>
        <w:tc>
          <w:tcPr>
            <w:tcW w:w="9000" w:type="dxa"/>
          </w:tcPr>
          <w:p>
            <w:pPr>
              <w:pStyle w:val="9"/>
              <w:keepNext w:val="0"/>
              <w:keepLines w:val="0"/>
              <w:suppressLineNumbers w:val="0"/>
              <w:adjustRightInd w:val="0"/>
              <w:snapToGrid w:val="0"/>
              <w:spacing w:before="0" w:beforeAutospacing="0" w:after="0" w:afterAutospacing="0" w:line="520" w:lineRule="exact"/>
              <w:ind w:left="0" w:right="0"/>
              <w:rPr>
                <w:rFonts w:hint="default"/>
                <w:b/>
                <w:szCs w:val="28"/>
              </w:rPr>
            </w:pPr>
            <w:r>
              <w:rPr>
                <w:rFonts w:hint="default"/>
                <w:b/>
                <w:szCs w:val="28"/>
              </w:rPr>
              <w:t>主要污染工序</w:t>
            </w:r>
          </w:p>
          <w:p>
            <w:pPr>
              <w:keepNext w:val="0"/>
              <w:keepLines w:val="0"/>
              <w:suppressLineNumbers w:val="0"/>
              <w:spacing w:before="0" w:beforeAutospacing="0" w:after="0" w:afterAutospacing="0" w:line="520" w:lineRule="exact"/>
              <w:ind w:left="0" w:right="0" w:firstLine="470"/>
              <w:rPr>
                <w:rFonts w:hint="default"/>
                <w:b/>
                <w:sz w:val="24"/>
              </w:rPr>
            </w:pPr>
            <w:r>
              <w:rPr>
                <w:rFonts w:hint="default"/>
                <w:b/>
                <w:sz w:val="24"/>
              </w:rPr>
              <w:t>一、施工期</w:t>
            </w:r>
          </w:p>
          <w:p>
            <w:pPr>
              <w:keepNext w:val="0"/>
              <w:keepLines w:val="0"/>
              <w:suppressLineNumbers w:val="0"/>
              <w:spacing w:before="50" w:beforeAutospacing="0" w:after="0" w:afterAutospacing="0" w:line="520" w:lineRule="exact"/>
              <w:ind w:left="0" w:right="0" w:firstLine="480"/>
              <w:rPr>
                <w:rFonts w:hint="default"/>
                <w:bCs/>
                <w:sz w:val="24"/>
                <w:szCs w:val="24"/>
              </w:rPr>
            </w:pPr>
            <w:r>
              <w:rPr>
                <w:rFonts w:hint="default"/>
                <w:bCs/>
                <w:sz w:val="24"/>
                <w:szCs w:val="24"/>
              </w:rPr>
              <w:t>本项目为改建项目，施工期主要内容是设备及配套设施的安装与调试。施工期约</w:t>
            </w:r>
            <w:r>
              <w:rPr>
                <w:rFonts w:hint="eastAsia"/>
                <w:bCs/>
                <w:sz w:val="24"/>
                <w:szCs w:val="24"/>
              </w:rPr>
              <w:t>2</w:t>
            </w:r>
            <w:r>
              <w:rPr>
                <w:rFonts w:hint="default"/>
                <w:bCs/>
                <w:sz w:val="24"/>
                <w:szCs w:val="24"/>
              </w:rPr>
              <w:t>个月，施工期对环境的影响主要有废水、噪声、固体废物等。</w:t>
            </w:r>
          </w:p>
          <w:p>
            <w:pPr>
              <w:keepNext w:val="0"/>
              <w:keepLines w:val="0"/>
              <w:numPr>
                <w:ilvl w:val="0"/>
                <w:numId w:val="2"/>
              </w:numPr>
              <w:suppressLineNumbers w:val="0"/>
              <w:spacing w:before="50" w:beforeAutospacing="0" w:after="0" w:afterAutospacing="0" w:line="520" w:lineRule="exact"/>
              <w:ind w:left="0" w:right="0" w:firstLine="480" w:firstLineChars="200"/>
              <w:rPr>
                <w:rFonts w:hint="default"/>
                <w:bCs/>
                <w:sz w:val="24"/>
                <w:szCs w:val="24"/>
              </w:rPr>
            </w:pPr>
            <w:r>
              <w:rPr>
                <w:rFonts w:hint="default"/>
                <w:bCs/>
                <w:sz w:val="24"/>
                <w:szCs w:val="24"/>
              </w:rPr>
              <w:t>废水</w:t>
            </w:r>
          </w:p>
          <w:p>
            <w:pPr>
              <w:keepNext w:val="0"/>
              <w:keepLines w:val="0"/>
              <w:suppressLineNumbers w:val="0"/>
              <w:spacing w:before="50" w:beforeAutospacing="0" w:after="0" w:afterAutospacing="0" w:line="520" w:lineRule="exact"/>
              <w:ind w:left="0" w:right="0" w:firstLine="480" w:firstLineChars="200"/>
              <w:rPr>
                <w:rFonts w:hint="default"/>
                <w:bCs/>
                <w:sz w:val="24"/>
                <w:szCs w:val="24"/>
              </w:rPr>
            </w:pPr>
            <w:r>
              <w:rPr>
                <w:rFonts w:hint="default"/>
                <w:bCs/>
                <w:sz w:val="24"/>
                <w:szCs w:val="24"/>
              </w:rPr>
              <w:t>本项目施工期间主要废水为施工人员生活污水。项目施工期</w:t>
            </w:r>
            <w:r>
              <w:rPr>
                <w:rFonts w:hint="eastAsia"/>
                <w:bCs/>
                <w:sz w:val="24"/>
                <w:szCs w:val="24"/>
              </w:rPr>
              <w:t>2</w:t>
            </w:r>
            <w:r>
              <w:rPr>
                <w:rFonts w:hint="default"/>
                <w:bCs/>
                <w:sz w:val="24"/>
                <w:szCs w:val="24"/>
              </w:rPr>
              <w:t>个月，施工高峰期施工人数为10人，施工人员均为周边村民，不提供食宿。施工期人员如厕依托基地化粪池，用水量按25L/（人•d）计算，则施工期用水量为0.25m</w:t>
            </w:r>
            <w:r>
              <w:rPr>
                <w:rFonts w:hint="default"/>
                <w:bCs/>
                <w:sz w:val="24"/>
                <w:szCs w:val="24"/>
                <w:vertAlign w:val="superscript"/>
              </w:rPr>
              <w:t>3</w:t>
            </w:r>
            <w:r>
              <w:rPr>
                <w:rFonts w:hint="default"/>
                <w:bCs/>
                <w:sz w:val="24"/>
                <w:szCs w:val="24"/>
              </w:rPr>
              <w:t>/d，施工期总用水量为</w:t>
            </w:r>
            <w:r>
              <w:rPr>
                <w:rFonts w:hint="eastAsia"/>
                <w:bCs/>
                <w:sz w:val="24"/>
                <w:szCs w:val="24"/>
              </w:rPr>
              <w:t>15</w:t>
            </w:r>
            <w:r>
              <w:rPr>
                <w:rFonts w:hint="default"/>
                <w:bCs/>
                <w:sz w:val="24"/>
                <w:szCs w:val="24"/>
              </w:rPr>
              <w:t>m</w:t>
            </w:r>
            <w:r>
              <w:rPr>
                <w:rFonts w:hint="default"/>
                <w:bCs/>
                <w:sz w:val="24"/>
                <w:szCs w:val="24"/>
                <w:vertAlign w:val="superscript"/>
              </w:rPr>
              <w:t>3</w:t>
            </w:r>
            <w:r>
              <w:rPr>
                <w:rFonts w:hint="default"/>
                <w:bCs/>
                <w:sz w:val="24"/>
                <w:szCs w:val="24"/>
              </w:rPr>
              <w:t>，排放率以0.8计，污水排放量为</w:t>
            </w:r>
            <w:r>
              <w:rPr>
                <w:rFonts w:hint="eastAsia"/>
                <w:bCs/>
                <w:sz w:val="24"/>
                <w:szCs w:val="24"/>
              </w:rPr>
              <w:t>12</w:t>
            </w:r>
            <w:r>
              <w:rPr>
                <w:rFonts w:hint="default"/>
                <w:bCs/>
                <w:sz w:val="24"/>
                <w:szCs w:val="24"/>
              </w:rPr>
              <w:t>m</w:t>
            </w:r>
            <w:r>
              <w:rPr>
                <w:rFonts w:hint="default"/>
                <w:bCs/>
                <w:sz w:val="24"/>
                <w:szCs w:val="24"/>
                <w:vertAlign w:val="superscript"/>
              </w:rPr>
              <w:t>3</w:t>
            </w:r>
            <w:r>
              <w:rPr>
                <w:rFonts w:hint="default"/>
                <w:bCs/>
                <w:sz w:val="24"/>
                <w:szCs w:val="24"/>
              </w:rPr>
              <w:t>，主要污染物为COD、BOD</w:t>
            </w:r>
            <w:r>
              <w:rPr>
                <w:rFonts w:hint="default"/>
                <w:bCs/>
                <w:sz w:val="24"/>
                <w:szCs w:val="24"/>
                <w:vertAlign w:val="subscript"/>
              </w:rPr>
              <w:t>5</w:t>
            </w:r>
            <w:r>
              <w:rPr>
                <w:rFonts w:hint="default"/>
                <w:bCs/>
                <w:sz w:val="24"/>
                <w:szCs w:val="24"/>
              </w:rPr>
              <w:t>、NH</w:t>
            </w:r>
            <w:r>
              <w:rPr>
                <w:rFonts w:hint="default"/>
                <w:bCs/>
                <w:sz w:val="24"/>
                <w:szCs w:val="24"/>
                <w:vertAlign w:val="subscript"/>
              </w:rPr>
              <w:t>3</w:t>
            </w:r>
            <w:r>
              <w:rPr>
                <w:rFonts w:hint="default"/>
                <w:bCs/>
                <w:sz w:val="24"/>
                <w:szCs w:val="24"/>
              </w:rPr>
              <w:t>-N、SS、TN和TP等。生活废水依托维修基地现有化粪池处理后</w:t>
            </w:r>
            <w:r>
              <w:rPr>
                <w:rFonts w:hint="default"/>
                <w:bCs/>
                <w:sz w:val="24"/>
              </w:rPr>
              <w:t>通过管网排入机场污水处理厂集中处理后达标排放。</w:t>
            </w:r>
          </w:p>
          <w:p>
            <w:pPr>
              <w:keepNext w:val="0"/>
              <w:keepLines w:val="0"/>
              <w:suppressLineNumbers w:val="0"/>
              <w:spacing w:before="50" w:beforeAutospacing="0" w:after="0" w:afterAutospacing="0" w:line="520" w:lineRule="exact"/>
              <w:ind w:left="0" w:right="0" w:firstLine="480" w:firstLineChars="200"/>
              <w:rPr>
                <w:rFonts w:hint="default"/>
                <w:bCs/>
                <w:sz w:val="24"/>
                <w:szCs w:val="24"/>
              </w:rPr>
            </w:pPr>
            <w:r>
              <w:rPr>
                <w:rFonts w:hint="default"/>
                <w:bCs/>
                <w:sz w:val="24"/>
                <w:szCs w:val="24"/>
              </w:rPr>
              <w:t>（2）噪声</w:t>
            </w:r>
          </w:p>
          <w:p>
            <w:pPr>
              <w:keepNext w:val="0"/>
              <w:keepLines w:val="0"/>
              <w:suppressLineNumbers w:val="0"/>
              <w:spacing w:before="50" w:beforeAutospacing="0" w:after="0" w:afterAutospacing="0" w:line="520" w:lineRule="exact"/>
              <w:ind w:left="0" w:right="0" w:firstLine="480" w:firstLineChars="200"/>
              <w:rPr>
                <w:rFonts w:hint="default"/>
                <w:bCs/>
                <w:sz w:val="24"/>
                <w:szCs w:val="24"/>
              </w:rPr>
            </w:pPr>
            <w:r>
              <w:rPr>
                <w:rFonts w:hint="default"/>
                <w:bCs/>
                <w:sz w:val="24"/>
                <w:szCs w:val="24"/>
              </w:rPr>
              <w:t>项目施工期噪声主要为设备安装噪声，源强为85-95dB（A）</w:t>
            </w:r>
            <w:r>
              <w:rPr>
                <w:rFonts w:hint="default"/>
                <w:sz w:val="24"/>
                <w:szCs w:val="24"/>
              </w:rPr>
              <w:t>。</w:t>
            </w:r>
          </w:p>
          <w:p>
            <w:pPr>
              <w:keepNext w:val="0"/>
              <w:keepLines w:val="0"/>
              <w:suppressLineNumbers w:val="0"/>
              <w:spacing w:before="50" w:beforeAutospacing="0" w:after="0" w:afterAutospacing="0" w:line="520" w:lineRule="exact"/>
              <w:ind w:left="0" w:right="0"/>
              <w:rPr>
                <w:rFonts w:hint="default"/>
                <w:bCs/>
                <w:sz w:val="24"/>
                <w:szCs w:val="24"/>
              </w:rPr>
            </w:pPr>
            <w:r>
              <w:rPr>
                <w:rFonts w:hint="default"/>
                <w:bCs/>
                <w:sz w:val="24"/>
                <w:szCs w:val="24"/>
              </w:rPr>
              <w:t xml:space="preserve">    （3）固体废物</w:t>
            </w:r>
          </w:p>
          <w:p>
            <w:pPr>
              <w:keepNext w:val="0"/>
              <w:keepLines w:val="0"/>
              <w:suppressLineNumbers w:val="0"/>
              <w:spacing w:before="50" w:beforeAutospacing="0" w:after="0" w:afterAutospacing="0" w:line="520" w:lineRule="exact"/>
              <w:ind w:left="0" w:right="0" w:firstLine="480"/>
              <w:rPr>
                <w:rFonts w:hint="default"/>
                <w:bCs/>
                <w:sz w:val="24"/>
                <w:szCs w:val="24"/>
              </w:rPr>
            </w:pPr>
            <w:r>
              <w:rPr>
                <w:rFonts w:hint="default"/>
                <w:bCs/>
                <w:sz w:val="24"/>
                <w:szCs w:val="24"/>
              </w:rPr>
              <w:t>施工期产生的固体废物主要包括废弃包装垃圾和生活垃圾。本项目施工期产生的废弃包装垃圾分类收集后外售。根据《环境统计手册》提供的系数，施工期施工人员每人每天平均产生0.3kg垃圾，施工期为</w:t>
            </w:r>
            <w:r>
              <w:rPr>
                <w:rFonts w:hint="eastAsia"/>
                <w:bCs/>
                <w:sz w:val="24"/>
                <w:szCs w:val="24"/>
              </w:rPr>
              <w:t>2</w:t>
            </w:r>
            <w:r>
              <w:rPr>
                <w:rFonts w:hint="default"/>
                <w:bCs/>
                <w:sz w:val="24"/>
                <w:szCs w:val="24"/>
              </w:rPr>
              <w:t>个月，高峰期共有10名施工人员，施工期生活垃圾产生量约0.</w:t>
            </w:r>
            <w:r>
              <w:rPr>
                <w:rFonts w:hint="eastAsia"/>
                <w:bCs/>
                <w:sz w:val="24"/>
                <w:szCs w:val="24"/>
              </w:rPr>
              <w:t>18</w:t>
            </w:r>
            <w:r>
              <w:rPr>
                <w:rFonts w:hint="default"/>
                <w:bCs/>
                <w:sz w:val="24"/>
                <w:szCs w:val="24"/>
              </w:rPr>
              <w:t>t，施工人员生活垃圾运至维修基地生活垃圾暂存区，交由环卫部门统一处理。</w:t>
            </w:r>
          </w:p>
          <w:p>
            <w:pPr>
              <w:keepNext w:val="0"/>
              <w:keepLines w:val="0"/>
              <w:suppressLineNumbers w:val="0"/>
              <w:spacing w:before="0" w:beforeAutospacing="0" w:after="0" w:afterAutospacing="0" w:line="520" w:lineRule="exact"/>
              <w:ind w:left="0" w:right="0" w:firstLine="472" w:firstLineChars="196"/>
              <w:rPr>
                <w:rFonts w:hint="default"/>
                <w:b/>
                <w:sz w:val="24"/>
              </w:rPr>
            </w:pPr>
            <w:r>
              <w:rPr>
                <w:rFonts w:hint="default"/>
                <w:b/>
                <w:sz w:val="24"/>
              </w:rPr>
              <w:t>二、营运期</w:t>
            </w:r>
          </w:p>
          <w:p>
            <w:pPr>
              <w:pStyle w:val="3"/>
              <w:keepNext w:val="0"/>
              <w:keepLines w:val="0"/>
              <w:suppressLineNumbers w:val="0"/>
              <w:spacing w:before="0" w:beforeAutospacing="0" w:after="0" w:afterAutospacing="0" w:line="520" w:lineRule="exact"/>
              <w:ind w:left="0" w:leftChars="0" w:right="0" w:firstLine="482" w:firstLineChars="200"/>
              <w:jc w:val="left"/>
              <w:rPr>
                <w:rFonts w:hint="default" w:ascii="Times New Roman" w:hAnsi="Times New Roman"/>
                <w:b/>
                <w:sz w:val="24"/>
                <w:szCs w:val="20"/>
              </w:rPr>
            </w:pPr>
            <w:r>
              <w:rPr>
                <w:rFonts w:hint="default" w:ascii="Times New Roman" w:hAnsi="Times New Roman"/>
                <w:b/>
                <w:sz w:val="24"/>
                <w:szCs w:val="20"/>
              </w:rPr>
              <w:t>1、废气</w:t>
            </w:r>
          </w:p>
          <w:p>
            <w:pPr>
              <w:keepNext w:val="0"/>
              <w:keepLines w:val="0"/>
              <w:suppressLineNumbers w:val="0"/>
              <w:autoSpaceDE w:val="0"/>
              <w:autoSpaceDN w:val="0"/>
              <w:adjustRightInd w:val="0"/>
              <w:snapToGrid w:val="0"/>
              <w:spacing w:before="0" w:beforeAutospacing="0" w:after="0" w:afterAutospacing="0" w:line="56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本项目废气主要为打磨粉尘和喷漆产生的废气（喷漆及晾干废气）。项目</w:t>
            </w:r>
            <w:r>
              <w:rPr>
                <w:rFonts w:hint="eastAsia"/>
                <w:bCs/>
                <w:color w:val="000000" w:themeColor="text1"/>
                <w:sz w:val="24"/>
                <w14:textFill>
                  <w14:solidFill>
                    <w14:schemeClr w14:val="tx1"/>
                  </w14:solidFill>
                </w14:textFill>
              </w:rPr>
              <w:t>喷漆大厅设置热交换系统</w:t>
            </w:r>
            <w:r>
              <w:rPr>
                <w:rFonts w:hint="default"/>
                <w:bCs/>
                <w:color w:val="000000" w:themeColor="text1"/>
                <w:sz w:val="24"/>
                <w14:textFill>
                  <w14:solidFill>
                    <w14:schemeClr w14:val="tx1"/>
                  </w14:solidFill>
                </w14:textFill>
              </w:rPr>
              <w:t>（3套）</w:t>
            </w:r>
            <w:r>
              <w:rPr>
                <w:rFonts w:hint="eastAsia"/>
                <w:bCs/>
                <w:color w:val="000000" w:themeColor="text1"/>
                <w:sz w:val="24"/>
                <w14:textFill>
                  <w14:solidFill>
                    <w14:schemeClr w14:val="tx1"/>
                  </w14:solidFill>
                </w14:textFill>
              </w:rPr>
              <w:t>和送排风系统</w:t>
            </w:r>
            <w:r>
              <w:rPr>
                <w:rFonts w:hint="default"/>
                <w:bCs/>
                <w:color w:val="000000" w:themeColor="text1"/>
                <w:sz w:val="24"/>
                <w14:textFill>
                  <w14:solidFill>
                    <w14:schemeClr w14:val="tx1"/>
                  </w14:solidFill>
                </w14:textFill>
              </w:rPr>
              <w:t>（3套）</w:t>
            </w:r>
            <w:r>
              <w:rPr>
                <w:rFonts w:hint="eastAsia"/>
                <w:bCs/>
                <w:color w:val="000000" w:themeColor="text1"/>
                <w:sz w:val="24"/>
                <w14:textFill>
                  <w14:solidFill>
                    <w14:schemeClr w14:val="tx1"/>
                  </w14:solidFill>
                </w14:textFill>
              </w:rPr>
              <w:t>，热交换空气处理机组配置送排双风机，每台风机风量为4000m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/h，将新鲜的室外空气送入室内，同时排出室内污浊的空气，冬季</w:t>
            </w:r>
            <w:r>
              <w:rPr>
                <w:rFonts w:hint="default"/>
                <w:bCs/>
                <w:color w:val="000000" w:themeColor="text1"/>
                <w:sz w:val="24"/>
                <w14:textFill>
                  <w14:solidFill>
                    <w14:schemeClr w14:val="tx1"/>
                  </w14:solidFill>
                </w14:textFill>
              </w:rPr>
              <w:t>供热时，由于热空气上浮，上部温度大于底部温度，送风从顶部下送，有利于把热空气下压下</w:t>
            </w:r>
            <w:r>
              <w:rPr>
                <w:rFonts w:hint="eastAsia"/>
                <w:bCs/>
                <w:color w:val="000000" w:themeColor="text1"/>
                <w:sz w:val="24"/>
                <w14:textFill>
                  <w14:solidFill>
                    <w14:schemeClr w14:val="tx1"/>
                  </w14:solidFill>
                </w14:textFill>
              </w:rPr>
              <w:t>，底部排风</w:t>
            </w:r>
            <w:r>
              <w:rPr>
                <w:rFonts w:hint="default"/>
                <w:bCs/>
                <w:color w:val="000000" w:themeColor="text1"/>
                <w:sz w:val="24"/>
                <w14:textFill>
                  <w14:solidFill>
                    <w14:schemeClr w14:val="tx1"/>
                  </w14:solidFill>
                </w14:textFill>
              </w:rPr>
              <w:t>；送排风系统</w:t>
            </w:r>
            <w:r>
              <w:rPr>
                <w:rFonts w:hint="eastAsia"/>
                <w:bCs/>
                <w:color w:val="000000" w:themeColor="text1"/>
                <w:sz w:val="24"/>
                <w14:textFill>
                  <w14:solidFill>
                    <w14:schemeClr w14:val="tx1"/>
                  </w14:solidFill>
                </w14:textFill>
              </w:rPr>
              <w:t>配置离心送排风风机，每台风机风量为4000</w:t>
            </w:r>
            <w:r>
              <w:rPr>
                <w:rFonts w:hint="default"/>
                <w:bCs/>
                <w:color w:val="000000" w:themeColor="text1"/>
                <w:sz w:val="24"/>
                <w14:textFill>
                  <w14:solidFill>
                    <w14:schemeClr w14:val="tx1"/>
                  </w14:solidFill>
                </w14:textFill>
              </w:rPr>
              <w:t>0</w:t>
            </w:r>
            <w:r>
              <w:rPr>
                <w:rFonts w:hint="eastAsia"/>
                <w:bCs/>
                <w:color w:val="000000" w:themeColor="text1"/>
                <w:sz w:val="24"/>
                <w14:textFill>
                  <w14:solidFill>
                    <w14:schemeClr w14:val="tx1"/>
                  </w14:solidFill>
                </w14:textFill>
              </w:rPr>
              <w:t>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/h，</w:t>
            </w:r>
            <w:r>
              <w:rPr>
                <w:rFonts w:hint="default"/>
                <w:bCs/>
                <w:color w:val="000000" w:themeColor="text1"/>
                <w:sz w:val="24"/>
                <w14:textFill>
                  <w14:solidFill>
                    <w14:schemeClr w14:val="tx1"/>
                  </w14:solidFill>
                </w14:textFill>
              </w:rPr>
              <w:t>顶部</w:t>
            </w:r>
            <w:r>
              <w:rPr>
                <w:rFonts w:hint="eastAsia"/>
                <w:bCs/>
                <w:color w:val="000000" w:themeColor="text1"/>
                <w:sz w:val="24"/>
                <w14:textFill>
                  <w14:solidFill>
                    <w14:schemeClr w14:val="tx1"/>
                  </w14:solidFill>
                </w14:textFill>
              </w:rPr>
              <w:t>利用纤维织物风管系统进行</w:t>
            </w:r>
            <w:r>
              <w:rPr>
                <w:rFonts w:hint="default"/>
                <w:bCs/>
                <w:color w:val="000000" w:themeColor="text1"/>
                <w:sz w:val="24"/>
                <w14:textFill>
                  <w14:solidFill>
                    <w14:schemeClr w14:val="tx1"/>
                  </w14:solidFill>
                </w14:textFill>
              </w:rPr>
              <w:t>送风</w:t>
            </w:r>
            <w:r>
              <w:rPr>
                <w:rFonts w:hint="eastAsia"/>
                <w:bCs/>
                <w:color w:val="000000" w:themeColor="text1"/>
                <w:sz w:val="24"/>
                <w14:textFill>
                  <w14:solidFill>
                    <w14:schemeClr w14:val="tx1"/>
                  </w14:solidFill>
                </w14:textFill>
              </w:rPr>
              <w:t>，</w:t>
            </w:r>
            <w:r>
              <w:rPr>
                <w:rFonts w:hint="default"/>
                <w:bCs/>
                <w:color w:val="000000" w:themeColor="text1"/>
                <w:sz w:val="24"/>
                <w14:textFill>
                  <w14:solidFill>
                    <w14:schemeClr w14:val="tx1"/>
                  </w14:solidFill>
                </w14:textFill>
              </w:rPr>
              <w:t>下侧</w:t>
            </w:r>
            <w:r>
              <w:rPr>
                <w:rFonts w:hint="eastAsia"/>
                <w:bCs/>
                <w:color w:val="000000" w:themeColor="text1"/>
                <w:sz w:val="24"/>
                <w14:textFill>
                  <w14:solidFill>
                    <w14:schemeClr w14:val="tx1"/>
                  </w14:solidFill>
                </w14:textFill>
              </w:rPr>
              <w:t>两侧排风，</w:t>
            </w:r>
            <w:r>
              <w:rPr>
                <w:rFonts w:hint="default"/>
                <w:bCs/>
                <w:color w:val="000000" w:themeColor="text1"/>
                <w:sz w:val="24"/>
                <w14:textFill>
                  <w14:solidFill>
                    <w14:schemeClr w14:val="tx1"/>
                  </w14:solidFill>
                </w14:textFill>
              </w:rPr>
              <w:t>送排风无死角。喷漆大厅</w:t>
            </w:r>
            <w:r>
              <w:rPr>
                <w:rFonts w:hint="eastAsia"/>
                <w:bCs/>
                <w:color w:val="000000" w:themeColor="text1"/>
                <w:sz w:val="24"/>
                <w14:textFill>
                  <w14:solidFill>
                    <w14:schemeClr w14:val="tx1"/>
                  </w14:solidFill>
                </w14:textFill>
              </w:rPr>
              <w:t>底部</w:t>
            </w:r>
            <w:r>
              <w:rPr>
                <w:rFonts w:hint="default"/>
                <w:bCs/>
                <w:color w:val="000000" w:themeColor="text1"/>
                <w:sz w:val="24"/>
                <w14:textFill>
                  <w14:solidFill>
                    <w14:schemeClr w14:val="tx1"/>
                  </w14:solidFill>
                </w14:textFill>
              </w:rPr>
              <w:t>排风设置</w:t>
            </w:r>
            <w:r>
              <w:rPr>
                <w:rFonts w:hint="eastAsia"/>
                <w:bCs/>
                <w:color w:val="000000" w:themeColor="text1"/>
                <w:sz w:val="24"/>
                <w14:textFill>
                  <w14:solidFill>
                    <w14:schemeClr w14:val="tx1"/>
                  </w14:solidFill>
                </w14:textFill>
              </w:rPr>
              <w:t>静压箱，即</w:t>
            </w:r>
            <w:r>
              <w:rPr>
                <w:rFonts w:hint="default"/>
                <w:bCs/>
                <w:color w:val="000000" w:themeColor="text1"/>
                <w:sz w:val="24"/>
                <w14:textFill>
                  <w14:solidFill>
                    <w14:schemeClr w14:val="tx1"/>
                  </w14:solidFill>
                </w14:textFill>
              </w:rPr>
              <w:t>排风收集箱，一</w:t>
            </w:r>
            <w:r>
              <w:rPr>
                <w:rFonts w:hint="eastAsia"/>
                <w:bCs/>
                <w:color w:val="000000" w:themeColor="text1"/>
                <w:sz w:val="24"/>
                <w14:textFill>
                  <w14:solidFill>
                    <w14:schemeClr w14:val="tx1"/>
                  </w14:solidFill>
                </w14:textFill>
              </w:rPr>
              <w:t>侧</w:t>
            </w:r>
            <w:r>
              <w:rPr>
                <w:rFonts w:hint="default"/>
                <w:bCs/>
                <w:color w:val="000000" w:themeColor="text1"/>
                <w:sz w:val="24"/>
                <w14:textFill>
                  <w14:solidFill>
                    <w14:schemeClr w14:val="tx1"/>
                  </w14:solidFill>
                </w14:textFill>
              </w:rPr>
              <w:t>设置风口</w:t>
            </w:r>
            <w:r>
              <w:rPr>
                <w:rFonts w:hint="eastAsia"/>
                <w:bCs/>
                <w:color w:val="000000" w:themeColor="text1"/>
                <w:sz w:val="24"/>
                <w14:textFill>
                  <w14:solidFill>
                    <w14:schemeClr w14:val="tx1"/>
                  </w14:solidFill>
                </w14:textFill>
              </w:rPr>
              <w:t>，</w:t>
            </w:r>
            <w:r>
              <w:rPr>
                <w:rFonts w:hint="default"/>
                <w:bCs/>
                <w:color w:val="000000" w:themeColor="text1"/>
                <w:sz w:val="24"/>
                <w14:textFill>
                  <w14:solidFill>
                    <w14:schemeClr w14:val="tx1"/>
                  </w14:solidFill>
                </w14:textFill>
              </w:rPr>
              <w:t>根据建设单位提供的设计</w:t>
            </w:r>
            <w:r>
              <w:rPr>
                <w:rFonts w:hint="eastAsia"/>
                <w:bCs/>
                <w:color w:val="000000" w:themeColor="text1"/>
                <w:sz w:val="24"/>
                <w14:textFill>
                  <w14:solidFill>
                    <w14:schemeClr w14:val="tx1"/>
                  </w14:solidFill>
                </w14:textFill>
              </w:rPr>
              <w:t>资料</w:t>
            </w:r>
            <w:r>
              <w:rPr>
                <w:rFonts w:hint="default"/>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排风收集箱收集效率可达90%</w:t>
            </w:r>
            <w:r>
              <w:rPr>
                <w:rFonts w:hint="default"/>
                <w:bCs/>
                <w:color w:val="000000" w:themeColor="text1"/>
                <w:sz w:val="24"/>
                <w14:textFill>
                  <w14:solidFill>
                    <w14:schemeClr w14:val="tx1"/>
                  </w14:solidFill>
                </w14:textFill>
              </w:rPr>
              <w:t>。工作时，</w:t>
            </w:r>
            <w:r>
              <w:rPr>
                <w:rFonts w:hint="eastAsia"/>
                <w:bCs/>
                <w:color w:val="000000" w:themeColor="text1"/>
                <w:sz w:val="24"/>
                <w14:textFill>
                  <w14:solidFill>
                    <w14:schemeClr w14:val="tx1"/>
                  </w14:solidFill>
                </w14:textFill>
              </w:rPr>
              <w:t>机库密闭</w:t>
            </w:r>
            <w:r>
              <w:rPr>
                <w:rFonts w:hint="default"/>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打开</w:t>
            </w:r>
            <w:r>
              <w:rPr>
                <w:rFonts w:hint="default"/>
                <w:bCs/>
                <w:color w:val="000000" w:themeColor="text1"/>
                <w:sz w:val="24"/>
                <w14:textFill>
                  <w14:solidFill>
                    <w14:schemeClr w14:val="tx1"/>
                  </w14:solidFill>
                </w14:textFill>
              </w:rPr>
              <w:t>热交换系统或</w:t>
            </w:r>
            <w:r>
              <w:rPr>
                <w:rFonts w:hint="eastAsia"/>
                <w:bCs/>
                <w:color w:val="000000" w:themeColor="text1"/>
                <w:sz w:val="24"/>
                <w14:textFill>
                  <w14:solidFill>
                    <w14:schemeClr w14:val="tx1"/>
                  </w14:solidFill>
                </w14:textFill>
              </w:rPr>
              <w:t>送排风系统，</w:t>
            </w:r>
            <w:r>
              <w:rPr>
                <w:rFonts w:hint="default"/>
                <w:bCs/>
                <w:color w:val="000000" w:themeColor="text1"/>
                <w:sz w:val="24"/>
                <w14:textFill>
                  <w14:solidFill>
                    <w14:schemeClr w14:val="tx1"/>
                  </w14:solidFill>
                </w14:textFill>
              </w:rPr>
              <w:t>运行时风机风量为120000m</w:t>
            </w:r>
            <w:r>
              <w:rPr>
                <w:rFonts w:hint="default"/>
                <w:bCs/>
                <w:color w:val="000000" w:themeColor="text1"/>
                <w:sz w:val="24"/>
                <w:vertAlign w:val="superscript"/>
                <w14:textFill>
                  <w14:solidFill>
                    <w14:schemeClr w14:val="tx1"/>
                  </w14:solidFill>
                </w14:textFill>
              </w:rPr>
              <w:t>3</w:t>
            </w:r>
            <w:r>
              <w:rPr>
                <w:rFonts w:hint="default"/>
                <w:bCs/>
                <w:color w:val="000000" w:themeColor="text1"/>
                <w:sz w:val="24"/>
                <w:vertAlign w:val="baseline"/>
                <w14:textFill>
                  <w14:solidFill>
                    <w14:schemeClr w14:val="tx1"/>
                  </w14:solidFill>
                </w14:textFill>
              </w:rPr>
              <w:t>/h，</w:t>
            </w:r>
            <w:r>
              <w:rPr>
                <w:rFonts w:hint="default"/>
                <w:bCs/>
                <w:color w:val="000000" w:themeColor="text1"/>
                <w:sz w:val="24"/>
                <w14:textFill>
                  <w14:solidFill>
                    <w14:schemeClr w14:val="tx1"/>
                  </w14:solidFill>
                </w14:textFill>
              </w:rPr>
              <w:t>打磨粉尘或喷漆废气经</w:t>
            </w:r>
            <w:r>
              <w:rPr>
                <w:rFonts w:hint="eastAsia"/>
                <w:bCs/>
                <w:color w:val="000000" w:themeColor="text1"/>
                <w:sz w:val="24"/>
                <w14:textFill>
                  <w14:solidFill>
                    <w14:schemeClr w14:val="tx1"/>
                  </w14:solidFill>
                </w14:textFill>
              </w:rPr>
              <w:t>机库两侧的排放</w:t>
            </w:r>
            <w:r>
              <w:rPr>
                <w:rFonts w:hint="default"/>
                <w:bCs/>
                <w:color w:val="000000" w:themeColor="text1"/>
                <w:sz w:val="24"/>
                <w14:textFill>
                  <w14:solidFill>
                    <w14:schemeClr w14:val="tx1"/>
                  </w14:solidFill>
                </w14:textFill>
              </w:rPr>
              <w:t>收集</w:t>
            </w:r>
            <w:r>
              <w:rPr>
                <w:rFonts w:hint="eastAsia"/>
                <w:bCs/>
                <w:color w:val="000000" w:themeColor="text1"/>
                <w:sz w:val="24"/>
                <w14:textFill>
                  <w14:solidFill>
                    <w14:schemeClr w14:val="tx1"/>
                  </w14:solidFill>
                </w14:textFill>
              </w:rPr>
              <w:t>箱</w:t>
            </w:r>
            <w:r>
              <w:rPr>
                <w:rFonts w:hint="default"/>
                <w:bCs/>
                <w:color w:val="000000" w:themeColor="text1"/>
                <w:sz w:val="24"/>
                <w14:textFill>
                  <w14:solidFill>
                    <w14:schemeClr w14:val="tx1"/>
                  </w14:solidFill>
                </w14:textFill>
              </w:rPr>
              <w:t>的收集后进入</w:t>
            </w:r>
            <w:r>
              <w:rPr>
                <w:rFonts w:hint="eastAsia"/>
                <w:bCs/>
                <w:color w:val="000000" w:themeColor="text1"/>
                <w:sz w:val="24"/>
                <w14:textFill>
                  <w14:solidFill>
                    <w14:schemeClr w14:val="tx1"/>
                  </w14:solidFill>
                </w14:textFill>
              </w:rPr>
              <w:t>管道</w:t>
            </w:r>
            <w:r>
              <w:rPr>
                <w:rFonts w:hint="default"/>
                <w:bCs/>
                <w:color w:val="000000" w:themeColor="text1"/>
                <w:sz w:val="24"/>
                <w14:textFill>
                  <w14:solidFill>
                    <w14:schemeClr w14:val="tx1"/>
                  </w14:solidFill>
                </w14:textFill>
              </w:rPr>
              <w:t>，通过辅房顶部干式过滤器+活性炭吸附箱处理后，最终由</w:t>
            </w:r>
            <w:r>
              <w:rPr>
                <w:rFonts w:hint="default"/>
                <w:color w:val="000000" w:themeColor="text1"/>
                <w:sz w:val="24"/>
                <w14:textFill>
                  <w14:solidFill>
                    <w14:schemeClr w14:val="tx1"/>
                  </w14:solidFill>
                </w14:textFill>
              </w:rPr>
              <w:t>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）排放，辅房高度为7m。</w:t>
            </w:r>
          </w:p>
          <w:p>
            <w:pPr>
              <w:keepNext w:val="0"/>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（1）打磨粉尘</w:t>
            </w:r>
          </w:p>
          <w:p>
            <w:pPr>
              <w:keepNext w:val="0"/>
              <w:keepLines w:val="0"/>
              <w:suppressLineNumbers w:val="0"/>
              <w:autoSpaceDE w:val="0"/>
              <w:autoSpaceDN w:val="0"/>
              <w:adjustRightInd w:val="0"/>
              <w:snapToGrid w:val="0"/>
              <w:spacing w:before="0" w:beforeAutospacing="0" w:after="0" w:afterAutospacing="0" w:line="560" w:lineRule="exact"/>
              <w:ind w:left="0" w:right="0" w:firstLine="480" w:firstLineChars="200"/>
              <w:rPr>
                <w:rFonts w:hint="default"/>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项目设气动打磨机进行退漆打磨，打磨时会产生少量粉尘。本项目打磨粉尘经</w:t>
            </w:r>
            <w:r>
              <w:rPr>
                <w:rFonts w:hint="eastAsia"/>
                <w:bCs/>
                <w:color w:val="000000" w:themeColor="text1"/>
                <w:sz w:val="24"/>
                <w14:textFill>
                  <w14:solidFill>
                    <w14:schemeClr w14:val="tx1"/>
                  </w14:solidFill>
                </w14:textFill>
              </w:rPr>
              <w:t>排风收集箱</w:t>
            </w:r>
            <w:r>
              <w:rPr>
                <w:rFonts w:hint="default"/>
                <w:bCs/>
                <w:color w:val="000000" w:themeColor="text1"/>
                <w:sz w:val="24"/>
                <w14:textFill>
                  <w14:solidFill>
                    <w14:schemeClr w14:val="tx1"/>
                  </w14:solidFill>
                </w14:textFill>
              </w:rPr>
              <w:t>收集后进入</w:t>
            </w:r>
            <w:r>
              <w:rPr>
                <w:rFonts w:hint="eastAsia"/>
                <w:bCs/>
                <w:color w:val="000000" w:themeColor="text1"/>
                <w:sz w:val="24"/>
                <w14:textFill>
                  <w14:solidFill>
                    <w14:schemeClr w14:val="tx1"/>
                  </w14:solidFill>
                </w14:textFill>
              </w:rPr>
              <w:t>干式</w:t>
            </w:r>
            <w:r>
              <w:rPr>
                <w:rFonts w:hint="default"/>
                <w:bCs/>
                <w:color w:val="000000" w:themeColor="text1"/>
                <w:sz w:val="24"/>
                <w14:textFill>
                  <w14:solidFill>
                    <w14:schemeClr w14:val="tx1"/>
                  </w14:solidFill>
                </w14:textFill>
              </w:rPr>
              <w:t>过滤器过滤，通过15m高的排气筒排放，粉尘的收集效率为90%，过滤效率为99%，打磨工序风量设为8000m</w:t>
            </w:r>
            <w:r>
              <w:rPr>
                <w:rFonts w:hint="default"/>
                <w:bCs/>
                <w:color w:val="000000" w:themeColor="text1"/>
                <w:sz w:val="24"/>
                <w:vertAlign w:val="superscript"/>
                <w14:textFill>
                  <w14:solidFill>
                    <w14:schemeClr w14:val="tx1"/>
                  </w14:solidFill>
                </w14:textFill>
              </w:rPr>
              <w:t>3</w:t>
            </w:r>
            <w:r>
              <w:rPr>
                <w:rFonts w:hint="default"/>
                <w:bCs/>
                <w:color w:val="000000" w:themeColor="text1"/>
                <w:sz w:val="24"/>
                <w14:textFill>
                  <w14:solidFill>
                    <w14:schemeClr w14:val="tx1"/>
                  </w14:solidFill>
                </w14:textFill>
              </w:rPr>
              <w:t>/h。项目</w:t>
            </w:r>
            <w:r>
              <w:rPr>
                <w:rFonts w:hint="default"/>
                <w:color w:val="000000" w:themeColor="text1"/>
                <w:sz w:val="24"/>
                <w14:textFill>
                  <w14:solidFill>
                    <w14:schemeClr w14:val="tx1"/>
                  </w14:solidFill>
                </w14:textFill>
              </w:rPr>
              <w:t>打磨粉尘产生量按照面漆和中间底漆中固体成分附着的50%计算，附着在飞机面漆和中间底漆固体成分含量约为3.36t/a，打磨粉尘产生量约为1.68t/a，经处理后排放量为0.016t/a，年有效打磨时间为600h，则排放速率为0.027kg/h，排放浓度为3.4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，无组织排放量为0.168t/a。</w:t>
            </w:r>
          </w:p>
          <w:p>
            <w:pPr>
              <w:keepNext w:val="0"/>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（2）喷漆废气</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lang w:bidi="ar"/>
                <w14:textFill>
                  <w14:solidFill>
                    <w14:schemeClr w14:val="tx1"/>
                  </w14:solidFill>
                </w14:textFill>
              </w:rPr>
            </w:pPr>
            <w:r>
              <w:rPr>
                <w:rFonts w:hint="default"/>
                <w:color w:val="000000" w:themeColor="text1"/>
                <w:sz w:val="24"/>
                <w:lang w:bidi="ar"/>
                <w14:textFill>
                  <w14:solidFill>
                    <w14:schemeClr w14:val="tx1"/>
                  </w14:solidFill>
                </w14:textFill>
              </w:rPr>
              <w:t>项目喷漆工序产生的废气包括漆雾、喷漆废气和晾干废气。漆雾的主要成份是细小漆颗粒，喷漆废气和晾干废气的主要成份为甲苯、二甲苯、乙苯、非甲烷总烃。</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lang w:bidi="ar"/>
                <w14:textFill>
                  <w14:solidFill>
                    <w14:schemeClr w14:val="tx1"/>
                  </w14:solidFill>
                </w14:textFill>
              </w:rPr>
            </w:pPr>
            <w:r>
              <w:rPr>
                <w:rFonts w:hint="default"/>
                <w:color w:val="000000" w:themeColor="text1"/>
                <w:sz w:val="24"/>
                <w:lang w:bidi="ar"/>
                <w14:textFill>
                  <w14:solidFill>
                    <w14:schemeClr w14:val="tx1"/>
                  </w14:solidFill>
                </w14:textFill>
              </w:rPr>
              <w:t>本项目每年共使用9.36t油漆（包括稀释剂和固化剂）。查阅《涂装技术实用手册》（机械工业出版社）和文献资料，一般空气喷涂附着率为50%—70%，随着技术的不断提升，目前标准化喷漆附着率普遍可以达到70%，本次环评取附着率70%进行计算。根据《涂装技术实用手册》（机械工业出版社）和《喷漆工序有机废气源强的估算比较》（梁栋，长沙有色冶金设计研究院有限公司），本项目排放速率：60%的有机废气经喷漆过程排放，40%有机废气经晾干过程排放。</w:t>
            </w:r>
          </w:p>
          <w:p>
            <w:pPr>
              <w:keepNext w:val="0"/>
              <w:keepLines w:val="0"/>
              <w:suppressLineNumbers w:val="0"/>
              <w:adjustRightInd w:val="0"/>
              <w:snapToGrid w:val="0"/>
              <w:spacing w:before="0" w:beforeAutospacing="0" w:after="0" w:afterAutospacing="0" w:line="520" w:lineRule="exact"/>
              <w:ind w:left="480" w:right="0"/>
              <w:rPr>
                <w:rFonts w:hint="default"/>
                <w:color w:val="000000"/>
                <w:sz w:val="24"/>
              </w:rPr>
            </w:pPr>
            <w:r>
              <w:rPr>
                <w:rFonts w:hint="default"/>
                <w:color w:val="000000" w:themeColor="text1"/>
                <w:sz w:val="24"/>
                <w14:textFill>
                  <w14:solidFill>
                    <w14:schemeClr w14:val="tx1"/>
                  </w14:solidFill>
                </w14:textFill>
              </w:rPr>
              <w:t>根据厂家提供的检测资料，本项目使用的油漆各组分源强计算</w:t>
            </w:r>
            <w:r>
              <w:rPr>
                <w:rFonts w:hint="default"/>
                <w:color w:val="000000"/>
                <w:sz w:val="24"/>
              </w:rPr>
              <w:t>如下：</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sz w:val="24"/>
              </w:rPr>
            </w:pPr>
            <w:r>
              <w:rPr>
                <w:rFonts w:hint="default" w:ascii="Times New Roman" w:hAnsi="Times New Roman" w:eastAsia="黑体" w:cs="Times New Roman"/>
                <w:sz w:val="24"/>
              </w:rPr>
              <w:t>表20   源强计算一览表</w:t>
            </w:r>
          </w:p>
          <w:tbl>
            <w:tblPr>
              <w:tblStyle w:val="38"/>
              <w:tblW w:w="878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40"/>
              <w:gridCol w:w="1105"/>
              <w:gridCol w:w="1114"/>
              <w:gridCol w:w="1105"/>
              <w:gridCol w:w="28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vMerge w:val="restart"/>
                  <w:tcBorders>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漆料及用量</w:t>
                  </w:r>
                </w:p>
              </w:tc>
              <w:tc>
                <w:tcPr>
                  <w:tcW w:w="6144" w:type="dxa"/>
                  <w:gridSpan w:val="4"/>
                  <w:tcBorders>
                    <w:left w:val="single" w:color="auto" w:sz="6" w:space="0"/>
                    <w:bottom w:val="single" w:color="auto" w:sz="6" w:space="0"/>
                  </w:tcBorders>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挥发性有机物产生量（t/a）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vMerge w:val="continue"/>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乙苯</w:t>
                  </w:r>
                </w:p>
              </w:tc>
              <w:tc>
                <w:tcPr>
                  <w:tcW w:w="2820" w:type="dxa"/>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挥发性有机化合物（</w:t>
                  </w:r>
                  <w:r>
                    <w:rPr>
                      <w:rFonts w:hint="eastAsia"/>
                      <w:color w:val="000000" w:themeColor="text1"/>
                      <w14:textFill>
                        <w14:solidFill>
                          <w14:schemeClr w14:val="tx1"/>
                        </w14:solidFill>
                      </w14:textFill>
                    </w:rPr>
                    <w:t>以非甲烷总烃计</w:t>
                  </w: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磷化底漆172.8kg/a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restart"/>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磷化底漆固化剂41.4kg/a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磷化底漆稀释剂39.6kg/a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0.008</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中间底漆1512kg/a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0.15</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0.075</w:t>
                  </w:r>
                </w:p>
              </w:tc>
              <w:tc>
                <w:tcPr>
                  <w:tcW w:w="2820" w:type="dxa"/>
                  <w:vMerge w:val="restart"/>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中间底漆固化剂549kg/a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中间底漆稀释剂509.4kg/a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基础面漆2386.8kg/a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restart"/>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基础面漆固化剂 660.6kg/a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0.033</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0.017</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基础面漆稀释剂405kg/a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清漆1188kg/a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restart"/>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清漆固化剂1166.4kg/a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0.058</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0.029</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清漆稀释剂729kg/a</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0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2820" w:type="dxa"/>
                  <w:vMerge w:val="continue"/>
                  <w:tcBorders>
                    <w:top w:val="single" w:color="auto" w:sz="6" w:space="0"/>
                    <w:left w:val="single" w:color="auto" w:sz="6" w:space="0"/>
                    <w:bottom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tcBorders>
                    <w:top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总计</w:t>
                  </w:r>
                </w:p>
              </w:tc>
              <w:tc>
                <w:tcPr>
                  <w:tcW w:w="1105" w:type="dxa"/>
                  <w:tcBorders>
                    <w:top w:val="single" w:color="auto" w:sz="6"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0.008</w:t>
                  </w:r>
                </w:p>
              </w:tc>
              <w:tc>
                <w:tcPr>
                  <w:tcW w:w="1114" w:type="dxa"/>
                  <w:tcBorders>
                    <w:top w:val="single" w:color="auto" w:sz="6"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0.259</w:t>
                  </w:r>
                </w:p>
              </w:tc>
              <w:tc>
                <w:tcPr>
                  <w:tcW w:w="1105" w:type="dxa"/>
                  <w:tcBorders>
                    <w:top w:val="single" w:color="auto" w:sz="6"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0.121</w:t>
                  </w:r>
                </w:p>
              </w:tc>
              <w:tc>
                <w:tcPr>
                  <w:tcW w:w="2820" w:type="dxa"/>
                  <w:tcBorders>
                    <w:top w:val="single" w:color="auto" w:sz="6" w:space="0"/>
                    <w:lef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4.56</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lang w:bidi="ar"/>
                <w14:textFill>
                  <w14:solidFill>
                    <w14:schemeClr w14:val="tx1"/>
                  </w14:solidFill>
                </w14:textFill>
              </w:rPr>
              <w:t>本项目</w:t>
            </w:r>
            <w:r>
              <w:rPr>
                <w:rFonts w:hint="eastAsia"/>
                <w:color w:val="000000" w:themeColor="text1"/>
                <w:sz w:val="24"/>
                <w:lang w:bidi="ar"/>
                <w14:textFill>
                  <w14:solidFill>
                    <w14:schemeClr w14:val="tx1"/>
                  </w14:solidFill>
                </w14:textFill>
              </w:rPr>
              <w:t>喷漆</w:t>
            </w:r>
            <w:r>
              <w:rPr>
                <w:rFonts w:hint="default"/>
                <w:color w:val="000000" w:themeColor="text1"/>
                <w:sz w:val="24"/>
                <w:lang w:bidi="ar"/>
                <w14:textFill>
                  <w14:solidFill>
                    <w14:schemeClr w14:val="tx1"/>
                  </w14:solidFill>
                </w14:textFill>
              </w:rPr>
              <w:t>机库一年飞机喷漆架次为18架，</w:t>
            </w:r>
            <w:r>
              <w:rPr>
                <w:rFonts w:hint="default"/>
                <w:bCs/>
                <w:color w:val="000000" w:themeColor="text1"/>
                <w:sz w:val="24"/>
                <w:lang w:bidi="ar"/>
                <w14:textFill>
                  <w14:solidFill>
                    <w14:schemeClr w14:val="tx1"/>
                  </w14:solidFill>
                </w14:textFill>
              </w:rPr>
              <w:t>喷漆及晾干有效日工作时长共为300h。飞机入库喷漆时，机库保持</w:t>
            </w:r>
            <w:r>
              <w:rPr>
                <w:rFonts w:hint="eastAsia"/>
                <w:bCs/>
                <w:color w:val="000000" w:themeColor="text1"/>
                <w:sz w:val="24"/>
                <w:lang w:bidi="ar"/>
                <w14:textFill>
                  <w14:solidFill>
                    <w14:schemeClr w14:val="tx1"/>
                  </w14:solidFill>
                </w14:textFill>
              </w:rPr>
              <w:t>密闭</w:t>
            </w:r>
            <w:r>
              <w:rPr>
                <w:rFonts w:hint="default"/>
                <w:bCs/>
                <w:color w:val="000000" w:themeColor="text1"/>
                <w:sz w:val="24"/>
                <w:lang w:bidi="ar"/>
                <w14:textFill>
                  <w14:solidFill>
                    <w14:schemeClr w14:val="tx1"/>
                  </w14:solidFill>
                </w14:textFill>
              </w:rPr>
              <w:t>状态，直至整个喷漆工序完成。</w:t>
            </w:r>
            <w:r>
              <w:rPr>
                <w:rFonts w:hint="default"/>
                <w:color w:val="000000" w:themeColor="text1"/>
                <w:sz w:val="24"/>
                <w:lang w:bidi="ar"/>
                <w14:textFill>
                  <w14:solidFill>
                    <w14:schemeClr w14:val="tx1"/>
                  </w14:solidFill>
                </w14:textFill>
              </w:rPr>
              <w:t>喷漆及晾干产生的废气经</w:t>
            </w:r>
            <w:r>
              <w:rPr>
                <w:rFonts w:hint="eastAsia"/>
                <w:color w:val="000000" w:themeColor="text1"/>
                <w:sz w:val="24"/>
                <w:lang w:bidi="ar"/>
                <w14:textFill>
                  <w14:solidFill>
                    <w14:schemeClr w14:val="tx1"/>
                  </w14:solidFill>
                </w14:textFill>
              </w:rPr>
              <w:t>两侧排风收集箱</w:t>
            </w:r>
            <w:r>
              <w:rPr>
                <w:rFonts w:hint="default"/>
                <w:color w:val="000000" w:themeColor="text1"/>
                <w:sz w:val="24"/>
                <w:lang w:bidi="ar"/>
                <w14:textFill>
                  <w14:solidFill>
                    <w14:schemeClr w14:val="tx1"/>
                  </w14:solidFill>
                </w14:textFill>
              </w:rPr>
              <w:t>收集后，统一采用</w:t>
            </w:r>
            <w:r>
              <w:rPr>
                <w:rFonts w:hint="default"/>
                <w:color w:val="000000" w:themeColor="text1"/>
                <w:sz w:val="24"/>
                <w14:textFill>
                  <w14:solidFill>
                    <w14:schemeClr w14:val="tx1"/>
                  </w14:solidFill>
                </w14:textFill>
              </w:rPr>
              <w:t>“</w:t>
            </w:r>
            <w:r>
              <w:rPr>
                <w:rFonts w:hint="default"/>
                <w:bCs/>
                <w:color w:val="000000" w:themeColor="text1"/>
                <w:sz w:val="24"/>
                <w14:textFill>
                  <w14:solidFill>
                    <w14:schemeClr w14:val="tx1"/>
                  </w14:solidFill>
                </w14:textFill>
              </w:rPr>
              <w:t>干式过滤器+活性炭吸附箱</w:t>
            </w:r>
            <w:r>
              <w:rPr>
                <w:rFonts w:hint="default"/>
                <w:color w:val="000000" w:themeColor="text1"/>
                <w:sz w:val="24"/>
                <w14:textFill>
                  <w14:solidFill>
                    <w14:schemeClr w14:val="tx1"/>
                  </w14:solidFill>
                </w14:textFill>
              </w:rPr>
              <w:t>”装置进行处理，处理后的废气通过机库东西两侧辅房顶部15m高的排气筒（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w:t>
            </w:r>
            <w:r>
              <w:rPr>
                <w:rFonts w:hint="eastAsia"/>
                <w:color w:val="000000" w:themeColor="text1"/>
                <w:sz w:val="24"/>
                <w14:textFill>
                  <w14:solidFill>
                    <w14:schemeClr w14:val="tx1"/>
                  </w14:solidFill>
                </w14:textFill>
              </w:rPr>
              <w:t>机库采用上部送风，下侧两侧排风，根据建设单位提供的环保设计资料，废气</w:t>
            </w:r>
            <w:r>
              <w:rPr>
                <w:rFonts w:hint="default"/>
                <w:color w:val="000000" w:themeColor="text1"/>
                <w:sz w:val="24"/>
                <w14:textFill>
                  <w14:solidFill>
                    <w14:schemeClr w14:val="tx1"/>
                  </w14:solidFill>
                </w14:textFill>
              </w:rPr>
              <w:t>收集效率</w:t>
            </w:r>
            <w:r>
              <w:rPr>
                <w:rFonts w:hint="eastAsia"/>
                <w:color w:val="000000" w:themeColor="text1"/>
                <w:sz w:val="24"/>
                <w14:textFill>
                  <w14:solidFill>
                    <w14:schemeClr w14:val="tx1"/>
                  </w14:solidFill>
                </w14:textFill>
              </w:rPr>
              <w:t>可达</w:t>
            </w:r>
            <w:r>
              <w:rPr>
                <w:rFonts w:hint="default"/>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干式</w:t>
            </w:r>
            <w:r>
              <w:rPr>
                <w:rFonts w:hint="default"/>
                <w:color w:val="000000" w:themeColor="text1"/>
                <w:sz w:val="24"/>
                <w14:textFill>
                  <w14:solidFill>
                    <w14:schemeClr w14:val="tx1"/>
                  </w14:solidFill>
                </w14:textFill>
              </w:rPr>
              <w:t>过滤器</w:t>
            </w:r>
            <w:r>
              <w:rPr>
                <w:rFonts w:hint="eastAsia"/>
                <w:color w:val="000000" w:themeColor="text1"/>
                <w:sz w:val="24"/>
                <w14:textFill>
                  <w14:solidFill>
                    <w14:schemeClr w14:val="tx1"/>
                  </w14:solidFill>
                </w14:textFill>
              </w:rPr>
              <w:t>对漆雾</w:t>
            </w:r>
            <w:r>
              <w:rPr>
                <w:rFonts w:hint="default"/>
                <w:color w:val="000000" w:themeColor="text1"/>
                <w:sz w:val="24"/>
                <w14:textFill>
                  <w14:solidFill>
                    <w14:schemeClr w14:val="tx1"/>
                  </w14:solidFill>
                </w14:textFill>
              </w:rPr>
              <w:t>的去除率为90%，活性炭</w:t>
            </w:r>
            <w:r>
              <w:rPr>
                <w:rFonts w:hint="eastAsia"/>
                <w:color w:val="000000" w:themeColor="text1"/>
                <w:sz w:val="24"/>
                <w14:textFill>
                  <w14:solidFill>
                    <w14:schemeClr w14:val="tx1"/>
                  </w14:solidFill>
                </w14:textFill>
              </w:rPr>
              <w:t>对废气的</w:t>
            </w:r>
            <w:r>
              <w:rPr>
                <w:rFonts w:hint="default"/>
                <w:bCs/>
                <w:snapToGrid w:val="0"/>
                <w:color w:val="000000" w:themeColor="text1"/>
                <w:kern w:val="0"/>
                <w:sz w:val="24"/>
                <w14:textFill>
                  <w14:solidFill>
                    <w14:schemeClr w14:val="tx1"/>
                  </w14:solidFill>
                </w14:textFill>
              </w:rPr>
              <w:t>吸附效率可达80%以上。</w:t>
            </w:r>
            <w:r>
              <w:rPr>
                <w:rFonts w:hint="default"/>
                <w:color w:val="000000" w:themeColor="text1"/>
                <w:sz w:val="24"/>
                <w14:textFill>
                  <w14:solidFill>
                    <w14:schemeClr w14:val="tx1"/>
                  </w14:solidFill>
                </w14:textFill>
              </w:rPr>
              <w:t>项目年使用油漆（包括固化剂、稀释剂）量为9.36t，其使用过程中的平衡表和挥发性有机物平衡图如下所示：</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sz w:val="24"/>
              </w:rPr>
            </w:pPr>
            <w:r>
              <w:rPr>
                <w:rFonts w:hint="default" w:ascii="Times New Roman" w:hAnsi="Times New Roman" w:eastAsia="黑体" w:cs="Times New Roman"/>
                <w:sz w:val="24"/>
              </w:rPr>
              <w:t>表21   油漆使用平衡表</w:t>
            </w:r>
          </w:p>
          <w:tbl>
            <w:tblPr>
              <w:tblStyle w:val="38"/>
              <w:tblW w:w="878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068"/>
              <w:gridCol w:w="1781"/>
              <w:gridCol w:w="986"/>
              <w:gridCol w:w="2711"/>
              <w:gridCol w:w="15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序号</w:t>
                  </w:r>
                </w:p>
              </w:tc>
              <w:tc>
                <w:tcPr>
                  <w:tcW w:w="3835" w:type="dxa"/>
                  <w:gridSpan w:val="3"/>
                  <w:vAlign w:val="center"/>
                </w:tcPr>
                <w:p>
                  <w:pPr>
                    <w:pStyle w:val="9"/>
                    <w:keepNext w:val="0"/>
                    <w:keepLines w:val="0"/>
                    <w:widowControl/>
                    <w:suppressLineNumbers w:val="0"/>
                    <w:spacing w:before="0" w:beforeAutospacing="0" w:after="0" w:afterAutospacing="0"/>
                    <w:ind w:left="0" w:right="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投入量（t/a）</w:t>
                  </w:r>
                </w:p>
              </w:tc>
              <w:tc>
                <w:tcPr>
                  <w:tcW w:w="4225" w:type="dxa"/>
                  <w:gridSpan w:val="2"/>
                  <w:vAlign w:val="center"/>
                </w:tcPr>
                <w:p>
                  <w:pPr>
                    <w:pStyle w:val="9"/>
                    <w:keepNext w:val="0"/>
                    <w:keepLines w:val="0"/>
                    <w:widowControl/>
                    <w:suppressLineNumbers w:val="0"/>
                    <w:spacing w:before="0" w:beforeAutospacing="0" w:after="0" w:afterAutospacing="0"/>
                    <w:ind w:left="0" w:right="0"/>
                    <w:jc w:val="center"/>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输出量（t/a）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bookmarkStart w:id="85" w:name="OLE_LINK6" w:colFirst="4" w:colLast="5"/>
                  <w:r>
                    <w:rPr>
                      <w:rFonts w:hint="default"/>
                      <w:color w:val="000000" w:themeColor="text1"/>
                      <w:sz w:val="21"/>
                      <w:szCs w:val="21"/>
                      <w14:textFill>
                        <w14:solidFill>
                          <w14:schemeClr w14:val="tx1"/>
                        </w14:solidFill>
                      </w14:textFill>
                    </w:rPr>
                    <w:t>1</w:t>
                  </w:r>
                </w:p>
              </w:tc>
              <w:tc>
                <w:tcPr>
                  <w:tcW w:w="1068" w:type="dxa"/>
                  <w:vMerge w:val="restart"/>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磷化底漆</w:t>
                  </w: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磷化底漆</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0.1728</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附着于产品</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3.36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2</w:t>
                  </w:r>
                </w:p>
              </w:tc>
              <w:tc>
                <w:tcPr>
                  <w:tcW w:w="1068"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固化剂</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0.0414</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漆雾颗粒去除量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1.1664</w:t>
                  </w:r>
                </w:p>
              </w:tc>
            </w:tr>
            <w:bookmarkEnd w:id="85"/>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3</w:t>
                  </w:r>
                </w:p>
              </w:tc>
              <w:tc>
                <w:tcPr>
                  <w:tcW w:w="1068"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稀释剂</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0.0396</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漆雾颗粒有组织排放量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0.1296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4</w:t>
                  </w:r>
                </w:p>
              </w:tc>
              <w:tc>
                <w:tcPr>
                  <w:tcW w:w="1068" w:type="dxa"/>
                  <w:vMerge w:val="restart"/>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中间底漆</w:t>
                  </w: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中间底漆</w:t>
                  </w:r>
                </w:p>
              </w:tc>
              <w:tc>
                <w:tcPr>
                  <w:tcW w:w="98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1.512</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漆雾颗粒无组织排放量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0.144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5</w:t>
                  </w:r>
                </w:p>
              </w:tc>
              <w:tc>
                <w:tcPr>
                  <w:tcW w:w="1068"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固化剂</w:t>
                  </w:r>
                </w:p>
              </w:tc>
              <w:tc>
                <w:tcPr>
                  <w:tcW w:w="98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0.549</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有机废气去除量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3.</w:t>
                  </w:r>
                  <w:r>
                    <w:rPr>
                      <w:rFonts w:hint="eastAsia"/>
                      <w:color w:val="000000" w:themeColor="text1"/>
                      <w:sz w:val="21"/>
                      <w:szCs w:val="21"/>
                      <w14:textFill>
                        <w14:solidFill>
                          <w14:schemeClr w14:val="tx1"/>
                        </w14:solidFill>
                      </w14:textFill>
                    </w:rPr>
                    <w:t>2815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6</w:t>
                  </w:r>
                </w:p>
              </w:tc>
              <w:tc>
                <w:tcPr>
                  <w:tcW w:w="1068"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稀释剂</w:t>
                  </w:r>
                </w:p>
              </w:tc>
              <w:tc>
                <w:tcPr>
                  <w:tcW w:w="98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0.5094</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有机废气有组织排放量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14:textFill>
                        <w14:solidFill>
                          <w14:schemeClr w14:val="tx1"/>
                        </w14:solidFill>
                      </w14:textFill>
                    </w:rPr>
                    <w:t>8225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7</w:t>
                  </w:r>
                </w:p>
              </w:tc>
              <w:tc>
                <w:tcPr>
                  <w:tcW w:w="1068" w:type="dxa"/>
                  <w:vMerge w:val="restart"/>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基础面漆</w:t>
                  </w: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基础面漆</w:t>
                  </w:r>
                </w:p>
              </w:tc>
              <w:tc>
                <w:tcPr>
                  <w:tcW w:w="986"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2.3868</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有机废气无组织排放量</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eastAsia"/>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14:textFill>
                        <w14:solidFill>
                          <w14:schemeClr w14:val="tx1"/>
                        </w14:solidFill>
                      </w14:textFill>
                    </w:rPr>
                    <w:t>456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8</w:t>
                  </w:r>
                </w:p>
              </w:tc>
              <w:tc>
                <w:tcPr>
                  <w:tcW w:w="1068" w:type="dxa"/>
                  <w:vMerge w:val="continue"/>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固化剂</w:t>
                  </w:r>
                </w:p>
              </w:tc>
              <w:tc>
                <w:tcPr>
                  <w:tcW w:w="986"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0.6606</w:t>
                  </w:r>
                </w:p>
              </w:tc>
              <w:tc>
                <w:tcPr>
                  <w:tcW w:w="2711"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514"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9</w:t>
                  </w:r>
                </w:p>
              </w:tc>
              <w:tc>
                <w:tcPr>
                  <w:tcW w:w="1068" w:type="dxa"/>
                  <w:vMerge w:val="continue"/>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稀释剂</w:t>
                  </w:r>
                </w:p>
              </w:tc>
              <w:tc>
                <w:tcPr>
                  <w:tcW w:w="986"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0.405</w:t>
                  </w:r>
                </w:p>
              </w:tc>
              <w:tc>
                <w:tcPr>
                  <w:tcW w:w="2711"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514"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10</w:t>
                  </w:r>
                </w:p>
              </w:tc>
              <w:tc>
                <w:tcPr>
                  <w:tcW w:w="1068" w:type="dxa"/>
                  <w:vMerge w:val="restart"/>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清漆</w:t>
                  </w: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清漆</w:t>
                  </w:r>
                </w:p>
              </w:tc>
              <w:tc>
                <w:tcPr>
                  <w:tcW w:w="986"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1.188</w:t>
                  </w:r>
                </w:p>
              </w:tc>
              <w:tc>
                <w:tcPr>
                  <w:tcW w:w="2711"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514"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11</w:t>
                  </w:r>
                </w:p>
              </w:tc>
              <w:tc>
                <w:tcPr>
                  <w:tcW w:w="1068" w:type="dxa"/>
                  <w:vMerge w:val="continue"/>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固化剂</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1.1664</w:t>
                  </w:r>
                </w:p>
              </w:tc>
              <w:tc>
                <w:tcPr>
                  <w:tcW w:w="2711"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514"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12</w:t>
                  </w:r>
                </w:p>
              </w:tc>
              <w:tc>
                <w:tcPr>
                  <w:tcW w:w="1068" w:type="dxa"/>
                  <w:vMerge w:val="continue"/>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p>
              </w:tc>
              <w:tc>
                <w:tcPr>
                  <w:tcW w:w="178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稀释剂</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0.729</w:t>
                  </w:r>
                </w:p>
              </w:tc>
              <w:tc>
                <w:tcPr>
                  <w:tcW w:w="2711"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514" w:type="dxa"/>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13</w:t>
                  </w:r>
                </w:p>
              </w:tc>
              <w:tc>
                <w:tcPr>
                  <w:tcW w:w="2849" w:type="dxa"/>
                  <w:gridSpan w:val="2"/>
                  <w:vAlign w:val="center"/>
                </w:tcPr>
                <w:p>
                  <w:pPr>
                    <w:pStyle w:val="9"/>
                    <w:keepNext w:val="0"/>
                    <w:keepLines w:val="0"/>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合计</w:t>
                  </w:r>
                </w:p>
              </w:tc>
              <w:tc>
                <w:tcPr>
                  <w:tcW w:w="986"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9.36</w:t>
                  </w:r>
                </w:p>
              </w:tc>
              <w:tc>
                <w:tcPr>
                  <w:tcW w:w="2711"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合计</w:t>
                  </w:r>
                </w:p>
              </w:tc>
              <w:tc>
                <w:tcPr>
                  <w:tcW w:w="1514" w:type="dxa"/>
                  <w:vAlign w:val="center"/>
                </w:tcPr>
                <w:p>
                  <w:pPr>
                    <w:pStyle w:val="9"/>
                    <w:keepNext w:val="0"/>
                    <w:keepLines w:val="0"/>
                    <w:widowControl/>
                    <w:suppressLineNumbers w:val="0"/>
                    <w:spacing w:before="0" w:beforeAutospacing="0" w:after="0" w:afterAutospacing="0"/>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9.36</w:t>
                  </w:r>
                </w:p>
              </w:tc>
            </w:tr>
          </w:tbl>
          <w:p>
            <w:pPr>
              <w:pStyle w:val="3"/>
              <w:keepNext w:val="0"/>
              <w:keepLines w:val="0"/>
              <w:suppressLineNumbers w:val="0"/>
              <w:spacing w:before="0" w:beforeAutospacing="0" w:after="0" w:afterAutospacing="0" w:line="520" w:lineRule="exact"/>
              <w:ind w:left="0" w:leftChars="0" w:right="0"/>
              <w:jc w:val="left"/>
              <w:rPr>
                <w:rFonts w:hint="eastAsia" w:ascii="Times New Roman" w:hAnsi="Times New Roman"/>
                <w:b/>
                <w:sz w:val="24"/>
                <w:szCs w:val="20"/>
              </w:rPr>
            </w:pPr>
            <w:r>
              <w:rPr>
                <w:rFonts w:hint="default"/>
              </w:rPr>
              <w:drawing>
                <wp:anchor distT="0" distB="0" distL="114300" distR="114300" simplePos="0" relativeHeight="251659264" behindDoc="0" locked="0" layoutInCell="1" allowOverlap="1">
                  <wp:simplePos x="0" y="0"/>
                  <wp:positionH relativeFrom="column">
                    <wp:posOffset>37465</wp:posOffset>
                  </wp:positionH>
                  <wp:positionV relativeFrom="paragraph">
                    <wp:posOffset>7620</wp:posOffset>
                  </wp:positionV>
                  <wp:extent cx="5483860" cy="3907790"/>
                  <wp:effectExtent l="0" t="0" r="2540" b="3810"/>
                  <wp:wrapNone/>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8"/>
                          <a:stretch>
                            <a:fillRect/>
                          </a:stretch>
                        </pic:blipFill>
                        <pic:spPr>
                          <a:xfrm>
                            <a:off x="0" y="0"/>
                            <a:ext cx="5483860" cy="3907790"/>
                          </a:xfrm>
                          <a:prstGeom prst="rect">
                            <a:avLst/>
                          </a:prstGeom>
                        </pic:spPr>
                      </pic:pic>
                    </a:graphicData>
                  </a:graphic>
                </wp:anchor>
              </w:drawing>
            </w:r>
          </w:p>
          <w:p>
            <w:pPr>
              <w:pStyle w:val="3"/>
              <w:keepNext w:val="0"/>
              <w:keepLines w:val="0"/>
              <w:suppressLineNumbers w:val="0"/>
              <w:spacing w:before="0" w:beforeAutospacing="0" w:after="0" w:afterAutospacing="0" w:line="520" w:lineRule="exact"/>
              <w:ind w:leftChars="0" w:right="0"/>
              <w:jc w:val="center"/>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0"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0"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0" w:leftChars="0" w:right="0"/>
              <w:jc w:val="left"/>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rPr>
                <w:rFonts w:hint="default"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rPr>
                <w:rFonts w:hint="eastAsia"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rPr>
                <w:rFonts w:hint="eastAsia" w:ascii="Times New Roman" w:hAnsi="Times New Roman"/>
                <w:b/>
                <w:sz w:val="24"/>
                <w:szCs w:val="20"/>
              </w:rPr>
            </w:pPr>
          </w:p>
          <w:p>
            <w:pPr>
              <w:pStyle w:val="3"/>
              <w:keepNext w:val="0"/>
              <w:keepLines w:val="0"/>
              <w:suppressLineNumbers w:val="0"/>
              <w:spacing w:before="0" w:beforeAutospacing="0" w:after="0" w:afterAutospacing="0" w:line="520" w:lineRule="exact"/>
              <w:ind w:leftChars="0" w:right="0"/>
              <w:jc w:val="center"/>
              <w:rPr>
                <w:rFonts w:hint="eastAsia" w:ascii="Times New Roman" w:hAnsi="Times New Roman"/>
                <w:b/>
                <w:sz w:val="24"/>
                <w:szCs w:val="20"/>
              </w:rPr>
            </w:pPr>
          </w:p>
          <w:p>
            <w:pPr>
              <w:pStyle w:val="2"/>
              <w:keepNext w:val="0"/>
              <w:keepLines w:val="0"/>
              <w:suppressLineNumbers w:val="0"/>
              <w:spacing w:before="0" w:beforeAutospacing="0" w:afterAutospacing="0" w:line="360" w:lineRule="auto"/>
              <w:ind w:right="0" w:firstLine="480"/>
              <w:jc w:val="center"/>
              <w:rPr>
                <w:rFonts w:hint="default" w:ascii="Times New Roman" w:hAnsi="Times New Roman" w:eastAsia="黑体"/>
                <w:color w:val="000000" w:themeColor="text1"/>
                <w:sz w:val="24"/>
                <w14:textFill>
                  <w14:solidFill>
                    <w14:schemeClr w14:val="tx1"/>
                  </w14:solidFill>
                </w14:textFill>
              </w:rPr>
            </w:pPr>
            <w:r>
              <w:rPr>
                <w:rFonts w:hint="default" w:ascii="Times New Roman" w:hAnsi="Times New Roman" w:eastAsia="黑体"/>
                <w:color w:val="000000" w:themeColor="text1"/>
                <w:sz w:val="24"/>
                <w14:textFill>
                  <w14:solidFill>
                    <w14:schemeClr w14:val="tx1"/>
                  </w14:solidFill>
                </w14:textFill>
              </w:rPr>
              <w:t>图3   项目喷漆工序油漆使用情况总平衡图（单位t/a）</w:t>
            </w:r>
          </w:p>
          <w:p>
            <w:pPr>
              <w:keepNext w:val="0"/>
              <w:keepLines w:val="0"/>
              <w:suppressLineNumbers w:val="0"/>
              <w:tabs>
                <w:tab w:val="left" w:pos="6300"/>
              </w:tabs>
              <w:adjustRightInd w:val="0"/>
              <w:snapToGrid w:val="0"/>
              <w:spacing w:before="0" w:beforeAutospacing="0" w:after="0" w:afterAutospacing="0" w:line="360" w:lineRule="auto"/>
              <w:ind w:left="0" w:right="0" w:firstLine="480" w:firstLineChars="200"/>
              <w:rPr>
                <w:rFonts w:hint="default"/>
                <w:bCs/>
                <w:snapToGrid w:val="0"/>
                <w:color w:val="000000" w:themeColor="text1"/>
                <w:kern w:val="0"/>
                <w:sz w:val="24"/>
                <w14:textFill>
                  <w14:solidFill>
                    <w14:schemeClr w14:val="tx1"/>
                  </w14:solidFill>
                </w14:textFill>
              </w:rPr>
            </w:pPr>
            <w:r>
              <w:rPr>
                <w:rFonts w:hint="default"/>
                <w:bCs/>
                <w:snapToGrid w:val="0"/>
                <w:color w:val="000000" w:themeColor="text1"/>
                <w:kern w:val="0"/>
                <w:sz w:val="24"/>
                <w14:textFill>
                  <w14:solidFill>
                    <w14:schemeClr w14:val="tx1"/>
                  </w14:solidFill>
                </w14:textFill>
              </w:rPr>
              <w:t>喷漆工序漆雾、非甲烷总烃（包括甲苯、二甲苯、乙苯）产生及排放情况如下表所示。</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sz w:val="24"/>
              </w:rPr>
            </w:pPr>
            <w:r>
              <w:rPr>
                <w:rFonts w:hint="default" w:ascii="Times New Roman" w:hAnsi="Times New Roman" w:eastAsia="黑体" w:cs="Times New Roman"/>
                <w:sz w:val="24"/>
              </w:rPr>
              <w:t>表22  项目喷漆废气产排情况</w:t>
            </w:r>
          </w:p>
          <w:tbl>
            <w:tblPr>
              <w:tblStyle w:val="38"/>
              <w:tblW w:w="878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426"/>
              <w:gridCol w:w="426"/>
              <w:gridCol w:w="1362"/>
              <w:gridCol w:w="1359"/>
              <w:gridCol w:w="1244"/>
              <w:gridCol w:w="1244"/>
              <w:gridCol w:w="1232"/>
              <w:gridCol w:w="106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852" w:type="dxa"/>
                  <w:gridSpan w:val="2"/>
                  <w:tcBorders>
                    <w:top w:val="single" w:color="auto" w:sz="12" w:space="0"/>
                    <w:bottom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生产</w:t>
                  </w:r>
                </w:p>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工序</w:t>
                  </w:r>
                </w:p>
              </w:tc>
              <w:tc>
                <w:tcPr>
                  <w:tcW w:w="1788" w:type="dxa"/>
                  <w:gridSpan w:val="2"/>
                  <w:tcBorders>
                    <w:top w:val="single" w:color="auto" w:sz="12" w:space="0"/>
                    <w:bottom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污染物</w:t>
                  </w:r>
                </w:p>
              </w:tc>
              <w:tc>
                <w:tcPr>
                  <w:tcW w:w="1359" w:type="dxa"/>
                  <w:tcBorders>
                    <w:top w:val="single" w:color="auto" w:sz="12" w:space="0"/>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产生量</w:t>
                  </w:r>
                </w:p>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t/a</w:t>
                  </w:r>
                </w:p>
              </w:tc>
              <w:tc>
                <w:tcPr>
                  <w:tcW w:w="1244" w:type="dxa"/>
                  <w:tcBorders>
                    <w:top w:val="single" w:color="auto" w:sz="12" w:space="0"/>
                    <w:lef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收集量</w:t>
                  </w:r>
                </w:p>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t/a</w:t>
                  </w:r>
                </w:p>
              </w:tc>
              <w:tc>
                <w:tcPr>
                  <w:tcW w:w="1244" w:type="dxa"/>
                  <w:tcBorders>
                    <w:top w:val="single" w:color="auto" w:sz="12"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有组织排放量t/a</w:t>
                  </w:r>
                </w:p>
              </w:tc>
              <w:tc>
                <w:tcPr>
                  <w:tcW w:w="1232" w:type="dxa"/>
                  <w:tcBorders>
                    <w:top w:val="single" w:color="auto" w:sz="12"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有组织排放浓度</w:t>
                  </w:r>
                </w:p>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mg/m</w:t>
                  </w:r>
                  <w:r>
                    <w:rPr>
                      <w:rFonts w:hint="default"/>
                      <w:b/>
                      <w:color w:val="000000" w:themeColor="text1"/>
                      <w:kern w:val="0"/>
                      <w:vertAlign w:val="superscript"/>
                      <w14:textFill>
                        <w14:solidFill>
                          <w14:schemeClr w14:val="tx1"/>
                        </w14:solidFill>
                      </w14:textFill>
                    </w:rPr>
                    <w:t>3</w:t>
                  </w:r>
                </w:p>
              </w:tc>
              <w:tc>
                <w:tcPr>
                  <w:tcW w:w="1065" w:type="dxa"/>
                  <w:tcBorders>
                    <w:top w:val="single" w:color="auto" w:sz="12"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排放速率</w:t>
                  </w:r>
                  <w:r>
                    <w:rPr>
                      <w:rFonts w:hint="default"/>
                      <w:b/>
                      <w:color w:val="000000" w:themeColor="text1"/>
                      <w14:textFill>
                        <w14:solidFill>
                          <w14:schemeClr w14:val="tx1"/>
                        </w14:solidFill>
                      </w14:textFill>
                    </w:rPr>
                    <w:t>kg/</w:t>
                  </w:r>
                  <w:r>
                    <w:rPr>
                      <w:rFonts w:hint="default"/>
                      <w:b/>
                      <w:color w:val="000000" w:themeColor="text1"/>
                      <w:kern w:val="0"/>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426" w:type="dxa"/>
                  <w:vMerge w:val="restart"/>
                  <w:tcBorders>
                    <w:top w:val="single" w:color="auto" w:sz="4" w:space="0"/>
                    <w:left w:val="nil"/>
                    <w:right w:val="single" w:color="auto" w:sz="4" w:space="0"/>
                  </w:tcBorders>
                  <w:vAlign w:val="center"/>
                </w:tcPr>
                <w:p>
                  <w:pPr>
                    <w:keepNext w:val="0"/>
                    <w:keepLines w:val="0"/>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喷漆及晾干</w:t>
                  </w:r>
                </w:p>
              </w:tc>
              <w:tc>
                <w:tcPr>
                  <w:tcW w:w="426" w:type="dxa"/>
                  <w:vMerge w:val="restart"/>
                  <w:tcBorders>
                    <w:top w:val="single" w:color="auto" w:sz="4" w:space="0"/>
                    <w:left w:val="single" w:color="auto" w:sz="4" w:space="0"/>
                  </w:tcBorders>
                  <w:vAlign w:val="center"/>
                </w:tcPr>
                <w:p>
                  <w:pPr>
                    <w:keepNext w:val="0"/>
                    <w:keepLines w:val="0"/>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油</w:t>
                  </w:r>
                </w:p>
                <w:p>
                  <w:pPr>
                    <w:keepNext w:val="0"/>
                    <w:keepLines w:val="0"/>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漆</w:t>
                  </w:r>
                </w:p>
              </w:tc>
              <w:tc>
                <w:tcPr>
                  <w:tcW w:w="1788" w:type="dxa"/>
                  <w:gridSpan w:val="2"/>
                  <w:tcBorders>
                    <w:top w:val="single" w:color="auto" w:sz="4" w:space="0"/>
                    <w:bottom w:val="single" w:color="auto" w:sz="6"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漆雾</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1.44</w:t>
                  </w:r>
                </w:p>
              </w:tc>
              <w:tc>
                <w:tcPr>
                  <w:tcW w:w="1244"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1.296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0.1</w:t>
                  </w:r>
                  <w:r>
                    <w:rPr>
                      <w:rFonts w:hint="eastAsia"/>
                      <w:color w:val="000000" w:themeColor="text1"/>
                      <w14:textFill>
                        <w14:solidFill>
                          <w14:schemeClr w14:val="tx1"/>
                        </w14:solidFill>
                      </w14:textFill>
                    </w:rPr>
                    <w:t>296</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18</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0.432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426" w:type="dxa"/>
                  <w:vMerge w:val="continue"/>
                  <w:tcBorders>
                    <w:left w:val="nil"/>
                    <w:right w:val="single" w:color="auto" w:sz="4" w:space="0"/>
                  </w:tcBorders>
                  <w:vAlign w:val="center"/>
                </w:tcPr>
                <w:p>
                  <w:pPr>
                    <w:keepNext w:val="0"/>
                    <w:keepLines w:val="0"/>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keepNext w:val="0"/>
                    <w:keepLines w:val="0"/>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restart"/>
                  <w:tcBorders>
                    <w:top w:val="single" w:color="auto" w:sz="6"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w:t>
                  </w:r>
                </w:p>
              </w:tc>
              <w:tc>
                <w:tcPr>
                  <w:tcW w:w="1362" w:type="dxa"/>
                  <w:tcBorders>
                    <w:top w:val="single" w:color="auto" w:sz="6" w:space="0"/>
                    <w:left w:val="single" w:color="auto" w:sz="4" w:space="0"/>
                    <w:bottom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2.736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2.4624</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0.4925</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13.7</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1.642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426" w:type="dxa"/>
                  <w:vMerge w:val="continue"/>
                  <w:tcBorders>
                    <w:left w:val="nil"/>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0.0774</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696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0.01</w:t>
                  </w:r>
                  <w:r>
                    <w:rPr>
                      <w:rFonts w:hint="eastAsia"/>
                      <w:color w:val="000000" w:themeColor="text1"/>
                      <w14:textFill>
                        <w14:solidFill>
                          <w14:schemeClr w14:val="tx1"/>
                        </w14:solidFill>
                      </w14:textFill>
                    </w:rPr>
                    <w:t>39</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0.4</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0.047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0.1554</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0.1</w:t>
                  </w:r>
                  <w:r>
                    <w:rPr>
                      <w:rFonts w:hint="default"/>
                      <w:color w:val="000000" w:themeColor="text1"/>
                      <w14:textFill>
                        <w14:solidFill>
                          <w14:schemeClr w14:val="tx1"/>
                        </w14:solidFill>
                      </w14:textFill>
                    </w:rPr>
                    <w:t>398</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0.028</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0.8</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0.094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restart"/>
                  <w:tcBorders>
                    <w:top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晾干</w:t>
                  </w:r>
                </w:p>
              </w:tc>
              <w:tc>
                <w:tcPr>
                  <w:tcW w:w="1362" w:type="dxa"/>
                  <w:tcBorders>
                    <w:top w:val="single" w:color="auto" w:sz="4" w:space="0"/>
                    <w:left w:val="single" w:color="auto" w:sz="4" w:space="0"/>
                    <w:bottom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1.824</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default"/>
                      <w:color w:val="000000" w:themeColor="text1"/>
                      <w14:textFill>
                        <w14:solidFill>
                          <w14:schemeClr w14:val="tx1"/>
                        </w14:solidFill>
                      </w14:textFill>
                    </w:rPr>
                    <w:t>6416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0.33</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9.2</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426" w:type="dxa"/>
                  <w:vMerge w:val="continue"/>
                  <w:tcBorders>
                    <w:left w:val="nil"/>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0.0516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462</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0.00</w:t>
                  </w:r>
                  <w:r>
                    <w:rPr>
                      <w:rFonts w:hint="eastAsia"/>
                      <w:color w:val="000000" w:themeColor="text1"/>
                      <w14:textFill>
                        <w14:solidFill>
                          <w14:schemeClr w14:val="tx1"/>
                        </w14:solidFill>
                      </w14:textFill>
                    </w:rPr>
                    <w:t>96</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0.3</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426" w:type="dxa"/>
                  <w:vMerge w:val="continue"/>
                  <w:tcBorders>
                    <w:left w:val="nil"/>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left w:val="single" w:color="auto" w:sz="4" w:space="0"/>
                    <w:bottom w:val="single" w:color="auto" w:sz="4" w:space="0"/>
                  </w:tcBorders>
                  <w:vAlign w:val="center"/>
                </w:tcPr>
                <w:p>
                  <w:pPr>
                    <w:keepNext w:val="0"/>
                    <w:keepLines w:val="0"/>
                    <w:widowControl/>
                    <w:suppressLineNumbers w:val="0"/>
                    <w:snapToGrid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26" w:type="dxa"/>
                  <w:vMerge w:val="continue"/>
                  <w:tcBorders>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362"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359" w:type="dxa"/>
                  <w:tcBorders>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0.1036</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932</w:t>
                  </w:r>
                </w:p>
              </w:tc>
              <w:tc>
                <w:tcPr>
                  <w:tcW w:w="1244"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0.019</w:t>
                  </w:r>
                </w:p>
              </w:tc>
              <w:tc>
                <w:tcPr>
                  <w:tcW w:w="1232"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0.6</w:t>
                  </w:r>
                </w:p>
              </w:tc>
              <w:tc>
                <w:tcPr>
                  <w:tcW w:w="1065" w:type="dxa"/>
                  <w:vAlign w:val="center"/>
                </w:tcPr>
                <w:p>
                  <w:pPr>
                    <w:keepNext w:val="0"/>
                    <w:keepLines w:val="0"/>
                    <w:suppressLineNumbers w:val="0"/>
                    <w:spacing w:before="0" w:beforeAutospacing="0" w:after="0" w:afterAutospacing="0" w:line="320" w:lineRule="exact"/>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0.064</w:t>
                  </w:r>
                </w:p>
              </w:tc>
            </w:tr>
          </w:tbl>
          <w:p>
            <w:pPr>
              <w:pStyle w:val="3"/>
              <w:keepNext w:val="0"/>
              <w:keepLines w:val="0"/>
              <w:suppressLineNumbers w:val="0"/>
              <w:spacing w:before="0" w:beforeAutospacing="0" w:after="0" w:afterAutospacing="0" w:line="520" w:lineRule="exact"/>
              <w:ind w:leftChars="0" w:right="0"/>
              <w:jc w:val="left"/>
              <w:rPr>
                <w:rFonts w:hint="default" w:ascii="Times New Roman" w:hAnsi="Times New Roman"/>
                <w:b/>
                <w:sz w:val="24"/>
                <w:szCs w:val="20"/>
              </w:rPr>
            </w:pPr>
            <w:r>
              <w:rPr>
                <w:rFonts w:hint="default" w:ascii="Times New Roman" w:hAnsi="Times New Roman"/>
                <w:b/>
                <w:sz w:val="24"/>
                <w:szCs w:val="20"/>
              </w:rPr>
              <w:t>2、废水</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项目运营期产生的废水主要为清洗废水和员工生活污水。</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（1）生活污水</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项目定员54人，不涉及食宿。依据《陕西省行业用水定额》，生活用水按每人每天35L计，设值班人员1人，用水按每人每天110L计，全年生产365天，则生活用水量为717.225m</w:t>
            </w:r>
            <w:r>
              <w:rPr>
                <w:rFonts w:hint="default"/>
                <w:sz w:val="24"/>
                <w:vertAlign w:val="superscript"/>
              </w:rPr>
              <w:t>3</w:t>
            </w:r>
            <w:r>
              <w:rPr>
                <w:rFonts w:hint="default"/>
                <w:sz w:val="24"/>
              </w:rPr>
              <w:t>/a（1.965m</w:t>
            </w:r>
            <w:r>
              <w:rPr>
                <w:rFonts w:hint="default"/>
                <w:sz w:val="24"/>
                <w:vertAlign w:val="superscript"/>
              </w:rPr>
              <w:t>3</w:t>
            </w:r>
            <w:r>
              <w:rPr>
                <w:rFonts w:hint="default"/>
                <w:sz w:val="24"/>
              </w:rPr>
              <w:t>/d），产污系数按0.8计，废水产生量为573.78m</w:t>
            </w:r>
            <w:r>
              <w:rPr>
                <w:rFonts w:hint="default"/>
                <w:sz w:val="24"/>
                <w:vertAlign w:val="superscript"/>
              </w:rPr>
              <w:t>3</w:t>
            </w:r>
            <w:r>
              <w:rPr>
                <w:rFonts w:hint="default"/>
                <w:sz w:val="24"/>
              </w:rPr>
              <w:t>/a（1.572m</w:t>
            </w:r>
            <w:r>
              <w:rPr>
                <w:rFonts w:hint="default"/>
                <w:sz w:val="24"/>
                <w:vertAlign w:val="superscript"/>
              </w:rPr>
              <w:t>3</w:t>
            </w:r>
            <w:r>
              <w:rPr>
                <w:rFonts w:hint="default"/>
                <w:sz w:val="24"/>
              </w:rPr>
              <w:t>/d），生活污水经</w:t>
            </w:r>
            <w:r>
              <w:rPr>
                <w:rFonts w:hint="eastAsia"/>
                <w:sz w:val="24"/>
              </w:rPr>
              <w:t>维修基地</w:t>
            </w:r>
            <w:r>
              <w:rPr>
                <w:rFonts w:hint="default"/>
                <w:sz w:val="24"/>
              </w:rPr>
              <w:t xml:space="preserve">现有化粪池预处理后，进入咸阳机场污水处理厂。 </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（2）清洗废水</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飞机维修过程产生清洗废水，主要包括零部件清洗、机身清洗、打磨清洗以及车间清洗产生的废水，其污水特征污染物主要为清洗剂、洗掉的灰尘和油污，清洗剂选用工业清洗剂，清洗剂的主要成分为表面活性剂和水，清洗废水</w:t>
            </w:r>
            <w:r>
              <w:rPr>
                <w:rFonts w:hint="default"/>
                <w:color w:val="000000" w:themeColor="text1"/>
                <w:sz w:val="24"/>
                <w:highlight w:val="none"/>
                <w14:textFill>
                  <w14:solidFill>
                    <w14:schemeClr w14:val="tx1"/>
                  </w14:solidFill>
                </w14:textFill>
              </w:rPr>
              <w:t>的主要污染因子为石油类、LAS、COD、SS。根据生产经验，每架飞机清洗使用水量约为7m</w:t>
            </w:r>
            <w:r>
              <w:rPr>
                <w:rFonts w:hint="default"/>
                <w:color w:val="000000" w:themeColor="text1"/>
                <w:sz w:val="24"/>
                <w:highlight w:val="none"/>
                <w:vertAlign w:val="superscript"/>
                <w14:textFill>
                  <w14:solidFill>
                    <w14:schemeClr w14:val="tx1"/>
                  </w14:solidFill>
                </w14:textFill>
              </w:rPr>
              <w:t>3</w:t>
            </w:r>
            <w:r>
              <w:rPr>
                <w:rFonts w:hint="default"/>
                <w:color w:val="000000" w:themeColor="text1"/>
                <w:sz w:val="24"/>
                <w:highlight w:val="none"/>
                <w14:textFill>
                  <w14:solidFill>
                    <w14:schemeClr w14:val="tx1"/>
                  </w14:solidFill>
                </w14:textFill>
              </w:rPr>
              <w:t>/架次，废水产生量按0.9计，则产生的污水约为6.3m</w:t>
            </w:r>
            <w:r>
              <w:rPr>
                <w:rFonts w:hint="default"/>
                <w:color w:val="000000" w:themeColor="text1"/>
                <w:sz w:val="24"/>
                <w:highlight w:val="none"/>
                <w:vertAlign w:val="superscript"/>
                <w14:textFill>
                  <w14:solidFill>
                    <w14:schemeClr w14:val="tx1"/>
                  </w14:solidFill>
                </w14:textFill>
              </w:rPr>
              <w:t>3</w:t>
            </w:r>
            <w:r>
              <w:rPr>
                <w:rFonts w:hint="default"/>
                <w:color w:val="000000" w:themeColor="text1"/>
                <w:sz w:val="24"/>
                <w:highlight w:val="none"/>
                <w14:textFill>
                  <w14:solidFill>
                    <w14:schemeClr w14:val="tx1"/>
                  </w14:solidFill>
                </w14:textFill>
              </w:rPr>
              <w:t>/架次，</w:t>
            </w:r>
            <w:r>
              <w:rPr>
                <w:rFonts w:hint="eastAsia"/>
                <w:color w:val="000000" w:themeColor="text1"/>
                <w:sz w:val="24"/>
                <w:highlight w:val="none"/>
                <w14:textFill>
                  <w14:solidFill>
                    <w14:schemeClr w14:val="tx1"/>
                  </w14:solidFill>
                </w14:textFill>
              </w:rPr>
              <w:t>仅在喷漆工作室对飞机进行清洗，维修工作无需清洗飞机，</w:t>
            </w:r>
            <w:r>
              <w:rPr>
                <w:rFonts w:hint="default"/>
                <w:color w:val="000000" w:themeColor="text1"/>
                <w:sz w:val="24"/>
                <w:highlight w:val="none"/>
                <w14:textFill>
                  <w14:solidFill>
                    <w14:schemeClr w14:val="tx1"/>
                  </w14:solidFill>
                </w14:textFill>
              </w:rPr>
              <w:t>则清洗废水产生量为113.4m</w:t>
            </w:r>
            <w:r>
              <w:rPr>
                <w:rFonts w:hint="default"/>
                <w:color w:val="000000" w:themeColor="text1"/>
                <w:sz w:val="24"/>
                <w:highlight w:val="none"/>
                <w:vertAlign w:val="superscript"/>
                <w14:textFill>
                  <w14:solidFill>
                    <w14:schemeClr w14:val="tx1"/>
                  </w14:solidFill>
                </w14:textFill>
              </w:rPr>
              <w:t>3</w:t>
            </w:r>
            <w:r>
              <w:rPr>
                <w:rFonts w:hint="default"/>
                <w:color w:val="000000" w:themeColor="text1"/>
                <w:sz w:val="24"/>
                <w:highlight w:val="none"/>
                <w14:textFill>
                  <w14:solidFill>
                    <w14:schemeClr w14:val="tx1"/>
                  </w14:solidFill>
                </w14:textFill>
              </w:rPr>
              <w:t>/a（</w:t>
            </w:r>
            <w:r>
              <w:rPr>
                <w:rFonts w:hint="eastAsia"/>
                <w:color w:val="000000" w:themeColor="text1"/>
                <w:sz w:val="24"/>
                <w:highlight w:val="none"/>
                <w14:textFill>
                  <w14:solidFill>
                    <w14:schemeClr w14:val="tx1"/>
                  </w14:solidFill>
                </w14:textFill>
              </w:rPr>
              <w:t>0.</w:t>
            </w:r>
            <w:r>
              <w:rPr>
                <w:rFonts w:hint="default"/>
                <w:color w:val="000000" w:themeColor="text1"/>
                <w:sz w:val="24"/>
                <w:highlight w:val="none"/>
                <w14:textFill>
                  <w14:solidFill>
                    <w14:schemeClr w14:val="tx1"/>
                  </w14:solidFill>
                </w14:textFill>
              </w:rPr>
              <w:t>311m</w:t>
            </w:r>
            <w:r>
              <w:rPr>
                <w:rFonts w:hint="default"/>
                <w:color w:val="000000" w:themeColor="text1"/>
                <w:sz w:val="24"/>
                <w:highlight w:val="none"/>
                <w:vertAlign w:val="superscript"/>
                <w14:textFill>
                  <w14:solidFill>
                    <w14:schemeClr w14:val="tx1"/>
                  </w14:solidFill>
                </w14:textFill>
              </w:rPr>
              <w:t>3</w:t>
            </w:r>
            <w:r>
              <w:rPr>
                <w:rFonts w:hint="default"/>
                <w:color w:val="000000" w:themeColor="text1"/>
                <w:sz w:val="24"/>
                <w:highlight w:val="none"/>
                <w14:textFill>
                  <w14:solidFill>
                    <w14:schemeClr w14:val="tx1"/>
                  </w14:solidFill>
                </w14:textFill>
              </w:rPr>
              <w:t>/d）。</w:t>
            </w:r>
            <w:r>
              <w:rPr>
                <w:rFonts w:hint="default"/>
                <w:color w:val="000000" w:themeColor="text1"/>
                <w:sz w:val="24"/>
                <w14:textFill>
                  <w14:solidFill>
                    <w14:schemeClr w14:val="tx1"/>
                  </w14:solidFill>
                </w14:textFill>
              </w:rPr>
              <w:t>清洗废水经水泵抽至过滤桶，过滤桶内设过滤网，过滤棉放置</w:t>
            </w:r>
            <w:r>
              <w:rPr>
                <w:rFonts w:hint="eastAsia"/>
                <w:color w:val="000000" w:themeColor="text1"/>
                <w:sz w:val="24"/>
                <w14:textFill>
                  <w14:solidFill>
                    <w14:schemeClr w14:val="tx1"/>
                  </w14:solidFill>
                </w14:textFill>
              </w:rPr>
              <w:t>在</w:t>
            </w:r>
            <w:r>
              <w:rPr>
                <w:rFonts w:hint="default"/>
                <w:color w:val="000000" w:themeColor="text1"/>
                <w:sz w:val="24"/>
                <w14:textFill>
                  <w14:solidFill>
                    <w14:schemeClr w14:val="tx1"/>
                  </w14:solidFill>
                </w14:textFill>
              </w:rPr>
              <w:t>过滤网上，废水经过滤棉过滤</w:t>
            </w:r>
            <w:r>
              <w:rPr>
                <w:rFonts w:hint="eastAsia"/>
                <w:color w:val="000000" w:themeColor="text1"/>
                <w:sz w:val="24"/>
                <w14:textFill>
                  <w14:solidFill>
                    <w14:schemeClr w14:val="tx1"/>
                  </w14:solidFill>
                </w14:textFill>
              </w:rPr>
              <w:t>除去少量悬浮物后</w:t>
            </w:r>
            <w:r>
              <w:rPr>
                <w:rFonts w:hint="default"/>
                <w:color w:val="000000" w:themeColor="text1"/>
                <w:sz w:val="24"/>
                <w14:textFill>
                  <w14:solidFill>
                    <w14:schemeClr w14:val="tx1"/>
                  </w14:solidFill>
                </w14:textFill>
              </w:rPr>
              <w:t>通过管网排至咸阳机场污水处理厂。</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本项目新鲜水用量为843.225m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2.</w:t>
            </w:r>
            <w:r>
              <w:rPr>
                <w:rFonts w:hint="default"/>
                <w:color w:val="000000" w:themeColor="text1"/>
                <w:sz w:val="24"/>
                <w14:textFill>
                  <w14:solidFill>
                    <w14:schemeClr w14:val="tx1"/>
                  </w14:solidFill>
                </w14:textFill>
              </w:rPr>
              <w:t>311m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/d），废水产生量为</w:t>
            </w:r>
            <w:r>
              <w:rPr>
                <w:rFonts w:hint="eastAsia"/>
                <w:color w:val="000000" w:themeColor="text1"/>
                <w:sz w:val="24"/>
                <w14:textFill>
                  <w14:solidFill>
                    <w14:schemeClr w14:val="tx1"/>
                  </w14:solidFill>
                </w14:textFill>
              </w:rPr>
              <w:t>6</w:t>
            </w:r>
            <w:r>
              <w:rPr>
                <w:rFonts w:hint="default"/>
                <w:color w:val="000000" w:themeColor="text1"/>
                <w:sz w:val="24"/>
                <w14:textFill>
                  <w14:solidFill>
                    <w14:schemeClr w14:val="tx1"/>
                  </w14:solidFill>
                </w14:textFill>
              </w:rPr>
              <w:t>87.18m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1.</w:t>
            </w:r>
            <w:r>
              <w:rPr>
                <w:rFonts w:hint="default"/>
                <w:color w:val="000000" w:themeColor="text1"/>
                <w:sz w:val="24"/>
                <w14:textFill>
                  <w14:solidFill>
                    <w14:schemeClr w14:val="tx1"/>
                  </w14:solidFill>
                </w14:textFill>
              </w:rPr>
              <w:t>883m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根据刘芳等人《飞机退漆、洗机废水处理试验研究》（给水排水Vol.30NO.42004），并类比已报批项目《四川飞机维修工程有限公司飞机维修基地二期项目》和《天津飞机维修基地维修机库建设项目》等资料，确定本项目清洗废水的水质。项目废水产排情况如下表。</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表23  项目水污染物产排情况一览表</w:t>
            </w:r>
          </w:p>
          <w:tbl>
            <w:tblPr>
              <w:tblStyle w:val="38"/>
              <w:tblW w:w="877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68"/>
              <w:gridCol w:w="1844"/>
              <w:gridCol w:w="611"/>
              <w:gridCol w:w="695"/>
              <w:gridCol w:w="702"/>
              <w:gridCol w:w="729"/>
              <w:gridCol w:w="851"/>
              <w:gridCol w:w="687"/>
              <w:gridCol w:w="847"/>
              <w:gridCol w:w="8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废水类别</w:t>
                  </w:r>
                </w:p>
              </w:tc>
              <w:tc>
                <w:tcPr>
                  <w:tcW w:w="1844" w:type="dxa"/>
                  <w:vMerge w:val="restart"/>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5963" w:type="dxa"/>
                  <w:gridSpan w:val="8"/>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p>
              </w:tc>
              <w:tc>
                <w:tcPr>
                  <w:tcW w:w="1844" w:type="dxa"/>
                  <w:vMerge w:val="continue"/>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p>
              </w:tc>
              <w:tc>
                <w:tcPr>
                  <w:tcW w:w="611"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COD</w:t>
                  </w:r>
                </w:p>
              </w:tc>
              <w:tc>
                <w:tcPr>
                  <w:tcW w:w="695"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BOD</w:t>
                  </w:r>
                  <w:r>
                    <w:rPr>
                      <w:rFonts w:hint="default"/>
                      <w:b/>
                      <w:color w:val="000000" w:themeColor="text1"/>
                      <w:vertAlign w:val="subscript"/>
                      <w14:textFill>
                        <w14:solidFill>
                          <w14:schemeClr w14:val="tx1"/>
                        </w14:solidFill>
                      </w14:textFill>
                    </w:rPr>
                    <w:t>5</w:t>
                  </w:r>
                </w:p>
              </w:tc>
              <w:tc>
                <w:tcPr>
                  <w:tcW w:w="702"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SS</w:t>
                  </w:r>
                </w:p>
              </w:tc>
              <w:tc>
                <w:tcPr>
                  <w:tcW w:w="729"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NH</w:t>
                  </w:r>
                  <w:r>
                    <w:rPr>
                      <w:rFonts w:hint="default"/>
                      <w:b/>
                      <w:color w:val="000000" w:themeColor="text1"/>
                      <w:vertAlign w:val="subscript"/>
                      <w14:textFill>
                        <w14:solidFill>
                          <w14:schemeClr w14:val="tx1"/>
                        </w14:solidFill>
                      </w14:textFill>
                    </w:rPr>
                    <w:t>3</w:t>
                  </w:r>
                  <w:r>
                    <w:rPr>
                      <w:rFonts w:hint="default"/>
                      <w:b/>
                      <w:color w:val="000000" w:themeColor="text1"/>
                      <w14:textFill>
                        <w14:solidFill>
                          <w14:schemeClr w14:val="tx1"/>
                        </w14:solidFill>
                      </w14:textFill>
                    </w:rPr>
                    <w:t>-N</w:t>
                  </w:r>
                </w:p>
              </w:tc>
              <w:tc>
                <w:tcPr>
                  <w:tcW w:w="851"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TP</w:t>
                  </w:r>
                </w:p>
              </w:tc>
              <w:tc>
                <w:tcPr>
                  <w:tcW w:w="687"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TN</w:t>
                  </w:r>
                </w:p>
              </w:tc>
              <w:tc>
                <w:tcPr>
                  <w:tcW w:w="847"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LAS</w:t>
                  </w:r>
                </w:p>
              </w:tc>
              <w:tc>
                <w:tcPr>
                  <w:tcW w:w="841"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生活污水573.78m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180</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highlight w:val="yellow"/>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0.11</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0.069</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highlight w:val="yellow"/>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化粪池处理效率（%）</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highlight w:val="yellow"/>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处理后浓度（mg/L）</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298</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162</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84</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highlight w:val="yellow"/>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处理后污染物排放量（t/a）</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0.17</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0.093</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0.049</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清洗废水113.4m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550</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63</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46</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29</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0.000</w:t>
                  </w:r>
                  <w:r>
                    <w:rPr>
                      <w:rFonts w:hint="default"/>
                      <w:color w:val="000000" w:themeColor="text1"/>
                      <w14:textFill>
                        <w14:solidFill>
                          <w14:schemeClr w14:val="tx1"/>
                        </w14:solidFill>
                      </w14:textFill>
                    </w:rPr>
                    <w:t>8</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4</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FF0000"/>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过滤棉过滤效率（%）</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FF0000"/>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处理后浓度（mg/L）</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550</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FF0000"/>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处理后污染物排放量（t/a）</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63</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091</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29</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0.000</w:t>
                  </w:r>
                  <w:r>
                    <w:rPr>
                      <w:rFonts w:hint="default"/>
                      <w:color w:val="000000" w:themeColor="text1"/>
                      <w14:textFill>
                        <w14:solidFill>
                          <w14:schemeClr w14:val="tx1"/>
                        </w14:solidFill>
                      </w14:textFill>
                    </w:rPr>
                    <w:t>8</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4</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合计</w:t>
                  </w:r>
                  <w:r>
                    <w:rPr>
                      <w:rFonts w:hint="eastAsia"/>
                      <w:color w:val="000000" w:themeColor="text1"/>
                      <w14:textFill>
                        <w14:solidFill>
                          <w14:schemeClr w14:val="tx1"/>
                        </w14:solidFill>
                      </w14:textFill>
                    </w:rPr>
                    <w:t>6</w:t>
                  </w:r>
                  <w:r>
                    <w:rPr>
                      <w:rFonts w:hint="default"/>
                      <w:color w:val="000000" w:themeColor="text1"/>
                      <w14:textFill>
                        <w14:solidFill>
                          <w14:schemeClr w14:val="tx1"/>
                        </w14:solidFill>
                      </w14:textFill>
                    </w:rPr>
                    <w:t>87.18</w:t>
                  </w:r>
                </w:p>
                <w:p>
                  <w:pPr>
                    <w:pStyle w:val="86"/>
                    <w:keepNext w:val="0"/>
                    <w:keepLines w:val="0"/>
                    <w:widowControl/>
                    <w:suppressLineNumbers w:val="0"/>
                    <w:spacing w:before="0" w:beforeAutospacing="0" w:after="0" w:afterAutospacing="0"/>
                    <w:ind w:left="0" w:right="0"/>
                    <w:rPr>
                      <w:rFonts w:hint="default"/>
                      <w:color w:val="FF0000"/>
                    </w:rPr>
                  </w:pP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rFonts w:hint="default"/>
                      <w:color w:val="000000" w:themeColor="text1"/>
                      <w14:textFill>
                        <w14:solidFill>
                          <w14:schemeClr w14:val="tx1"/>
                        </w14:solidFill>
                      </w14:textFill>
                    </w:rPr>
                    <w:t>39</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default"/>
                      <w:color w:val="000000" w:themeColor="text1"/>
                      <w14:textFill>
                        <w14:solidFill>
                          <w14:schemeClr w14:val="tx1"/>
                        </w14:solidFill>
                      </w14:textFill>
                    </w:rPr>
                    <w:t>94</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rFonts w:hint="default"/>
                      <w:color w:val="000000" w:themeColor="text1"/>
                      <w14:textFill>
                        <w14:solidFill>
                          <w14:schemeClr w14:val="tx1"/>
                        </w14:solidFill>
                      </w14:textFill>
                    </w:rPr>
                    <w:t>5</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FF0000"/>
                      <w:highlight w:val="yellow"/>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61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233</w:t>
                  </w:r>
                </w:p>
              </w:tc>
              <w:tc>
                <w:tcPr>
                  <w:tcW w:w="69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w:t>
                  </w:r>
                  <w:r>
                    <w:rPr>
                      <w:rFonts w:hint="default"/>
                      <w:color w:val="000000" w:themeColor="text1"/>
                      <w14:textFill>
                        <w14:solidFill>
                          <w14:schemeClr w14:val="tx1"/>
                        </w14:solidFill>
                      </w14:textFill>
                    </w:rPr>
                    <w:t>33</w:t>
                  </w:r>
                </w:p>
              </w:tc>
              <w:tc>
                <w:tcPr>
                  <w:tcW w:w="702"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0.05</w:t>
                  </w:r>
                  <w:r>
                    <w:rPr>
                      <w:rFonts w:hint="default"/>
                      <w:color w:val="000000" w:themeColor="text1"/>
                      <w14:textFill>
                        <w14:solidFill>
                          <w14:schemeClr w14:val="tx1"/>
                        </w14:solidFill>
                      </w14:textFill>
                    </w:rPr>
                    <w:t>81</w:t>
                  </w:r>
                </w:p>
              </w:tc>
              <w:tc>
                <w:tcPr>
                  <w:tcW w:w="72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w:t>
                  </w:r>
                  <w:r>
                    <w:rPr>
                      <w:rFonts w:hint="default"/>
                      <w:color w:val="000000" w:themeColor="text1"/>
                      <w14:textFill>
                        <w14:solidFill>
                          <w14:schemeClr w14:val="tx1"/>
                        </w14:solidFill>
                      </w14:textFill>
                    </w:rPr>
                    <w:t>49</w:t>
                  </w:r>
                </w:p>
              </w:tc>
              <w:tc>
                <w:tcPr>
                  <w:tcW w:w="85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0.004</w:t>
                  </w:r>
                  <w:r>
                    <w:rPr>
                      <w:rFonts w:hint="default"/>
                      <w:color w:val="000000" w:themeColor="text1"/>
                      <w14:textFill>
                        <w14:solidFill>
                          <w14:schemeClr w14:val="tx1"/>
                        </w14:solidFill>
                      </w14:textFill>
                    </w:rPr>
                    <w:t>8</w:t>
                  </w:r>
                </w:p>
              </w:tc>
              <w:tc>
                <w:tcPr>
                  <w:tcW w:w="68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22</w:t>
                  </w:r>
                </w:p>
              </w:tc>
              <w:tc>
                <w:tcPr>
                  <w:tcW w:w="84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41"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bl>
          <w:p>
            <w:pPr>
              <w:keepNext w:val="0"/>
              <w:keepLines w:val="0"/>
              <w:suppressLineNumbers w:val="0"/>
              <w:adjustRightInd w:val="0"/>
              <w:snapToGrid w:val="0"/>
              <w:spacing w:before="156" w:beforeLines="50" w:beforeAutospacing="0" w:after="0" w:afterAutospacing="0" w:line="360" w:lineRule="auto"/>
              <w:ind w:left="0" w:right="0" w:firstLine="480" w:firstLineChars="200"/>
              <w:rPr>
                <w:rFonts w:hint="default"/>
                <w:sz w:val="24"/>
              </w:rPr>
            </w:pPr>
            <w:r>
              <w:rPr>
                <w:rFonts w:hint="default"/>
                <w:sz w:val="24"/>
              </w:rPr>
              <w:t>项目水平衡见下图。</w:t>
            </w:r>
          </w:p>
          <w:p>
            <w:pPr>
              <w:keepNext w:val="0"/>
              <w:keepLines w:val="0"/>
              <w:suppressLineNumbers w:val="0"/>
              <w:adjustRightInd w:val="0"/>
              <w:snapToGrid w:val="0"/>
              <w:spacing w:before="156" w:beforeLines="50" w:beforeAutospacing="0" w:after="0" w:afterAutospacing="0" w:line="360" w:lineRule="auto"/>
              <w:ind w:left="0" w:right="0"/>
              <w:jc w:val="center"/>
              <w:rPr>
                <w:rFonts w:hint="default"/>
                <w:sz w:val="24"/>
              </w:rPr>
            </w:pPr>
            <w:r>
              <w:rPr>
                <w:rFonts w:hint="default"/>
                <w:sz w:val="24"/>
              </w:rPr>
              <w:drawing>
                <wp:inline distT="0" distB="0" distL="0" distR="0">
                  <wp:extent cx="4524375" cy="104838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9"/>
                          <a:stretch>
                            <a:fillRect/>
                          </a:stretch>
                        </pic:blipFill>
                        <pic:spPr>
                          <a:xfrm>
                            <a:off x="0" y="0"/>
                            <a:ext cx="4593942" cy="1064807"/>
                          </a:xfrm>
                          <a:prstGeom prst="rect">
                            <a:avLst/>
                          </a:prstGeom>
                        </pic:spPr>
                      </pic:pic>
                    </a:graphicData>
                  </a:graphic>
                </wp:inline>
              </w:drawing>
            </w:r>
          </w:p>
          <w:p>
            <w:pPr>
              <w:keepNext w:val="0"/>
              <w:keepLines w:val="0"/>
              <w:suppressLineNumbers w:val="0"/>
              <w:adjustRightInd w:val="0"/>
              <w:snapToGrid w:val="0"/>
              <w:spacing w:before="0" w:beforeAutospacing="0" w:after="0" w:afterAutospacing="0"/>
              <w:ind w:left="0" w:right="0"/>
              <w:jc w:val="center"/>
              <w:rPr>
                <w:rFonts w:hint="default" w:eastAsia="黑体"/>
                <w:sz w:val="24"/>
              </w:rPr>
            </w:pPr>
            <w:r>
              <w:rPr>
                <w:rFonts w:hint="default" w:eastAsia="黑体"/>
                <w:sz w:val="24"/>
              </w:rPr>
              <w:t>图4    项目水量平衡图（单位：m</w:t>
            </w:r>
            <w:r>
              <w:rPr>
                <w:rFonts w:hint="default" w:eastAsia="黑体"/>
                <w:sz w:val="24"/>
                <w:vertAlign w:val="superscript"/>
              </w:rPr>
              <w:t>3</w:t>
            </w:r>
            <w:r>
              <w:rPr>
                <w:rFonts w:hint="default" w:eastAsia="黑体"/>
                <w:sz w:val="24"/>
              </w:rPr>
              <w:t>/d）</w:t>
            </w:r>
          </w:p>
          <w:p>
            <w:pPr>
              <w:pStyle w:val="3"/>
              <w:keepNext w:val="0"/>
              <w:keepLines w:val="0"/>
              <w:suppressLineNumbers w:val="0"/>
              <w:spacing w:before="0" w:beforeAutospacing="0" w:after="0" w:afterAutospacing="0" w:line="520" w:lineRule="exact"/>
              <w:ind w:left="0" w:leftChars="0" w:right="0" w:firstLine="482" w:firstLineChars="200"/>
              <w:jc w:val="left"/>
              <w:rPr>
                <w:rFonts w:hint="default" w:ascii="Times New Roman" w:hAnsi="Times New Roman"/>
                <w:b/>
                <w:sz w:val="24"/>
                <w:szCs w:val="20"/>
              </w:rPr>
            </w:pPr>
            <w:r>
              <w:rPr>
                <w:rFonts w:hint="default" w:ascii="Times New Roman" w:hAnsi="Times New Roman"/>
                <w:b/>
                <w:sz w:val="24"/>
                <w:szCs w:val="20"/>
              </w:rPr>
              <w:t>3、噪声</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本项目噪声源主要为打磨机、空压机、泵类、风机等设备运行时的噪声，噪声源强在70~90dB(A)之间。项目噪声设备源强见表24。</w:t>
            </w:r>
          </w:p>
          <w:p>
            <w:pPr>
              <w:pStyle w:val="17"/>
              <w:keepNext w:val="0"/>
              <w:keepLines w:val="0"/>
              <w:suppressLineNumbers w:val="0"/>
              <w:spacing w:before="0" w:beforeAutospacing="0" w:after="0" w:afterAutospacing="0"/>
              <w:ind w:left="0" w:right="0"/>
              <w:jc w:val="center"/>
              <w:rPr>
                <w:rFonts w:hint="default" w:ascii="Times New Roman" w:hAnsi="Times New Roman" w:eastAsia="黑体" w:cs="Times New Roman"/>
                <w:sz w:val="24"/>
              </w:rPr>
            </w:pPr>
            <w:r>
              <w:rPr>
                <w:rFonts w:hint="default" w:ascii="Times New Roman" w:hAnsi="Times New Roman" w:eastAsia="黑体" w:cs="Times New Roman"/>
                <w:sz w:val="24"/>
              </w:rPr>
              <w:t>表24   项目噪声污染源状况</w:t>
            </w:r>
          </w:p>
          <w:tbl>
            <w:tblPr>
              <w:tblStyle w:val="38"/>
              <w:tblW w:w="878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2279"/>
              <w:gridCol w:w="2129"/>
              <w:gridCol w:w="1381"/>
              <w:gridCol w:w="1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b/>
                      <w:bCs/>
                    </w:rPr>
                  </w:pPr>
                  <w:r>
                    <w:rPr>
                      <w:rFonts w:hint="default"/>
                      <w:b/>
                      <w:bCs/>
                    </w:rPr>
                    <w:t>序号</w:t>
                  </w:r>
                </w:p>
              </w:tc>
              <w:tc>
                <w:tcPr>
                  <w:tcW w:w="2279" w:type="dxa"/>
                  <w:vAlign w:val="center"/>
                </w:tcPr>
                <w:p>
                  <w:pPr>
                    <w:keepNext w:val="0"/>
                    <w:keepLines w:val="0"/>
                    <w:suppressLineNumbers w:val="0"/>
                    <w:spacing w:before="0" w:beforeAutospacing="0" w:after="0" w:afterAutospacing="0" w:line="320" w:lineRule="exact"/>
                    <w:ind w:left="0" w:right="0"/>
                    <w:jc w:val="center"/>
                    <w:rPr>
                      <w:rFonts w:hint="default"/>
                      <w:b/>
                      <w:bCs/>
                    </w:rPr>
                  </w:pPr>
                  <w:r>
                    <w:rPr>
                      <w:rFonts w:hint="default"/>
                      <w:b/>
                      <w:bCs/>
                    </w:rPr>
                    <w:t>设备噪声</w:t>
                  </w:r>
                </w:p>
              </w:tc>
              <w:tc>
                <w:tcPr>
                  <w:tcW w:w="2129" w:type="dxa"/>
                  <w:vAlign w:val="center"/>
                </w:tcPr>
                <w:p>
                  <w:pPr>
                    <w:keepNext w:val="0"/>
                    <w:keepLines w:val="0"/>
                    <w:suppressLineNumbers w:val="0"/>
                    <w:spacing w:before="0" w:beforeAutospacing="0" w:after="0" w:afterAutospacing="0" w:line="320" w:lineRule="exact"/>
                    <w:ind w:left="0" w:right="0"/>
                    <w:jc w:val="center"/>
                    <w:rPr>
                      <w:rFonts w:hint="default"/>
                      <w:b/>
                      <w:bCs/>
                    </w:rPr>
                  </w:pPr>
                  <w:r>
                    <w:rPr>
                      <w:rFonts w:hint="default"/>
                      <w:b/>
                      <w:bCs/>
                    </w:rPr>
                    <w:t>噪声值dB(A)</w:t>
                  </w:r>
                </w:p>
              </w:tc>
              <w:tc>
                <w:tcPr>
                  <w:tcW w:w="1381" w:type="dxa"/>
                  <w:vAlign w:val="center"/>
                </w:tcPr>
                <w:p>
                  <w:pPr>
                    <w:keepNext w:val="0"/>
                    <w:keepLines w:val="0"/>
                    <w:suppressLineNumbers w:val="0"/>
                    <w:spacing w:before="0" w:beforeAutospacing="0" w:after="0" w:afterAutospacing="0" w:line="320" w:lineRule="exact"/>
                    <w:ind w:left="0" w:right="0"/>
                    <w:jc w:val="center"/>
                    <w:rPr>
                      <w:rFonts w:hint="default"/>
                      <w:b/>
                      <w:bCs/>
                    </w:rPr>
                  </w:pPr>
                  <w:r>
                    <w:rPr>
                      <w:rFonts w:hint="default"/>
                      <w:b/>
                      <w:bCs/>
                    </w:rPr>
                    <w:t>数量</w:t>
                  </w:r>
                </w:p>
              </w:tc>
              <w:tc>
                <w:tcPr>
                  <w:tcW w:w="1748" w:type="dxa"/>
                  <w:vAlign w:val="center"/>
                </w:tcPr>
                <w:p>
                  <w:pPr>
                    <w:keepNext w:val="0"/>
                    <w:keepLines w:val="0"/>
                    <w:suppressLineNumbers w:val="0"/>
                    <w:spacing w:before="0" w:beforeAutospacing="0" w:after="0" w:afterAutospacing="0" w:line="320" w:lineRule="exact"/>
                    <w:ind w:left="0" w:right="0"/>
                    <w:jc w:val="center"/>
                    <w:rPr>
                      <w:rFonts w:hint="default"/>
                      <w:b/>
                      <w:bCs/>
                    </w:rPr>
                  </w:pPr>
                  <w:r>
                    <w:rPr>
                      <w:rFonts w:hint="default"/>
                      <w:b/>
                      <w:bCs/>
                    </w:rPr>
                    <w:t>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1</w:t>
                  </w:r>
                </w:p>
              </w:tc>
              <w:tc>
                <w:tcPr>
                  <w:tcW w:w="2279" w:type="dxa"/>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打磨机</w:t>
                  </w:r>
                </w:p>
              </w:tc>
              <w:tc>
                <w:tcPr>
                  <w:tcW w:w="2129"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70</w:t>
                  </w:r>
                </w:p>
              </w:tc>
              <w:tc>
                <w:tcPr>
                  <w:tcW w:w="1381" w:type="dxa"/>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30台</w:t>
                  </w:r>
                </w:p>
              </w:tc>
              <w:tc>
                <w:tcPr>
                  <w:tcW w:w="1748" w:type="dxa"/>
                  <w:vMerge w:val="restar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采用基础减振、建筑隔声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2</w:t>
                  </w:r>
                </w:p>
              </w:tc>
              <w:tc>
                <w:tcPr>
                  <w:tcW w:w="2279" w:type="dxa"/>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喷枪</w:t>
                  </w:r>
                </w:p>
              </w:tc>
              <w:tc>
                <w:tcPr>
                  <w:tcW w:w="2129"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70</w:t>
                  </w:r>
                </w:p>
              </w:tc>
              <w:tc>
                <w:tcPr>
                  <w:tcW w:w="1381" w:type="dxa"/>
                  <w:vAlign w:val="center"/>
                </w:tcPr>
                <w:p>
                  <w:pPr>
                    <w:keepNext w:val="0"/>
                    <w:keepLines w:val="0"/>
                    <w:suppressLineNumbers w:val="0"/>
                    <w:spacing w:before="0" w:beforeAutospacing="0" w:after="0" w:afterAutospacing="0"/>
                    <w:ind w:left="0" w:right="0"/>
                    <w:jc w:val="center"/>
                    <w:rPr>
                      <w:rFonts w:hint="default"/>
                    </w:rPr>
                  </w:pPr>
                  <w:r>
                    <w:rPr>
                      <w:rFonts w:hint="default"/>
                      <w:kern w:val="0"/>
                    </w:rPr>
                    <w:t>6台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3</w:t>
                  </w:r>
                </w:p>
              </w:tc>
              <w:tc>
                <w:tcPr>
                  <w:tcW w:w="2279" w:type="dxa"/>
                  <w:vAlign w:val="center"/>
                </w:tcPr>
                <w:p>
                  <w:pPr>
                    <w:keepNext w:val="0"/>
                    <w:keepLines w:val="0"/>
                    <w:suppressLineNumbers w:val="0"/>
                    <w:spacing w:before="0" w:beforeAutospacing="0" w:after="0" w:afterAutospacing="0"/>
                    <w:ind w:left="0" w:right="0"/>
                    <w:jc w:val="center"/>
                    <w:rPr>
                      <w:rFonts w:hint="default"/>
                    </w:rPr>
                  </w:pPr>
                  <w:r>
                    <w:rPr>
                      <w:rFonts w:hint="default"/>
                    </w:rPr>
                    <w:t>风机</w:t>
                  </w:r>
                </w:p>
              </w:tc>
              <w:tc>
                <w:tcPr>
                  <w:tcW w:w="2129"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90</w:t>
                  </w:r>
                </w:p>
              </w:tc>
              <w:tc>
                <w:tcPr>
                  <w:tcW w:w="1381" w:type="dxa"/>
                  <w:vAlign w:val="center"/>
                </w:tcPr>
                <w:p>
                  <w:pPr>
                    <w:keepNext w:val="0"/>
                    <w:keepLines w:val="0"/>
                    <w:suppressLineNumbers w:val="0"/>
                    <w:spacing w:before="0" w:beforeAutospacing="0" w:after="0" w:afterAutospacing="0"/>
                    <w:ind w:left="0" w:right="0"/>
                    <w:jc w:val="center"/>
                    <w:rPr>
                      <w:rFonts w:hint="default"/>
                    </w:rPr>
                  </w:pPr>
                  <w:r>
                    <w:rPr>
                      <w:rFonts w:hint="eastAsia"/>
                      <w:kern w:val="0"/>
                    </w:rPr>
                    <w:t>6</w:t>
                  </w:r>
                  <w:r>
                    <w:rPr>
                      <w:rFonts w:hint="default"/>
                      <w:kern w:val="0"/>
                    </w:rPr>
                    <w:t>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4</w:t>
                  </w:r>
                </w:p>
              </w:tc>
              <w:tc>
                <w:tcPr>
                  <w:tcW w:w="2279"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空压机</w:t>
                  </w:r>
                </w:p>
              </w:tc>
              <w:tc>
                <w:tcPr>
                  <w:tcW w:w="2129" w:type="dxa"/>
                  <w:vAlign w:val="center"/>
                </w:tcPr>
                <w:p>
                  <w:pPr>
                    <w:keepNext w:val="0"/>
                    <w:keepLines w:val="0"/>
                    <w:suppressLineNumbers w:val="0"/>
                    <w:spacing w:before="0" w:beforeAutospacing="0" w:after="0" w:afterAutospacing="0"/>
                    <w:ind w:left="0" w:right="0"/>
                    <w:jc w:val="center"/>
                    <w:rPr>
                      <w:rFonts w:hint="default"/>
                    </w:rPr>
                  </w:pPr>
                  <w:r>
                    <w:rPr>
                      <w:rFonts w:hint="default"/>
                    </w:rPr>
                    <w:t>90</w:t>
                  </w:r>
                </w:p>
              </w:tc>
              <w:tc>
                <w:tcPr>
                  <w:tcW w:w="138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1台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5</w:t>
                  </w:r>
                </w:p>
              </w:tc>
              <w:tc>
                <w:tcPr>
                  <w:tcW w:w="2279"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压力泵</w:t>
                  </w:r>
                </w:p>
              </w:tc>
              <w:tc>
                <w:tcPr>
                  <w:tcW w:w="2129" w:type="dxa"/>
                  <w:vAlign w:val="center"/>
                </w:tcPr>
                <w:p>
                  <w:pPr>
                    <w:keepNext w:val="0"/>
                    <w:keepLines w:val="0"/>
                    <w:suppressLineNumbers w:val="0"/>
                    <w:spacing w:before="0" w:beforeAutospacing="0" w:after="0" w:afterAutospacing="0"/>
                    <w:ind w:left="0" w:right="0"/>
                    <w:jc w:val="center"/>
                    <w:rPr>
                      <w:rFonts w:hint="default"/>
                    </w:rPr>
                  </w:pPr>
                  <w:r>
                    <w:rPr>
                      <w:rFonts w:hint="default"/>
                    </w:rPr>
                    <w:t>75</w:t>
                  </w:r>
                </w:p>
              </w:tc>
              <w:tc>
                <w:tcPr>
                  <w:tcW w:w="138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2台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6</w:t>
                  </w:r>
                </w:p>
              </w:tc>
              <w:tc>
                <w:tcPr>
                  <w:tcW w:w="2279"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起重机</w:t>
                  </w:r>
                </w:p>
              </w:tc>
              <w:tc>
                <w:tcPr>
                  <w:tcW w:w="2129" w:type="dxa"/>
                  <w:vAlign w:val="center"/>
                </w:tcPr>
                <w:p>
                  <w:pPr>
                    <w:keepNext w:val="0"/>
                    <w:keepLines w:val="0"/>
                    <w:suppressLineNumbers w:val="0"/>
                    <w:spacing w:before="0" w:beforeAutospacing="0" w:after="0" w:afterAutospacing="0"/>
                    <w:ind w:left="0" w:right="0"/>
                    <w:jc w:val="center"/>
                    <w:rPr>
                      <w:rFonts w:hint="default"/>
                    </w:rPr>
                  </w:pPr>
                  <w:r>
                    <w:rPr>
                      <w:rFonts w:hint="default"/>
                    </w:rPr>
                    <w:t>80</w:t>
                  </w:r>
                </w:p>
              </w:tc>
              <w:tc>
                <w:tcPr>
                  <w:tcW w:w="138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1台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7" w:type="dxa"/>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w:t>
                  </w:r>
                </w:p>
              </w:tc>
              <w:tc>
                <w:tcPr>
                  <w:tcW w:w="2279"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清洗机</w:t>
                  </w:r>
                </w:p>
              </w:tc>
              <w:tc>
                <w:tcPr>
                  <w:tcW w:w="2129" w:type="dxa"/>
                  <w:vAlign w:val="center"/>
                </w:tcPr>
                <w:p>
                  <w:pPr>
                    <w:keepNext w:val="0"/>
                    <w:keepLines w:val="0"/>
                    <w:suppressLineNumbers w:val="0"/>
                    <w:spacing w:before="0" w:beforeAutospacing="0" w:after="0" w:afterAutospacing="0"/>
                    <w:ind w:left="0" w:right="0"/>
                    <w:jc w:val="center"/>
                    <w:rPr>
                      <w:rFonts w:hint="default"/>
                    </w:rPr>
                  </w:pPr>
                  <w:r>
                    <w:rPr>
                      <w:rFonts w:hint="default"/>
                    </w:rPr>
                    <w:t>70</w:t>
                  </w:r>
                </w:p>
              </w:tc>
              <w:tc>
                <w:tcPr>
                  <w:tcW w:w="138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4台</w:t>
                  </w:r>
                </w:p>
              </w:tc>
              <w:tc>
                <w:tcPr>
                  <w:tcW w:w="1748" w:type="dxa"/>
                  <w:vMerge w:val="continue"/>
                  <w:vAlign w:val="center"/>
                </w:tcPr>
                <w:p>
                  <w:pPr>
                    <w:keepNext w:val="0"/>
                    <w:keepLines w:val="0"/>
                    <w:suppressLineNumbers w:val="0"/>
                    <w:spacing w:before="0" w:beforeAutospacing="0" w:after="0" w:afterAutospacing="0" w:line="320" w:lineRule="exact"/>
                    <w:ind w:left="0" w:right="0"/>
                    <w:jc w:val="center"/>
                    <w:rPr>
                      <w:rFonts w:hint="default"/>
                    </w:rPr>
                  </w:pPr>
                </w:p>
              </w:tc>
            </w:tr>
          </w:tbl>
          <w:p>
            <w:pPr>
              <w:pStyle w:val="3"/>
              <w:keepNext w:val="0"/>
              <w:keepLines w:val="0"/>
              <w:suppressLineNumbers w:val="0"/>
              <w:spacing w:before="0" w:beforeAutospacing="0" w:after="0" w:afterAutospacing="0" w:line="520" w:lineRule="exact"/>
              <w:ind w:left="0" w:leftChars="0" w:right="0" w:firstLine="482" w:firstLineChars="200"/>
              <w:jc w:val="left"/>
              <w:rPr>
                <w:rFonts w:hint="default" w:ascii="Times New Roman" w:hAnsi="Times New Roman"/>
                <w:b/>
                <w:sz w:val="24"/>
                <w:szCs w:val="20"/>
              </w:rPr>
            </w:pPr>
            <w:r>
              <w:rPr>
                <w:rFonts w:hint="default" w:ascii="Times New Roman" w:hAnsi="Times New Roman"/>
                <w:b/>
                <w:sz w:val="24"/>
                <w:szCs w:val="20"/>
              </w:rPr>
              <w:t>4、固体废物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本项目固废主要包括一般固体废物、生活垃圾和危险废物。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（1）一般固体废物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sz w:val="24"/>
              </w:rPr>
            </w:pPr>
            <w:r>
              <w:rPr>
                <w:rFonts w:hint="default"/>
                <w:color w:val="000000"/>
                <w:sz w:val="24"/>
              </w:rPr>
              <w:t>项目维修过程中会产生废旧零部件，产生量约为1t/a，收集后外售至废品站。项目维修工序更新零部件会产生废旧包装盒等，产生量约为0.2t/a，统一收集后外售至废品站。</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96" w:firstLineChars="200"/>
              <w:rPr>
                <w:rFonts w:hint="default"/>
                <w:spacing w:val="4"/>
                <w:sz w:val="24"/>
              </w:rPr>
            </w:pPr>
            <w:r>
              <w:rPr>
                <w:rFonts w:hint="default"/>
                <w:spacing w:val="4"/>
                <w:sz w:val="24"/>
                <w:szCs w:val="24"/>
              </w:rPr>
              <w:t>（2）</w:t>
            </w:r>
            <w:r>
              <w:rPr>
                <w:rFonts w:hint="default"/>
                <w:spacing w:val="4"/>
                <w:sz w:val="24"/>
              </w:rPr>
              <w:t>生活垃圾</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96" w:firstLineChars="200"/>
              <w:rPr>
                <w:rFonts w:hint="default"/>
                <w:sz w:val="24"/>
              </w:rPr>
            </w:pPr>
            <w:r>
              <w:rPr>
                <w:rFonts w:hint="default"/>
                <w:spacing w:val="4"/>
                <w:sz w:val="24"/>
              </w:rPr>
              <w:t>厂区定员54人，</w:t>
            </w:r>
            <w:r>
              <w:rPr>
                <w:rFonts w:hint="default"/>
                <w:sz w:val="24"/>
              </w:rPr>
              <w:t xml:space="preserve">生活垃圾产生量按0.5kg/人·d，则生活垃圾产生量为27kg/d，全年产生9.855t，送往维修基地生活垃圾暂存区，统一交由环卫部门处置。 </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（3）危险废物：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项目废有机溶剂桶产生量为2t/a，根据《国家危险废物名录》（2016年），属于危险废物HW49，代码为900-041-49（含有或沾染毒性、感染性危险废物的废弃包装物、容器、过滤吸附介质），交由有资质单位处理。</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飞机维修时产生的废机油以及沾染机油的废抹布、手套等，年产生量约为0.5t/a，根据《国家危险废物名录》（2016年），属于危险废物HW08，代码为900-214-08（车辆、机械维修和拆解过程中产生的废发动机油、制动器油、自动变速器油、齿轮油等废润滑油），交由有资质单位处理。</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清洗废水预处理过程中的过滤棉需定期更换，废过滤棉（含杂质）的产生量为0.8t/a，根据《国家危险废物名录》（2016年），属于危险废物HW08，代码为900-210-08（油/水分离设施产生的废油、油泥及废水处理产生的浮渣和污泥，不包括废水生化处理污泥），交由有资质单位处理。</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sz w:val="24"/>
              </w:rPr>
              <w:t>项目喷漆产生的漆雾采用干式过滤器进行处理，</w:t>
            </w:r>
            <w:r>
              <w:rPr>
                <w:rFonts w:hint="eastAsia"/>
                <w:sz w:val="24"/>
              </w:rPr>
              <w:t>滤芯</w:t>
            </w:r>
            <w:r>
              <w:rPr>
                <w:rFonts w:hint="default"/>
                <w:sz w:val="24"/>
              </w:rPr>
              <w:t>（含漆渣）要求定期更换。项目</w:t>
            </w:r>
            <w:r>
              <w:rPr>
                <w:rFonts w:hint="eastAsia"/>
                <w:sz w:val="24"/>
              </w:rPr>
              <w:t>滤芯</w:t>
            </w:r>
            <w:r>
              <w:rPr>
                <w:rFonts w:hint="default"/>
                <w:sz w:val="24"/>
              </w:rPr>
              <w:t>使用量约是吸附漆雾量的2 倍，</w:t>
            </w:r>
            <w:r>
              <w:rPr>
                <w:rFonts w:hint="eastAsia"/>
                <w:sz w:val="24"/>
              </w:rPr>
              <w:t>滤芯</w:t>
            </w:r>
            <w:r>
              <w:rPr>
                <w:rFonts w:hint="default"/>
                <w:sz w:val="24"/>
              </w:rPr>
              <w:t>吸附漆雾的量为1.1664t/a，则</w:t>
            </w:r>
            <w:r>
              <w:rPr>
                <w:rFonts w:hint="eastAsia"/>
                <w:sz w:val="24"/>
              </w:rPr>
              <w:t>滤芯</w:t>
            </w:r>
            <w:r>
              <w:rPr>
                <w:rFonts w:hint="default"/>
                <w:sz w:val="24"/>
              </w:rPr>
              <w:t>的使用量约为2.3328t/a，废</w:t>
            </w:r>
            <w:r>
              <w:rPr>
                <w:rFonts w:hint="eastAsia"/>
                <w:sz w:val="24"/>
              </w:rPr>
              <w:t>滤芯</w:t>
            </w:r>
            <w:r>
              <w:rPr>
                <w:rFonts w:hint="default"/>
                <w:sz w:val="24"/>
              </w:rPr>
              <w:t>（含漆渣）产生量为3.4992t/a，项目打磨过程采用</w:t>
            </w:r>
            <w:r>
              <w:rPr>
                <w:rFonts w:hint="eastAsia"/>
                <w:sz w:val="24"/>
              </w:rPr>
              <w:t>干式</w:t>
            </w:r>
            <w:r>
              <w:rPr>
                <w:rFonts w:hint="default"/>
                <w:sz w:val="24"/>
              </w:rPr>
              <w:t>过滤器进行过滤，滤芯要求定期更换清理</w:t>
            </w:r>
            <w:r>
              <w:rPr>
                <w:rFonts w:hint="eastAsia"/>
                <w:sz w:val="24"/>
              </w:rPr>
              <w:t>，</w:t>
            </w:r>
            <w:r>
              <w:rPr>
                <w:rFonts w:hint="default"/>
                <w:sz w:val="24"/>
              </w:rPr>
              <w:t>根据计算，废滤芯产生量（含</w:t>
            </w:r>
            <w:r>
              <w:rPr>
                <w:rFonts w:hint="eastAsia"/>
                <w:sz w:val="24"/>
              </w:rPr>
              <w:t>漆粉尘</w:t>
            </w:r>
            <w:r>
              <w:rPr>
                <w:rFonts w:hint="default"/>
                <w:sz w:val="24"/>
              </w:rPr>
              <w:t>）为1.7</w:t>
            </w:r>
            <w:r>
              <w:rPr>
                <w:rFonts w:hint="default"/>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根据《国家危险废物名录》（2016年），含漆渣</w:t>
            </w:r>
            <w:r>
              <w:rPr>
                <w:rFonts w:hint="eastAsia"/>
                <w:color w:val="000000" w:themeColor="text1"/>
                <w:sz w:val="24"/>
                <w14:textFill>
                  <w14:solidFill>
                    <w14:schemeClr w14:val="tx1"/>
                  </w14:solidFill>
                </w14:textFill>
              </w:rPr>
              <w:t>废滤芯和含漆粉尘废滤芯均</w:t>
            </w:r>
            <w:r>
              <w:rPr>
                <w:rFonts w:hint="default"/>
                <w:color w:val="000000" w:themeColor="text1"/>
                <w:sz w:val="24"/>
                <w14:textFill>
                  <w14:solidFill>
                    <w14:schemeClr w14:val="tx1"/>
                  </w14:solidFill>
                </w14:textFill>
              </w:rPr>
              <w:t>属于危险废物HW12，产生总量为5.1992t/a，代码为900-251-12（使用油漆不包括水性漆，有机溶剂进行喷漆、上漆过程中产生的废物），交由有资质单位处理。</w:t>
            </w:r>
          </w:p>
          <w:p>
            <w:pPr>
              <w:keepNext w:val="0"/>
              <w:keepLines w:val="0"/>
              <w:suppressLineNumbers w:val="0"/>
              <w:tabs>
                <w:tab w:val="left" w:pos="1440"/>
                <w:tab w:val="left" w:pos="1800"/>
              </w:tabs>
              <w:adjustRightInd w:val="0"/>
              <w:snapToGrid w:val="0"/>
              <w:spacing w:before="0" w:beforeAutospacing="0" w:after="0" w:afterAutospacing="0" w:line="48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项目设</w:t>
            </w:r>
            <w:r>
              <w:rPr>
                <w:rFonts w:hint="eastAsia"/>
                <w:bCs/>
                <w:color w:val="000000" w:themeColor="text1"/>
                <w:sz w:val="24"/>
                <w14:textFill>
                  <w14:solidFill>
                    <w14:schemeClr w14:val="tx1"/>
                  </w14:solidFill>
                </w14:textFill>
              </w:rPr>
              <w:t>蜂窝活性炭单元</w:t>
            </w:r>
            <w:r>
              <w:rPr>
                <w:rFonts w:hint="default"/>
                <w:bCs/>
                <w:color w:val="000000" w:themeColor="text1"/>
                <w:sz w:val="24"/>
                <w14:textFill>
                  <w14:solidFill>
                    <w14:schemeClr w14:val="tx1"/>
                  </w14:solidFill>
                </w14:textFill>
              </w:rPr>
              <w:t>处理有机废气。</w:t>
            </w:r>
            <w:r>
              <w:rPr>
                <w:rFonts w:hint="default"/>
                <w:color w:val="000000" w:themeColor="text1"/>
                <w:sz w:val="24"/>
                <w14:textFill>
                  <w14:solidFill>
                    <w14:schemeClr w14:val="tx1"/>
                  </w14:solidFill>
                </w14:textFill>
              </w:rPr>
              <w:t>根据《国家危险废物名录》（2016年），废活性炭属于危险废物HW49，代码为900-041-49（含有或沾染毒性、感染性危险废物的废弃包装物、容器、过滤吸附介质），交由有资质单位处理。根据工程分析，项目活性炭吸附箱吸附废气量约为3.2815t/a，活性炭吸附箱的吸附能力为1:0.3，则活性炭的用量约为10.9384t/a，故项目废活性炭产生量共约14.2199t/a。</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96" w:firstLineChars="200"/>
              <w:rPr>
                <w:rFonts w:hint="default"/>
                <w:spacing w:val="4"/>
                <w:sz w:val="24"/>
              </w:rPr>
            </w:pPr>
            <w:r>
              <w:rPr>
                <w:rFonts w:hint="default"/>
                <w:spacing w:val="4"/>
                <w:sz w:val="24"/>
              </w:rPr>
              <w:t>本项目固体废物产生情况汇总如下表。</w:t>
            </w:r>
          </w:p>
          <w:p>
            <w:pPr>
              <w:keepNext w:val="0"/>
              <w:keepLines w:val="0"/>
              <w:suppressLineNumbers w:val="0"/>
              <w:adjustRightInd w:val="0"/>
              <w:snapToGrid w:val="0"/>
              <w:spacing w:before="62" w:beforeLines="20" w:beforeAutospacing="0" w:after="31" w:afterLines="10" w:afterAutospacing="0"/>
              <w:ind w:left="0" w:right="0"/>
              <w:jc w:val="center"/>
              <w:rPr>
                <w:rFonts w:hint="default" w:eastAsia="黑体"/>
                <w:sz w:val="24"/>
                <w:szCs w:val="24"/>
              </w:rPr>
            </w:pPr>
            <w:r>
              <w:rPr>
                <w:rFonts w:hint="default" w:eastAsia="黑体"/>
                <w:sz w:val="24"/>
                <w:szCs w:val="24"/>
              </w:rPr>
              <w:t>表25   固体废物产生情况汇总表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96"/>
              <w:gridCol w:w="1251"/>
              <w:gridCol w:w="1096"/>
              <w:gridCol w:w="1674"/>
              <w:gridCol w:w="1354"/>
              <w:gridCol w:w="271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序号</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废物名称</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产生工序</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属性</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产生量（t/a）</w:t>
                  </w:r>
                </w:p>
              </w:tc>
              <w:tc>
                <w:tcPr>
                  <w:tcW w:w="1544"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最终去向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1</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废旧零部件</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维修工序</w:t>
                  </w:r>
                </w:p>
              </w:tc>
              <w:tc>
                <w:tcPr>
                  <w:tcW w:w="953" w:type="pct"/>
                  <w:vMerge w:val="restar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一般工业固废</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1</w:t>
                  </w:r>
                </w:p>
              </w:tc>
              <w:tc>
                <w:tcPr>
                  <w:tcW w:w="1544" w:type="pct"/>
                  <w:vMerge w:val="restart"/>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收集后统一外售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2</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废旧包装盒</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维修工序</w:t>
                  </w:r>
                </w:p>
              </w:tc>
              <w:tc>
                <w:tcPr>
                  <w:tcW w:w="953" w:type="pct"/>
                  <w:vMerge w:val="continue"/>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0.2</w:t>
                  </w:r>
                </w:p>
              </w:tc>
              <w:tc>
                <w:tcPr>
                  <w:tcW w:w="1544" w:type="pct"/>
                  <w:vMerge w:val="continue"/>
                  <w:vAlign w:val="center"/>
                </w:tcPr>
                <w:p>
                  <w:pPr>
                    <w:pStyle w:val="13"/>
                    <w:keepNext w:val="0"/>
                    <w:keepLines w:val="0"/>
                    <w:suppressLineNumbers w:val="0"/>
                    <w:spacing w:before="0" w:beforeAutospacing="0" w:afterAutospacing="0" w:line="240" w:lineRule="atLeast"/>
                    <w:ind w:left="0" w:right="0"/>
                    <w:jc w:val="center"/>
                    <w:rPr>
                      <w:rFonts w:hint="default" w:ascii="Times New Roman" w:hAnsi="Times New Roman" w:cs="Times New Roman"/>
                      <w:color w:val="000000"/>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eastAsia"/>
                      <w:color w:val="000000"/>
                    </w:rPr>
                    <w:t>3</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生活垃圾</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日常办公</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生活垃圾</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9.855</w:t>
                  </w:r>
                </w:p>
              </w:tc>
              <w:tc>
                <w:tcPr>
                  <w:tcW w:w="1544" w:type="pct"/>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送往维修基地生活垃圾暂存区，统一交由环卫部门处置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eastAsia"/>
                      <w:color w:val="000000"/>
                    </w:rPr>
                    <w:t>4</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废有机溶剂桶</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喷漆工序</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危险废物HW49（900-041-49）</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2</w:t>
                  </w:r>
                </w:p>
              </w:tc>
              <w:tc>
                <w:tcPr>
                  <w:tcW w:w="1544" w:type="pct"/>
                  <w:vMerge w:val="restart"/>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themeColor="text1"/>
                      <w:sz w:val="21"/>
                      <w:szCs w:val="21"/>
                      <w14:textFill>
                        <w14:solidFill>
                          <w14:schemeClr w14:val="tx1"/>
                        </w14:solidFill>
                      </w14:textFill>
                    </w:rPr>
                    <w:t>依托维修基地现有的危废暂存间暂存后，交由有资质单位处理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eastAsia"/>
                      <w:color w:val="000000"/>
                    </w:rPr>
                    <w:t>5</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废机油、含有手套、抹布</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维修工序</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危险废物HW08（900-214-08）</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0.5</w:t>
                  </w:r>
                </w:p>
              </w:tc>
              <w:tc>
                <w:tcPr>
                  <w:tcW w:w="1544" w:type="pct"/>
                  <w:vMerge w:val="continue"/>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eastAsia"/>
                      <w:color w:val="000000"/>
                    </w:rPr>
                    <w:t>6</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废过滤棉（含杂质）</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废水过滤</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危险废物HW08（900-210-08）</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w:t>
                  </w:r>
                </w:p>
              </w:tc>
              <w:tc>
                <w:tcPr>
                  <w:tcW w:w="1544" w:type="pct"/>
                  <w:vMerge w:val="continue"/>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8</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w:t>
                  </w:r>
                  <w:r>
                    <w:rPr>
                      <w:rFonts w:hint="eastAsia"/>
                      <w:color w:val="000000"/>
                    </w:rPr>
                    <w:t>滤芯</w:t>
                  </w:r>
                  <w:r>
                    <w:rPr>
                      <w:rFonts w:hint="default"/>
                      <w:color w:val="000000"/>
                    </w:rPr>
                    <w:t>（含漆雾）</w:t>
                  </w:r>
                  <w:r>
                    <w:rPr>
                      <w:rFonts w:hint="eastAsia"/>
                      <w:color w:val="000000"/>
                    </w:rPr>
                    <w:t>、废滤芯（含漆粉尘）</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环保设备</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危险废物HW12（900-251-12）</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rFonts w:hint="default"/>
                      <w:color w:val="000000" w:themeColor="text1"/>
                      <w14:textFill>
                        <w14:solidFill>
                          <w14:schemeClr w14:val="tx1"/>
                        </w14:solidFill>
                      </w14:textFill>
                    </w:rPr>
                    <w:t>1992</w:t>
                  </w:r>
                </w:p>
              </w:tc>
              <w:tc>
                <w:tcPr>
                  <w:tcW w:w="1544" w:type="pct"/>
                  <w:vMerge w:val="continue"/>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39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eastAsia"/>
                      <w:color w:val="000000"/>
                    </w:rPr>
                    <w:t>8</w:t>
                  </w:r>
                </w:p>
              </w:tc>
              <w:tc>
                <w:tcPr>
                  <w:tcW w:w="712"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废活性炭</w:t>
                  </w:r>
                </w:p>
              </w:tc>
              <w:tc>
                <w:tcPr>
                  <w:tcW w:w="624"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环保设备</w:t>
                  </w:r>
                </w:p>
              </w:tc>
              <w:tc>
                <w:tcPr>
                  <w:tcW w:w="953"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rPr>
                  </w:pPr>
                  <w:r>
                    <w:rPr>
                      <w:rFonts w:hint="default"/>
                      <w:color w:val="000000"/>
                    </w:rPr>
                    <w:t>危险废物HW49（900-041-49）</w:t>
                  </w:r>
                </w:p>
              </w:tc>
              <w:tc>
                <w:tcPr>
                  <w:tcW w:w="771"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14.2199</w:t>
                  </w:r>
                </w:p>
              </w:tc>
              <w:tc>
                <w:tcPr>
                  <w:tcW w:w="1544" w:type="pct"/>
                  <w:vMerge w:val="continue"/>
                  <w:vAlign w:val="center"/>
                </w:tcPr>
                <w:p>
                  <w:pPr>
                    <w:pStyle w:val="13"/>
                    <w:keepNext w:val="0"/>
                    <w:keepLines w:val="0"/>
                    <w:suppressLineNumbers w:val="0"/>
                    <w:spacing w:before="0" w:beforeAutospacing="0" w:after="0" w:afterAutospacing="0" w:line="240" w:lineRule="atLeast"/>
                    <w:ind w:left="0" w:right="0"/>
                    <w:jc w:val="center"/>
                    <w:rPr>
                      <w:rFonts w:hint="default" w:ascii="Times New Roman" w:hAnsi="Times New Roman" w:cs="Times New Roman"/>
                      <w:sz w:val="21"/>
                      <w:szCs w:val="21"/>
                    </w:rPr>
                  </w:pPr>
                </w:p>
              </w:tc>
            </w:tr>
          </w:tbl>
          <w:p>
            <w:pPr>
              <w:keepNext w:val="0"/>
              <w:keepLines w:val="0"/>
              <w:suppressLineNumbers w:val="0"/>
              <w:adjustRightInd w:val="0"/>
              <w:snapToGrid w:val="0"/>
              <w:spacing w:before="0" w:beforeAutospacing="0" w:after="0" w:afterAutospacing="0"/>
              <w:ind w:left="0" w:right="0"/>
              <w:rPr>
                <w:rFonts w:hint="default"/>
                <w:bCs/>
                <w:sz w:val="10"/>
                <w:szCs w:val="10"/>
              </w:rPr>
            </w:pPr>
          </w:p>
          <w:p>
            <w:pPr>
              <w:pStyle w:val="3"/>
              <w:keepNext w:val="0"/>
              <w:keepLines w:val="0"/>
              <w:suppressLineNumbers w:val="0"/>
              <w:spacing w:before="0" w:beforeAutospacing="0" w:after="0" w:afterAutospacing="0" w:line="520" w:lineRule="exact"/>
              <w:ind w:left="0" w:leftChars="0" w:right="0" w:firstLine="482" w:firstLineChars="200"/>
              <w:jc w:val="left"/>
              <w:rPr>
                <w:rFonts w:hint="default" w:ascii="Times New Roman" w:hAnsi="Times New Roman"/>
                <w:b/>
                <w:sz w:val="24"/>
                <w:szCs w:val="20"/>
              </w:rPr>
            </w:pPr>
            <w:r>
              <w:rPr>
                <w:rFonts w:hint="default" w:ascii="Times New Roman" w:hAnsi="Times New Roman"/>
                <w:b/>
                <w:sz w:val="24"/>
                <w:szCs w:val="20"/>
              </w:rPr>
              <w:t>5、土壤环境</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本项目在非正常状况下油漆的跑、冒、滴、漏可能对土壤环境产生影响。在采取对整个机</w:t>
            </w:r>
            <w:r>
              <w:rPr>
                <w:rFonts w:hint="default"/>
                <w:color w:val="000000" w:themeColor="text1"/>
                <w:sz w:val="24"/>
                <w14:textFill>
                  <w14:solidFill>
                    <w14:schemeClr w14:val="tx1"/>
                  </w14:solidFill>
                </w14:textFill>
              </w:rPr>
              <w:t>库、油漆暂存区、地下导流沟等做硬化、防渗、防腐处理，并做好废水管网的防渗的前提下，项目运行过程对土壤环境影响较小。</w:t>
            </w:r>
          </w:p>
        </w:tc>
      </w:tr>
    </w:tbl>
    <w:p>
      <w:pPr>
        <w:tabs>
          <w:tab w:val="left" w:pos="5760"/>
        </w:tabs>
        <w:adjustRightInd w:val="0"/>
        <w:snapToGrid w:val="0"/>
        <w:spacing w:line="520" w:lineRule="exact"/>
        <w:rPr>
          <w:b/>
          <w:sz w:val="30"/>
          <w:szCs w:val="30"/>
        </w:rPr>
        <w:sectPr>
          <w:pgSz w:w="11906" w:h="16838"/>
          <w:pgMar w:top="1440" w:right="1286" w:bottom="1440" w:left="1440" w:header="851" w:footer="992" w:gutter="170"/>
          <w:pgBorders>
            <w:top w:val="none" w:sz="0" w:space="0"/>
            <w:left w:val="none" w:sz="0" w:space="0"/>
            <w:bottom w:val="none" w:sz="0" w:space="0"/>
            <w:right w:val="none" w:sz="0" w:space="0"/>
          </w:pgBorders>
          <w:cols w:space="720" w:num="1"/>
          <w:titlePg/>
          <w:docGrid w:type="lines" w:linePitch="312" w:charSpace="0"/>
        </w:sectPr>
      </w:pPr>
      <w:bookmarkStart w:id="86" w:name="_Toc193872738"/>
      <w:bookmarkStart w:id="87" w:name="_Toc178817701"/>
      <w:bookmarkStart w:id="88" w:name="_Toc171761618"/>
    </w:p>
    <w:p>
      <w:pPr>
        <w:tabs>
          <w:tab w:val="left" w:pos="5760"/>
        </w:tabs>
        <w:adjustRightInd w:val="0"/>
        <w:snapToGrid w:val="0"/>
        <w:spacing w:line="520" w:lineRule="exact"/>
        <w:rPr>
          <w:b/>
          <w:sz w:val="30"/>
          <w:szCs w:val="30"/>
        </w:rPr>
      </w:pPr>
      <w:r>
        <w:rPr>
          <w:b/>
          <w:sz w:val="30"/>
          <w:szCs w:val="30"/>
        </w:rPr>
        <w:t>项目主要污染物产生及预计排放情况</w:t>
      </w:r>
      <w:bookmarkEnd w:id="86"/>
    </w:p>
    <w:tbl>
      <w:tblPr>
        <w:tblStyle w:val="38"/>
        <w:tblW w:w="90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7"/>
        <w:gridCol w:w="1276"/>
        <w:gridCol w:w="1844"/>
        <w:gridCol w:w="2409"/>
        <w:gridCol w:w="28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707" w:type="dxa"/>
            <w:tcBorders>
              <w:top w:val="single" w:color="auto" w:sz="4" w:space="0"/>
              <w:left w:val="single" w:color="auto" w:sz="4" w:space="0"/>
              <w:bottom w:val="single" w:color="auto" w:sz="6" w:space="0"/>
              <w:right w:val="single" w:color="auto" w:sz="6" w:space="0"/>
              <w:tl2br w:val="single" w:color="auto" w:sz="6" w:space="0"/>
            </w:tcBorders>
          </w:tcPr>
          <w:p>
            <w:pPr>
              <w:keepNext w:val="0"/>
              <w:keepLines w:val="0"/>
              <w:suppressLineNumbers w:val="0"/>
              <w:spacing w:before="0" w:beforeAutospacing="0" w:after="0" w:afterAutospacing="0"/>
              <w:ind w:left="0" w:right="0"/>
              <w:jc w:val="right"/>
              <w:rPr>
                <w:rFonts w:hint="default"/>
                <w:color w:val="000000" w:themeColor="text1"/>
                <w:sz w:val="24"/>
                <w14:textFill>
                  <w14:solidFill>
                    <w14:schemeClr w14:val="tx1"/>
                  </w14:solidFill>
                </w14:textFill>
              </w:rPr>
            </w:pPr>
            <w:bookmarkStart w:id="89" w:name="_Toc183170411"/>
            <w:bookmarkStart w:id="90" w:name="_Toc182888696"/>
            <w:bookmarkStart w:id="91" w:name="_Toc183006405"/>
            <w:bookmarkStart w:id="92" w:name="_Toc183088182"/>
            <w:bookmarkStart w:id="93" w:name="_Toc182819246"/>
            <w:bookmarkStart w:id="94" w:name="_Toc182830658"/>
            <w:bookmarkStart w:id="95" w:name="_Toc193872739"/>
            <w:r>
              <w:rPr>
                <w:rFonts w:hint="default"/>
                <w:color w:val="000000" w:themeColor="text1"/>
                <w:sz w:val="24"/>
                <w14:textFill>
                  <w14:solidFill>
                    <w14:schemeClr w14:val="tx1"/>
                  </w14:solidFill>
                </w14:textFill>
              </w:rPr>
              <w:t>内容</w:t>
            </w:r>
          </w:p>
          <w:p>
            <w:pPr>
              <w:keepNext w:val="0"/>
              <w:keepLines w:val="0"/>
              <w:suppressLineNumbers w:val="0"/>
              <w:spacing w:before="0" w:beforeAutospacing="0" w:after="0" w:afterAutospacing="0"/>
              <w:ind w:left="0" w:right="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类型</w:t>
            </w:r>
          </w:p>
        </w:tc>
        <w:tc>
          <w:tcPr>
            <w:tcW w:w="1276"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排放源</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(编号)</w:t>
            </w:r>
          </w:p>
        </w:tc>
        <w:tc>
          <w:tcPr>
            <w:tcW w:w="1844" w:type="dxa"/>
            <w:tcBorders>
              <w:top w:val="single" w:color="auto" w:sz="4"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污染物</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名称</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处理前产生浓度及产生量(单位)</w:t>
            </w:r>
          </w:p>
        </w:tc>
        <w:tc>
          <w:tcPr>
            <w:tcW w:w="2840"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处理后排放浓度及排放量(单位)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707" w:type="dxa"/>
            <w:vMerge w:val="restart"/>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大</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气</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污</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染</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物</w:t>
            </w:r>
          </w:p>
        </w:tc>
        <w:tc>
          <w:tcPr>
            <w:tcW w:w="1276"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打磨工序</w:t>
            </w:r>
          </w:p>
        </w:tc>
        <w:tc>
          <w:tcPr>
            <w:tcW w:w="1844"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粉尘</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1.68t/a，306.9mg/m</w:t>
            </w:r>
            <w:r>
              <w:rPr>
                <w:rFonts w:hint="default"/>
                <w:color w:val="000000" w:themeColor="text1"/>
                <w:vertAlign w:val="superscript"/>
                <w14:textFill>
                  <w14:solidFill>
                    <w14:schemeClr w14:val="tx1"/>
                  </w14:solidFill>
                </w14:textFill>
              </w:rPr>
              <w:t>3</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0.016t/a，3.4mg/m</w:t>
            </w:r>
            <w:r>
              <w:rPr>
                <w:rFonts w:hint="default"/>
                <w:color w:val="000000" w:themeColor="text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restart"/>
            <w:tcBorders>
              <w:top w:val="single" w:color="auto" w:sz="4" w:space="0"/>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喷漆及晾干工序</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pageBreakBefore/>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漆雾</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1.44t/a，40mg/m</w:t>
            </w:r>
            <w:r>
              <w:rPr>
                <w:rFonts w:hint="default"/>
                <w:color w:val="000000" w:themeColor="text1"/>
                <w:vertAlign w:val="superscript"/>
                <w14:textFill>
                  <w14:solidFill>
                    <w14:schemeClr w14:val="tx1"/>
                  </w14:solidFill>
                </w14:textFill>
              </w:rPr>
              <w:t>3</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0.1296t/a，3.6mg/m</w:t>
            </w:r>
            <w:r>
              <w:rPr>
                <w:rFonts w:hint="default"/>
                <w:color w:val="000000" w:themeColor="text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pageBreakBefore/>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4.56t/a，126.7mg/m</w:t>
            </w:r>
            <w:r>
              <w:rPr>
                <w:rFonts w:hint="default"/>
                <w:color w:val="000000" w:themeColor="text1"/>
                <w:vertAlign w:val="superscript"/>
                <w14:textFill>
                  <w14:solidFill>
                    <w14:schemeClr w14:val="tx1"/>
                  </w14:solidFill>
                </w14:textFill>
              </w:rPr>
              <w:t>3</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0.8225t/a，22.9mg/m</w:t>
            </w:r>
            <w:r>
              <w:rPr>
                <w:rFonts w:hint="default"/>
                <w:color w:val="000000" w:themeColor="text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pageBreakBefore/>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0.129t/a，3.6mg/m</w:t>
            </w:r>
            <w:r>
              <w:rPr>
                <w:rFonts w:hint="default"/>
                <w:color w:val="000000" w:themeColor="text1"/>
                <w:vertAlign w:val="superscript"/>
                <w14:textFill>
                  <w14:solidFill>
                    <w14:schemeClr w14:val="tx1"/>
                  </w14:solidFill>
                </w14:textFill>
              </w:rPr>
              <w:t>3</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0.0235t/a，0.7mg/m</w:t>
            </w:r>
            <w:r>
              <w:rPr>
                <w:rFonts w:hint="default"/>
                <w:color w:val="000000" w:themeColor="text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1844" w:type="dxa"/>
            <w:tcBorders>
              <w:top w:val="single" w:color="auto" w:sz="6" w:space="0"/>
              <w:left w:val="single" w:color="auto" w:sz="6" w:space="0"/>
              <w:bottom w:val="single" w:color="auto" w:sz="4" w:space="0"/>
              <w:right w:val="single" w:color="auto" w:sz="6" w:space="0"/>
            </w:tcBorders>
            <w:vAlign w:val="center"/>
          </w:tcPr>
          <w:p>
            <w:pPr>
              <w:keepNext w:val="0"/>
              <w:keepLines w:val="0"/>
              <w:pageBreakBefore/>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0.259t/a，7.2mg/m</w:t>
            </w:r>
            <w:r>
              <w:rPr>
                <w:rFonts w:hint="default"/>
                <w:color w:val="000000" w:themeColor="text1"/>
                <w:vertAlign w:val="superscript"/>
                <w14:textFill>
                  <w14:solidFill>
                    <w14:schemeClr w14:val="tx1"/>
                  </w14:solidFill>
                </w14:textFill>
              </w:rPr>
              <w:t>3</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0.047t/a，1.4mg/m</w:t>
            </w:r>
            <w:r>
              <w:rPr>
                <w:rFonts w:hint="default"/>
                <w:color w:val="000000" w:themeColor="text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restart"/>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水</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污</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染</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物</w:t>
            </w:r>
          </w:p>
        </w:tc>
        <w:tc>
          <w:tcPr>
            <w:tcW w:w="1276" w:type="dxa"/>
            <w:vMerge w:val="restart"/>
            <w:tcBorders>
              <w:top w:val="single" w:color="auto" w:sz="4" w:space="0"/>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spacing w:val="-20"/>
                <w14:textFill>
                  <w14:solidFill>
                    <w14:schemeClr w14:val="tx1"/>
                  </w14:solidFill>
                </w14:textFill>
              </w:rPr>
              <w:t>生活污水357.78m</w:t>
            </w:r>
            <w:r>
              <w:rPr>
                <w:rFonts w:hint="default"/>
                <w:color w:val="000000" w:themeColor="text1"/>
                <w:spacing w:val="-20"/>
                <w:vertAlign w:val="superscript"/>
                <w14:textFill>
                  <w14:solidFill>
                    <w14:schemeClr w14:val="tx1"/>
                  </w14:solidFill>
                </w14:textFill>
              </w:rPr>
              <w:t>3</w:t>
            </w:r>
            <w:r>
              <w:rPr>
                <w:rFonts w:hint="default"/>
                <w:color w:val="000000" w:themeColor="text1"/>
                <w:spacing w:val="-20"/>
                <w14:textFill>
                  <w14:solidFill>
                    <w14:schemeClr w14:val="tx1"/>
                  </w14:solidFill>
                </w14:textFill>
              </w:rPr>
              <w:t>/a</w:t>
            </w: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0.2t/a，350mg/L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0.17t/a，298mg/L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BOD</w:t>
            </w:r>
            <w:r>
              <w:rPr>
                <w:rFonts w:hint="default"/>
                <w:color w:val="000000" w:themeColor="text1"/>
                <w:vertAlign w:val="subscript"/>
                <w14:textFill>
                  <w14:solidFill>
                    <w14:schemeClr w14:val="tx1"/>
                  </w14:solidFill>
                </w14:textFill>
              </w:rPr>
              <w:t>5</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0.11t/a，180mg/L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0.093t/a，162mg/L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0.069t/a，120mg/L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0.049t/a，84mg/L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NH</w:t>
            </w:r>
            <w:r>
              <w:rPr>
                <w:rFonts w:hint="default"/>
                <w:bCs/>
                <w:color w:val="000000" w:themeColor="text1"/>
                <w:vertAlign w:val="subscript"/>
                <w14:textFill>
                  <w14:solidFill>
                    <w14:schemeClr w14:val="tx1"/>
                  </w14:solidFill>
                </w14:textFill>
              </w:rPr>
              <w:t>3</w:t>
            </w:r>
            <w:r>
              <w:rPr>
                <w:rFonts w:hint="default"/>
                <w:bCs/>
                <w:color w:val="000000" w:themeColor="text1"/>
                <w14:textFill>
                  <w14:solidFill>
                    <w14:schemeClr w14:val="tx1"/>
                  </w14:solidFill>
                </w14:textFill>
              </w:rPr>
              <w:t>-N</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0.012t/a，20mg/L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0.012t/a，20mg/L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TP</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0.004t/a，7mg/L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0.004t/a，7mg/L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14:textFill>
                  <w14:solidFill>
                    <w14:schemeClr w14:val="tx1"/>
                  </w14:solidFill>
                </w14:textFill>
              </w:rPr>
            </w:pP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TN</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0.018t/a，30mg/L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0.018t/a，30mg/L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restart"/>
            <w:tcBorders>
              <w:top w:val="single" w:color="auto" w:sz="4" w:space="0"/>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r>
              <w:rPr>
                <w:rFonts w:hint="default"/>
                <w:color w:val="000000" w:themeColor="text1"/>
                <w:spacing w:val="-20"/>
                <w14:textFill>
                  <w14:solidFill>
                    <w14:schemeClr w14:val="tx1"/>
                  </w14:solidFill>
                </w14:textFill>
              </w:rPr>
              <w:t>生产废水113.4m</w:t>
            </w:r>
            <w:r>
              <w:rPr>
                <w:rFonts w:hint="default"/>
                <w:color w:val="000000" w:themeColor="text1"/>
                <w:spacing w:val="-20"/>
                <w:vertAlign w:val="superscript"/>
                <w14:textFill>
                  <w14:solidFill>
                    <w14:schemeClr w14:val="tx1"/>
                  </w14:solidFill>
                </w14:textFill>
              </w:rPr>
              <w:t>3</w:t>
            </w:r>
            <w:r>
              <w:rPr>
                <w:rFonts w:hint="default"/>
                <w:color w:val="000000" w:themeColor="text1"/>
                <w:spacing w:val="-20"/>
                <w14:textFill>
                  <w14:solidFill>
                    <w14:schemeClr w14:val="tx1"/>
                  </w14:solidFill>
                </w14:textFill>
              </w:rPr>
              <w:t>/a</w:t>
            </w:r>
          </w:p>
        </w:tc>
        <w:tc>
          <w:tcPr>
            <w:tcW w:w="1844" w:type="dxa"/>
            <w:tcBorders>
              <w:top w:val="single" w:color="auto" w:sz="4"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2409" w:type="dxa"/>
            <w:tcBorders>
              <w:top w:val="single" w:color="auto" w:sz="6"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0.063t/a，550mg/L</w:t>
            </w:r>
          </w:p>
        </w:tc>
        <w:tc>
          <w:tcPr>
            <w:tcW w:w="2840" w:type="dxa"/>
            <w:tcBorders>
              <w:top w:val="single" w:color="auto" w:sz="6"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0.063t/a，550mg/L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BOD</w:t>
            </w:r>
            <w:r>
              <w:rPr>
                <w:rFonts w:hint="default"/>
                <w:color w:val="000000" w:themeColor="text1"/>
                <w:vertAlign w:val="subscript"/>
                <w14:textFill>
                  <w14:solidFill>
                    <w14:schemeClr w14:val="tx1"/>
                  </w14:solidFill>
                </w14:textFill>
              </w:rPr>
              <w:t>5</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0.04t/a，350mg/L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0.04t/a，350mg/L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0.046t/a，400mg/L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0.0091t/a，80mg/L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NH</w:t>
            </w:r>
            <w:r>
              <w:rPr>
                <w:rFonts w:hint="default"/>
                <w:bCs/>
                <w:color w:val="000000" w:themeColor="text1"/>
                <w:vertAlign w:val="subscript"/>
                <w14:textFill>
                  <w14:solidFill>
                    <w14:schemeClr w14:val="tx1"/>
                  </w14:solidFill>
                </w14:textFill>
              </w:rPr>
              <w:t>3</w:t>
            </w:r>
            <w:r>
              <w:rPr>
                <w:rFonts w:hint="default"/>
                <w:bCs/>
                <w:color w:val="000000" w:themeColor="text1"/>
                <w14:textFill>
                  <w14:solidFill>
                    <w14:schemeClr w14:val="tx1"/>
                  </w14:solidFill>
                </w14:textFill>
              </w:rPr>
              <w:t>-N</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0.0029t/a，25mg/L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0.0029t/a，25mg/L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TP</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0.0008t/a，7mg/L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0.0008t/a，7mg/L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TN</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0.004t/a，35mg/L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0.004t/a，35mg/L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LAS</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0.0034t/a，30mg/L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0.0034t/a，30mg/L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707" w:type="dxa"/>
            <w:vMerge w:val="continue"/>
            <w:tcBorders>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vMerge w:val="continue"/>
            <w:tcBorders>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pacing w:val="-20"/>
                <w:highlight w:val="yellow"/>
                <w14:textFill>
                  <w14:solidFill>
                    <w14:schemeClr w14:val="tx1"/>
                  </w14:solidFill>
                </w14:textFill>
              </w:rPr>
            </w:pPr>
          </w:p>
        </w:tc>
        <w:tc>
          <w:tcPr>
            <w:tcW w:w="1844"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石油类</w:t>
            </w:r>
          </w:p>
        </w:tc>
        <w:tc>
          <w:tcPr>
            <w:tcW w:w="2409" w:type="dxa"/>
            <w:tcBorders>
              <w:top w:val="single" w:color="auto" w:sz="4" w:space="0"/>
              <w:left w:val="single" w:color="auto" w:sz="6"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0.0023t/a，20mg/L</w:t>
            </w:r>
          </w:p>
        </w:tc>
        <w:tc>
          <w:tcPr>
            <w:tcW w:w="2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0.0023t/a，20mg/L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4" w:hRule="atLeast"/>
          <w:jc w:val="center"/>
        </w:trPr>
        <w:tc>
          <w:tcPr>
            <w:tcW w:w="707" w:type="dxa"/>
            <w:vMerge w:val="restart"/>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固</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体</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废</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物</w:t>
            </w: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废旧零部件</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1t/a</w:t>
            </w:r>
          </w:p>
        </w:tc>
        <w:tc>
          <w:tcPr>
            <w:tcW w:w="2840" w:type="dxa"/>
            <w:vMerge w:val="restart"/>
            <w:tcBorders>
              <w:top w:val="single" w:color="auto" w:sz="4" w:space="0"/>
              <w:left w:val="single" w:color="auto" w:sz="6" w:space="0"/>
              <w:right w:val="single" w:color="auto" w:sz="4" w:space="0"/>
            </w:tcBorders>
            <w:vAlign w:val="center"/>
          </w:tcPr>
          <w:p>
            <w:pPr>
              <w:pStyle w:val="13"/>
              <w:keepNext w:val="0"/>
              <w:keepLines w:val="0"/>
              <w:suppressLineNumbers w:val="0"/>
              <w:spacing w:before="0" w:beforeAutospacing="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收集后统一外售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废旧包装盒</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0.2t/a</w:t>
            </w:r>
          </w:p>
        </w:tc>
        <w:tc>
          <w:tcPr>
            <w:tcW w:w="2840" w:type="dxa"/>
            <w:vMerge w:val="continue"/>
            <w:tcBorders>
              <w:left w:val="single" w:color="auto" w:sz="6" w:space="0"/>
              <w:right w:val="single" w:color="auto" w:sz="4" w:space="0"/>
            </w:tcBorders>
            <w:vAlign w:val="center"/>
          </w:tcPr>
          <w:p>
            <w:pPr>
              <w:pStyle w:val="13"/>
              <w:keepNext w:val="0"/>
              <w:keepLines w:val="0"/>
              <w:suppressLineNumbers w:val="0"/>
              <w:spacing w:before="0" w:beforeAutospacing="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日常办公</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9.855t/a</w:t>
            </w:r>
          </w:p>
        </w:tc>
        <w:tc>
          <w:tcPr>
            <w:tcW w:w="2840" w:type="dxa"/>
            <w:tcBorders>
              <w:top w:val="single" w:color="auto" w:sz="4" w:space="0"/>
              <w:left w:val="single" w:color="auto" w:sz="6" w:space="0"/>
              <w:bottom w:val="single" w:color="auto" w:sz="4" w:space="0"/>
              <w:right w:val="single" w:color="auto" w:sz="4" w:space="0"/>
            </w:tcBorders>
            <w:vAlign w:val="center"/>
          </w:tcPr>
          <w:p>
            <w:pPr>
              <w:pStyle w:val="13"/>
              <w:keepNext w:val="0"/>
              <w:keepLines w:val="0"/>
              <w:suppressLineNumbers w:val="0"/>
              <w:spacing w:before="0" w:beforeAutospacing="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统一交由环卫部门处置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喷漆工序</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废有机溶剂桶</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2t/a</w:t>
            </w:r>
          </w:p>
        </w:tc>
        <w:tc>
          <w:tcPr>
            <w:tcW w:w="2840" w:type="dxa"/>
            <w:vMerge w:val="restart"/>
            <w:tcBorders>
              <w:top w:val="single" w:color="auto" w:sz="4" w:space="0"/>
              <w:left w:val="single" w:color="auto" w:sz="6" w:space="0"/>
              <w:right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依托维修基地现有的危废暂存间暂存后，交由有资质单位处理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维修工序</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废机油、含有手套、抹布</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0.5t/a</w:t>
            </w:r>
          </w:p>
        </w:tc>
        <w:tc>
          <w:tcPr>
            <w:tcW w:w="2840" w:type="dxa"/>
            <w:vMerge w:val="continue"/>
            <w:tcBorders>
              <w:left w:val="single" w:color="auto" w:sz="6" w:space="0"/>
              <w:right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废水过滤</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废过滤棉（含杂质）</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0.8t/a</w:t>
            </w:r>
          </w:p>
        </w:tc>
        <w:tc>
          <w:tcPr>
            <w:tcW w:w="2840" w:type="dxa"/>
            <w:vMerge w:val="continue"/>
            <w:tcBorders>
              <w:left w:val="single" w:color="auto" w:sz="6" w:space="0"/>
              <w:right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707" w:type="dxa"/>
            <w:vMerge w:val="continue"/>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p>
        </w:tc>
        <w:tc>
          <w:tcPr>
            <w:tcW w:w="1276"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环保设备</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w:t>
            </w:r>
            <w:r>
              <w:rPr>
                <w:rFonts w:hint="eastAsia"/>
                <w:color w:val="000000" w:themeColor="text1"/>
                <w14:textFill>
                  <w14:solidFill>
                    <w14:schemeClr w14:val="tx1"/>
                  </w14:solidFill>
                </w14:textFill>
              </w:rPr>
              <w:t>滤芯</w:t>
            </w:r>
            <w:r>
              <w:rPr>
                <w:rFonts w:hint="default"/>
                <w:color w:val="000000" w:themeColor="text1"/>
                <w14:textFill>
                  <w14:solidFill>
                    <w14:schemeClr w14:val="tx1"/>
                  </w14:solidFill>
                </w14:textFill>
              </w:rPr>
              <w:t>（含漆雾）</w:t>
            </w:r>
            <w:r>
              <w:rPr>
                <w:rFonts w:hint="eastAsia"/>
                <w:color w:val="000000" w:themeColor="text1"/>
                <w14:textFill>
                  <w14:solidFill>
                    <w14:schemeClr w14:val="tx1"/>
                  </w14:solidFill>
                </w14:textFill>
              </w:rPr>
              <w:t>、废滤芯（含漆粉尘）</w:t>
            </w:r>
          </w:p>
        </w:tc>
        <w:tc>
          <w:tcPr>
            <w:tcW w:w="2409"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rFonts w:hint="default"/>
                <w:color w:val="000000" w:themeColor="text1"/>
                <w14:textFill>
                  <w14:solidFill>
                    <w14:schemeClr w14:val="tx1"/>
                  </w14:solidFill>
                </w14:textFill>
              </w:rPr>
              <w:t>1992t/a</w:t>
            </w:r>
          </w:p>
        </w:tc>
        <w:tc>
          <w:tcPr>
            <w:tcW w:w="2840" w:type="dxa"/>
            <w:vMerge w:val="continue"/>
            <w:tcBorders>
              <w:left w:val="single" w:color="auto" w:sz="6" w:space="0"/>
              <w:right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707" w:type="dxa"/>
            <w:vMerge w:val="continue"/>
            <w:tcBorders>
              <w:left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1276" w:type="dxa"/>
            <w:tcBorders>
              <w:top w:val="single" w:color="auto" w:sz="4" w:space="0"/>
              <w:left w:val="single" w:color="auto" w:sz="6"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环保设备</w:t>
            </w:r>
          </w:p>
        </w:tc>
        <w:tc>
          <w:tcPr>
            <w:tcW w:w="1844" w:type="dxa"/>
            <w:tcBorders>
              <w:top w:val="single" w:color="auto" w:sz="4" w:space="0"/>
              <w:left w:val="single" w:color="auto" w:sz="6" w:space="0"/>
              <w:bottom w:val="single" w:color="auto" w:sz="4" w:space="0"/>
              <w:right w:val="single" w:color="auto" w:sz="6"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废活性炭</w:t>
            </w:r>
          </w:p>
        </w:tc>
        <w:tc>
          <w:tcPr>
            <w:tcW w:w="2409" w:type="dxa"/>
            <w:tcBorders>
              <w:top w:val="single" w:color="auto" w:sz="4" w:space="0"/>
              <w:left w:val="single" w:color="auto" w:sz="6" w:space="0"/>
              <w:right w:val="single" w:color="auto" w:sz="6" w:space="0"/>
            </w:tcBorders>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14.2199t/a</w:t>
            </w:r>
          </w:p>
        </w:tc>
        <w:tc>
          <w:tcPr>
            <w:tcW w:w="2840" w:type="dxa"/>
            <w:vMerge w:val="continue"/>
            <w:tcBorders>
              <w:left w:val="single" w:color="auto" w:sz="6"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707" w:type="dxa"/>
            <w:tcBorders>
              <w:top w:val="single" w:color="auto" w:sz="6" w:space="0"/>
              <w:left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噪</w:t>
            </w:r>
          </w:p>
          <w:p>
            <w:pPr>
              <w:keepNext w:val="0"/>
              <w:keepLines w:val="0"/>
              <w:suppressLineNumbers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声</w:t>
            </w:r>
          </w:p>
        </w:tc>
        <w:tc>
          <w:tcPr>
            <w:tcW w:w="8369" w:type="dxa"/>
            <w:gridSpan w:val="4"/>
            <w:tcBorders>
              <w:top w:val="single" w:color="auto" w:sz="6" w:space="0"/>
              <w:left w:val="single" w:color="auto" w:sz="6" w:space="0"/>
              <w:right w:val="single" w:color="auto" w:sz="4" w:space="0"/>
            </w:tcBorders>
            <w:vAlign w:val="center"/>
          </w:tcPr>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本项目噪声源主要为打磨机、空压机、泵类、风机等设备噪声，噪声值范围在70～90dB(A)之间。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9076" w:type="dxa"/>
            <w:gridSpan w:val="5"/>
            <w:tcBorders>
              <w:top w:val="single" w:color="auto" w:sz="6"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b/>
                <w:color w:val="000000" w:themeColor="text1"/>
                <w:szCs w:val="28"/>
                <w14:textFill>
                  <w14:solidFill>
                    <w14:schemeClr w14:val="tx1"/>
                  </w14:solidFill>
                </w14:textFill>
              </w:rPr>
            </w:pPr>
            <w:r>
              <w:rPr>
                <w:rFonts w:hint="default"/>
                <w:b/>
                <w:color w:val="000000" w:themeColor="text1"/>
                <w:szCs w:val="28"/>
                <w14:textFill>
                  <w14:solidFill>
                    <w14:schemeClr w14:val="tx1"/>
                  </w14:solidFill>
                </w14:textFill>
              </w:rPr>
              <w:t>主要生态影响(不够时可附另页)</w:t>
            </w:r>
          </w:p>
          <w:p>
            <w:pPr>
              <w:keepNext w:val="0"/>
              <w:keepLines w:val="0"/>
              <w:suppressLineNumbers w:val="0"/>
              <w:autoSpaceDN w:val="0"/>
              <w:spacing w:before="0" w:beforeAutospacing="0" w:after="0" w:afterAutospacing="0" w:line="520" w:lineRule="exact"/>
              <w:ind w:left="0" w:right="0"/>
              <w:rPr>
                <w:rFonts w:hint="default"/>
                <w:color w:val="000000" w:themeColor="text1"/>
                <w:kern w:val="0"/>
                <w14:textFill>
                  <w14:solidFill>
                    <w14:schemeClr w14:val="tx1"/>
                  </w14:solidFill>
                </w14:textFill>
              </w:rPr>
            </w:pPr>
            <w:r>
              <w:rPr>
                <w:rFonts w:hint="default"/>
                <w:color w:val="000000" w:themeColor="text1"/>
                <w:sz w:val="24"/>
                <w:szCs w:val="24"/>
                <w14:textFill>
                  <w14:solidFill>
                    <w14:schemeClr w14:val="tx1"/>
                  </w14:solidFill>
                </w14:textFill>
              </w:rPr>
              <w:t xml:space="preserve">   </w:t>
            </w:r>
            <w:r>
              <w:rPr>
                <w:rFonts w:hint="default"/>
                <w:color w:val="000000" w:themeColor="text1"/>
                <w:sz w:val="24"/>
                <w14:textFill>
                  <w14:solidFill>
                    <w14:schemeClr w14:val="tx1"/>
                  </w14:solidFill>
                </w14:textFill>
              </w:rPr>
              <w:t xml:space="preserve"> 项目位于陕西省西咸新区空港新城西安咸阳机场空港东二路东航技术公司西北分公司1号机库内。植被主要为农田作物和人工植被，生物多样性较为简单。</w:t>
            </w: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kern w:val="0"/>
                <w14:textFill>
                  <w14:solidFill>
                    <w14:schemeClr w14:val="tx1"/>
                  </w14:solidFill>
                </w14:textFill>
              </w:rPr>
            </w:pPr>
          </w:p>
        </w:tc>
      </w:tr>
    </w:tbl>
    <w:p>
      <w:pPr>
        <w:rPr>
          <w:rStyle w:val="78"/>
        </w:rPr>
      </w:pPr>
      <w:r>
        <w:rPr>
          <w:rStyle w:val="78"/>
        </w:rPr>
        <w:t>环境影响分析</w:t>
      </w:r>
      <w:bookmarkEnd w:id="87"/>
      <w:bookmarkEnd w:id="88"/>
      <w:bookmarkEnd w:id="89"/>
      <w:bookmarkEnd w:id="90"/>
      <w:bookmarkEnd w:id="91"/>
      <w:bookmarkEnd w:id="92"/>
      <w:bookmarkEnd w:id="93"/>
      <w:bookmarkEnd w:id="94"/>
      <w:bookmarkEnd w:id="95"/>
    </w:p>
    <w:tbl>
      <w:tblPr>
        <w:tblStyle w:val="38"/>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8999" w:type="dxa"/>
          </w:tcPr>
          <w:p>
            <w:pPr>
              <w:keepNext w:val="0"/>
              <w:keepLines w:val="0"/>
              <w:suppressLineNumbers w:val="0"/>
              <w:spacing w:before="0" w:beforeAutospacing="0" w:after="0" w:afterAutospacing="0" w:line="520" w:lineRule="exact"/>
              <w:ind w:left="0" w:right="0" w:firstLine="472" w:firstLineChars="196"/>
              <w:rPr>
                <w:rFonts w:hint="default"/>
                <w:b/>
                <w:sz w:val="24"/>
              </w:rPr>
            </w:pPr>
            <w:r>
              <w:rPr>
                <w:rFonts w:hint="default"/>
                <w:b/>
                <w:sz w:val="24"/>
              </w:rPr>
              <w:t>一、施工期环境影响分析及污染防治措施</w:t>
            </w:r>
          </w:p>
          <w:p>
            <w:pPr>
              <w:keepNext w:val="0"/>
              <w:keepLines w:val="0"/>
              <w:suppressLineNumbers w:val="0"/>
              <w:autoSpaceDN w:val="0"/>
              <w:spacing w:before="0" w:beforeAutospacing="0" w:after="0" w:afterAutospacing="0" w:line="520" w:lineRule="exact"/>
              <w:ind w:left="0" w:right="0" w:firstLine="480" w:firstLineChars="200"/>
              <w:rPr>
                <w:rFonts w:hint="default"/>
                <w:color w:val="000000"/>
                <w:sz w:val="24"/>
              </w:rPr>
            </w:pPr>
            <w:r>
              <w:rPr>
                <w:rFonts w:hint="default"/>
                <w:color w:val="000000"/>
                <w:sz w:val="24"/>
              </w:rPr>
              <w:t>本项目为改建项目，不进行土建、新建建筑物以及厂房装修。施工期主要环境影响为设备安装时的噪声和固废</w:t>
            </w:r>
            <w:r>
              <w:rPr>
                <w:rFonts w:hint="eastAsia"/>
                <w:color w:val="000000"/>
                <w:sz w:val="24"/>
              </w:rPr>
              <w:t>，以及施工人员的生活废水</w:t>
            </w:r>
            <w:r>
              <w:rPr>
                <w:rFonts w:hint="default"/>
                <w:color w:val="000000"/>
                <w:sz w:val="24"/>
              </w:rPr>
              <w:t>。</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color w:val="000000"/>
                <w:sz w:val="24"/>
                <w:szCs w:val="20"/>
              </w:rPr>
            </w:pPr>
            <w:r>
              <w:rPr>
                <w:rFonts w:hint="eastAsia" w:ascii="Times New Roman" w:hAnsi="Times New Roman"/>
                <w:b/>
                <w:color w:val="000000"/>
                <w:sz w:val="24"/>
                <w:szCs w:val="20"/>
              </w:rPr>
              <w:t>1</w:t>
            </w:r>
            <w:r>
              <w:rPr>
                <w:rFonts w:hint="default" w:ascii="Times New Roman" w:hAnsi="Times New Roman"/>
                <w:b/>
                <w:color w:val="000000"/>
                <w:sz w:val="24"/>
                <w:szCs w:val="20"/>
              </w:rPr>
              <w:t>、</w:t>
            </w:r>
            <w:r>
              <w:rPr>
                <w:rFonts w:hint="eastAsia" w:ascii="Times New Roman" w:hAnsi="Times New Roman"/>
                <w:b/>
                <w:color w:val="000000"/>
                <w:sz w:val="24"/>
                <w:szCs w:val="20"/>
              </w:rPr>
              <w:t>水</w:t>
            </w:r>
            <w:r>
              <w:rPr>
                <w:rFonts w:hint="default" w:ascii="Times New Roman" w:hAnsi="Times New Roman"/>
                <w:b/>
                <w:color w:val="000000"/>
                <w:sz w:val="24"/>
                <w:szCs w:val="20"/>
              </w:rPr>
              <w:t>环境影响分析</w:t>
            </w:r>
          </w:p>
          <w:p>
            <w:pPr>
              <w:keepNext w:val="0"/>
              <w:keepLines w:val="0"/>
              <w:suppressLineNumbers w:val="0"/>
              <w:spacing w:before="50" w:beforeAutospacing="0" w:after="0" w:afterAutospacing="0" w:line="520" w:lineRule="exact"/>
              <w:ind w:left="0" w:right="0" w:firstLine="480" w:firstLineChars="200"/>
              <w:rPr>
                <w:rFonts w:hint="default"/>
                <w:bCs/>
                <w:sz w:val="24"/>
                <w:szCs w:val="24"/>
              </w:rPr>
            </w:pPr>
            <w:r>
              <w:rPr>
                <w:rFonts w:hint="default"/>
                <w:bCs/>
                <w:sz w:val="24"/>
                <w:szCs w:val="24"/>
              </w:rPr>
              <w:t>项目施工期</w:t>
            </w:r>
            <w:r>
              <w:rPr>
                <w:rFonts w:hint="eastAsia"/>
                <w:bCs/>
                <w:sz w:val="24"/>
                <w:szCs w:val="24"/>
              </w:rPr>
              <w:t>2</w:t>
            </w:r>
            <w:r>
              <w:rPr>
                <w:rFonts w:hint="default"/>
                <w:bCs/>
                <w:sz w:val="24"/>
                <w:szCs w:val="24"/>
              </w:rPr>
              <w:t>个月，施工高峰期施工人数为10人，施工人员均为周边村民，不提供食宿。施工期人员如厕依托基地化粪池，经维修基地化粪池处理后</w:t>
            </w:r>
            <w:r>
              <w:rPr>
                <w:rFonts w:hint="default"/>
                <w:bCs/>
                <w:sz w:val="24"/>
              </w:rPr>
              <w:t>通过管网排入机场污水处理厂集中处理后达标排放，</w:t>
            </w:r>
            <w:r>
              <w:rPr>
                <w:rFonts w:hint="eastAsia"/>
                <w:bCs/>
                <w:sz w:val="24"/>
              </w:rPr>
              <w:t>对环境影响较小。</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color w:val="000000"/>
                <w:sz w:val="24"/>
                <w:szCs w:val="20"/>
              </w:rPr>
            </w:pPr>
            <w:r>
              <w:rPr>
                <w:rFonts w:hint="eastAsia" w:ascii="Times New Roman" w:hAnsi="Times New Roman"/>
                <w:b/>
                <w:color w:val="000000"/>
                <w:sz w:val="24"/>
                <w:szCs w:val="20"/>
              </w:rPr>
              <w:t>2</w:t>
            </w:r>
            <w:r>
              <w:rPr>
                <w:rFonts w:hint="default" w:ascii="Times New Roman" w:hAnsi="Times New Roman"/>
                <w:b/>
                <w:color w:val="000000"/>
                <w:sz w:val="24"/>
                <w:szCs w:val="20"/>
              </w:rPr>
              <w:t>、噪声环境影响分析</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rPr>
            </w:pPr>
            <w:r>
              <w:rPr>
                <w:rFonts w:hint="default"/>
                <w:color w:val="000000"/>
                <w:sz w:val="24"/>
              </w:rPr>
              <w:t>为有效减小施工噪声对环境的影响，保证施工噪声符合国家相关标准，评价要求施工期采用以下噪声防治措施：</w:t>
            </w:r>
          </w:p>
          <w:p>
            <w:pPr>
              <w:keepNext w:val="0"/>
              <w:keepLines w:val="0"/>
              <w:suppressLineNumbers w:val="0"/>
              <w:tabs>
                <w:tab w:val="left" w:pos="2670"/>
              </w:tabs>
              <w:adjustRightInd w:val="0"/>
              <w:snapToGrid w:val="0"/>
              <w:spacing w:before="0" w:beforeAutospacing="0" w:after="0" w:afterAutospacing="0" w:line="520" w:lineRule="exact"/>
              <w:ind w:left="0" w:right="0" w:firstLine="480" w:firstLineChars="200"/>
              <w:rPr>
                <w:rFonts w:hint="default"/>
                <w:color w:val="000000"/>
              </w:rPr>
            </w:pPr>
            <w:r>
              <w:rPr>
                <w:rFonts w:hint="default"/>
                <w:color w:val="000000"/>
                <w:sz w:val="24"/>
              </w:rPr>
              <w:t>（1）合理布局施工现场。避免在同一地点同时安排大量机械设备，以免局部声级过高。</w:t>
            </w:r>
          </w:p>
          <w:p>
            <w:pPr>
              <w:keepNext w:val="0"/>
              <w:keepLines w:val="0"/>
              <w:suppressLineNumbers w:val="0"/>
              <w:tabs>
                <w:tab w:val="left" w:pos="2670"/>
              </w:tabs>
              <w:adjustRightInd w:val="0"/>
              <w:snapToGrid w:val="0"/>
              <w:spacing w:before="0" w:beforeAutospacing="0" w:after="0" w:afterAutospacing="0" w:line="520" w:lineRule="exact"/>
              <w:ind w:left="0" w:right="0" w:firstLine="480" w:firstLineChars="200"/>
              <w:rPr>
                <w:rFonts w:hint="default"/>
                <w:color w:val="000000"/>
              </w:rPr>
            </w:pPr>
            <w:r>
              <w:rPr>
                <w:rFonts w:hint="default"/>
                <w:color w:val="000000"/>
                <w:sz w:val="24"/>
              </w:rPr>
              <w:t>（2）降低人为噪声影响。按操作规范操作机械设备等过程中减少碰撞噪声，并对工人进行环保方面的教育。在装卸过程中，禁止野蛮作业，减少作业噪声。</w:t>
            </w:r>
          </w:p>
          <w:p>
            <w:pPr>
              <w:keepNext w:val="0"/>
              <w:keepLines w:val="0"/>
              <w:suppressLineNumbers w:val="0"/>
              <w:tabs>
                <w:tab w:val="left" w:pos="2670"/>
              </w:tabs>
              <w:adjustRightInd w:val="0"/>
              <w:snapToGrid w:val="0"/>
              <w:spacing w:before="0" w:beforeAutospacing="0" w:after="0" w:afterAutospacing="0" w:line="520" w:lineRule="exact"/>
              <w:ind w:left="0" w:right="0" w:firstLine="480" w:firstLineChars="200"/>
              <w:rPr>
                <w:rFonts w:hint="default"/>
                <w:color w:val="000000"/>
              </w:rPr>
            </w:pPr>
            <w:r>
              <w:rPr>
                <w:rFonts w:hint="default"/>
                <w:color w:val="000000"/>
                <w:sz w:val="24"/>
              </w:rPr>
              <w:t>（3）合理安排施工时间。建设单位应加强协调，规范施工行为，制定施工计划。制定施工计划时，应尽可能避免大量噪声设备同时使用。应尽量安排在白天施工，禁止夜间（夜间22时～凌晨06时）和午休时间施工。</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rPr>
            </w:pPr>
            <w:r>
              <w:rPr>
                <w:rFonts w:hint="default"/>
                <w:color w:val="000000"/>
                <w:sz w:val="24"/>
              </w:rPr>
              <w:t>通过严格的施工管理，尽可能的使施工场界噪声达到标准限值。施工期的噪声影响是暂时性的，并随着施工期的结束而消失，对环境的影响不大。</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color w:val="000000"/>
              </w:rPr>
            </w:pPr>
            <w:r>
              <w:rPr>
                <w:rFonts w:hint="eastAsia" w:ascii="Times New Roman" w:hAnsi="Times New Roman"/>
                <w:b/>
                <w:color w:val="000000"/>
                <w:sz w:val="24"/>
                <w:szCs w:val="20"/>
              </w:rPr>
              <w:t>3</w:t>
            </w:r>
            <w:r>
              <w:rPr>
                <w:rFonts w:hint="default" w:ascii="Times New Roman" w:hAnsi="Times New Roman"/>
                <w:b/>
                <w:color w:val="000000"/>
                <w:sz w:val="24"/>
                <w:szCs w:val="20"/>
              </w:rPr>
              <w:t>、固废环境影响分析</w:t>
            </w:r>
          </w:p>
          <w:p>
            <w:pPr>
              <w:keepNext w:val="0"/>
              <w:keepLines w:val="0"/>
              <w:suppressLineNumbers w:val="0"/>
              <w:autoSpaceDN w:val="0"/>
              <w:spacing w:before="0" w:beforeAutospacing="0" w:after="0" w:afterAutospacing="0" w:line="520" w:lineRule="exact"/>
              <w:ind w:left="0" w:right="0" w:firstLine="480" w:firstLineChars="200"/>
              <w:rPr>
                <w:rFonts w:hint="default"/>
                <w:color w:val="000000"/>
              </w:rPr>
            </w:pPr>
            <w:r>
              <w:rPr>
                <w:rFonts w:hint="default"/>
                <w:color w:val="000000"/>
                <w:sz w:val="24"/>
              </w:rPr>
              <w:t xml:space="preserve">施工期产生的固体废物主要包括废弃包装垃圾和生活垃圾。对于包装垃圾应采取有计划的堆放，分类处置，收集后外售。加强对施工人员的管理，施工人员的生活垃圾分类收集后由环卫部门统一处理，对环境影响较小。 </w:t>
            </w:r>
          </w:p>
          <w:p>
            <w:pPr>
              <w:keepNext w:val="0"/>
              <w:keepLines w:val="0"/>
              <w:suppressLineNumbers w:val="0"/>
              <w:autoSpaceDN w:val="0"/>
              <w:spacing w:before="0" w:beforeAutospacing="0" w:after="0" w:afterAutospacing="0" w:line="520" w:lineRule="exact"/>
              <w:ind w:left="0" w:right="0" w:firstLine="480" w:firstLineChars="200"/>
              <w:rPr>
                <w:rFonts w:hint="default"/>
                <w:color w:val="000000"/>
              </w:rPr>
            </w:pPr>
            <w:r>
              <w:rPr>
                <w:rFonts w:hint="default"/>
                <w:color w:val="000000"/>
                <w:sz w:val="24"/>
              </w:rPr>
              <w:t xml:space="preserve">总之，本项目施工期固废均可得到妥善处置，固体废物对环境造成的影响较小，施工期结束后，施工固废的影响随即终止。 </w:t>
            </w:r>
          </w:p>
          <w:p>
            <w:pPr>
              <w:keepNext w:val="0"/>
              <w:keepLines w:val="0"/>
              <w:suppressLineNumbers w:val="0"/>
              <w:spacing w:before="0" w:beforeAutospacing="0" w:after="0" w:afterAutospacing="0" w:line="520" w:lineRule="exact"/>
              <w:ind w:left="0" w:right="0" w:firstLine="472" w:firstLineChars="196"/>
              <w:rPr>
                <w:rFonts w:hint="default"/>
                <w:b/>
                <w:sz w:val="24"/>
              </w:rPr>
            </w:pPr>
            <w:r>
              <w:rPr>
                <w:rFonts w:hint="default"/>
                <w:b/>
                <w:sz w:val="24"/>
              </w:rPr>
              <w:t>二、运营期环境影响分析</w:t>
            </w:r>
          </w:p>
          <w:p>
            <w:pPr>
              <w:keepNext w:val="0"/>
              <w:keepLines w:val="0"/>
              <w:suppressLineNumbers w:val="0"/>
              <w:spacing w:before="0" w:beforeAutospacing="0" w:after="0" w:afterAutospacing="0" w:line="520" w:lineRule="exact"/>
              <w:ind w:left="0" w:right="0" w:firstLine="472" w:firstLineChars="196"/>
              <w:rPr>
                <w:rFonts w:hint="default"/>
                <w:b/>
                <w:sz w:val="24"/>
              </w:rPr>
            </w:pPr>
            <w:r>
              <w:rPr>
                <w:rFonts w:hint="default"/>
                <w:b/>
                <w:sz w:val="24"/>
              </w:rPr>
              <w:t>1、大气环境影响分析</w:t>
            </w:r>
          </w:p>
          <w:p>
            <w:pPr>
              <w:keepNext w:val="0"/>
              <w:keepLines w:val="0"/>
              <w:suppressLineNumbers w:val="0"/>
              <w:spacing w:before="0" w:beforeAutospacing="0" w:after="0" w:afterAutospacing="0" w:line="520" w:lineRule="exact"/>
              <w:ind w:left="0" w:right="0" w:firstLine="480" w:firstLineChars="200"/>
              <w:rPr>
                <w:rFonts w:hint="default"/>
                <w:bCs/>
                <w:sz w:val="24"/>
              </w:rPr>
            </w:pPr>
            <w:r>
              <w:rPr>
                <w:rFonts w:hint="default"/>
                <w:sz w:val="24"/>
              </w:rPr>
              <w:t>项目废气主要为打磨粉尘和喷漆工序产生的漆雾和有机废气（甲苯、二甲苯、乙苯、非甲烷总烃）</w:t>
            </w:r>
            <w:r>
              <w:rPr>
                <w:rFonts w:hint="default"/>
                <w:bCs/>
                <w:sz w:val="24"/>
              </w:rPr>
              <w:t>。</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bCs/>
                <w:sz w:val="24"/>
              </w:rPr>
              <w:t>打磨工序粉尘产生量为1.68t/a，</w:t>
            </w:r>
            <w:r>
              <w:rPr>
                <w:rFonts w:hint="default"/>
                <w:bCs/>
                <w:snapToGrid w:val="0"/>
                <w:kern w:val="0"/>
                <w:sz w:val="24"/>
              </w:rPr>
              <w:t>经</w:t>
            </w:r>
            <w:r>
              <w:rPr>
                <w:rFonts w:hint="eastAsia"/>
                <w:bCs/>
                <w:snapToGrid w:val="0"/>
                <w:kern w:val="0"/>
                <w:sz w:val="24"/>
              </w:rPr>
              <w:t>排风收集箱</w:t>
            </w:r>
            <w:r>
              <w:rPr>
                <w:rFonts w:hint="default"/>
                <w:bCs/>
                <w:snapToGrid w:val="0"/>
                <w:kern w:val="0"/>
                <w:sz w:val="24"/>
              </w:rPr>
              <w:t>收集后进入</w:t>
            </w:r>
            <w:r>
              <w:rPr>
                <w:rFonts w:hint="eastAsia"/>
                <w:bCs/>
                <w:snapToGrid w:val="0"/>
                <w:kern w:val="0"/>
                <w:sz w:val="24"/>
              </w:rPr>
              <w:t>干式</w:t>
            </w:r>
            <w:r>
              <w:rPr>
                <w:rFonts w:hint="default"/>
                <w:bCs/>
                <w:snapToGrid w:val="0"/>
                <w:kern w:val="0"/>
                <w:sz w:val="24"/>
              </w:rPr>
              <w:t>过滤器处理，最终</w:t>
            </w:r>
            <w:r>
              <w:rPr>
                <w:rFonts w:hint="default"/>
                <w:bCs/>
                <w:sz w:val="24"/>
              </w:rPr>
              <w:t>由</w:t>
            </w:r>
            <w:r>
              <w:rPr>
                <w:rFonts w:hint="default"/>
                <w:color w:val="000000" w:themeColor="text1"/>
                <w:sz w:val="24"/>
                <w14:textFill>
                  <w14:solidFill>
                    <w14:schemeClr w14:val="tx1"/>
                  </w14:solidFill>
                </w14:textFill>
              </w:rPr>
              <w:t>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）排放，风机风量为8000m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/h，有效工作时间为600h</w:t>
            </w:r>
            <w:r>
              <w:rPr>
                <w:rFonts w:hint="default"/>
                <w:bCs/>
                <w:snapToGrid w:val="0"/>
                <w:kern w:val="0"/>
                <w:sz w:val="24"/>
              </w:rPr>
              <w:t>。</w:t>
            </w:r>
            <w:r>
              <w:rPr>
                <w:rFonts w:hint="default"/>
                <w:sz w:val="24"/>
              </w:rPr>
              <w:t>经处理后的粉尘排放量为0.016t/a，排放速率为0.027kg/h，排放浓度为3.4mg/m</w:t>
            </w:r>
            <w:r>
              <w:rPr>
                <w:rFonts w:hint="default"/>
                <w:sz w:val="24"/>
                <w:vertAlign w:val="superscript"/>
              </w:rPr>
              <w:t>3</w:t>
            </w:r>
            <w:r>
              <w:rPr>
                <w:rFonts w:hint="default"/>
                <w:sz w:val="24"/>
              </w:rPr>
              <w:t>，无组织排放量为0.168t/a，</w:t>
            </w:r>
            <w:r>
              <w:rPr>
                <w:rFonts w:hint="default"/>
                <w:color w:val="000000" w:themeColor="text1"/>
                <w:sz w:val="24"/>
                <w14:textFill>
                  <w14:solidFill>
                    <w14:schemeClr w14:val="tx1"/>
                  </w14:solidFill>
                </w14:textFill>
              </w:rPr>
              <w:t>排放浓度满足《大气污染物排放标准》（GB16297-1996）中二级标准。</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项目喷漆工序形成的漆雾量为1.44t/a，风机风量为120000m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/h，废气经排风收集箱收集，采用</w:t>
            </w:r>
            <w:r>
              <w:rPr>
                <w:rFonts w:hint="default"/>
                <w:bCs/>
                <w:color w:val="000000" w:themeColor="text1"/>
                <w:sz w:val="24"/>
                <w14:textFill>
                  <w14:solidFill>
                    <w14:schemeClr w14:val="tx1"/>
                  </w14:solidFill>
                </w14:textFill>
              </w:rPr>
              <w:t>干式过滤器+活性炭吸附箱后</w:t>
            </w:r>
            <w:r>
              <w:rPr>
                <w:rFonts w:hint="default"/>
                <w:color w:val="000000" w:themeColor="text1"/>
                <w:sz w:val="24"/>
                <w:lang w:bidi="ar"/>
                <w14:textFill>
                  <w14:solidFill>
                    <w14:schemeClr w14:val="tx1"/>
                  </w14:solidFill>
                </w14:textFill>
              </w:rPr>
              <w:t>经机库东西两侧辅房顶部15m高的排气筒（P1西、P2东）排放</w:t>
            </w:r>
            <w:r>
              <w:rPr>
                <w:rFonts w:hint="default"/>
                <w:color w:val="000000" w:themeColor="text1"/>
                <w:sz w:val="24"/>
                <w14:textFill>
                  <w14:solidFill>
                    <w14:schemeClr w14:val="tx1"/>
                  </w14:solidFill>
                </w14:textFill>
              </w:rPr>
              <w:t>，则有组织排放量为0.1296t/a，排放速率为0.432kg/h，</w:t>
            </w:r>
            <w:r>
              <w:rPr>
                <w:rFonts w:hint="default"/>
                <w:sz w:val="24"/>
              </w:rPr>
              <w:t>排放浓度为3.6mg/m</w:t>
            </w:r>
            <w:r>
              <w:rPr>
                <w:rFonts w:hint="default"/>
                <w:sz w:val="24"/>
                <w:vertAlign w:val="superscript"/>
              </w:rPr>
              <w:t>3</w:t>
            </w:r>
            <w:r>
              <w:rPr>
                <w:rFonts w:hint="default"/>
                <w:sz w:val="24"/>
              </w:rPr>
              <w:t>，无组织排放量为0.144t，</w:t>
            </w:r>
            <w:r>
              <w:rPr>
                <w:rFonts w:hint="default"/>
                <w:color w:val="000000" w:themeColor="text1"/>
                <w:sz w:val="24"/>
                <w14:textFill>
                  <w14:solidFill>
                    <w14:schemeClr w14:val="tx1"/>
                  </w14:solidFill>
                </w14:textFill>
              </w:rPr>
              <w:t>排放浓度满足《大气污染物排放标准》（GB16297-1996）中二级标准。</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根据工程分析可知，项目非甲烷总烃的产生总量为4.56t/a，甲苯+乙苯的产生量为0.129t/a，二甲苯产生量为0.259t/a。经排风收集箱收集后</w:t>
            </w:r>
            <w:r>
              <w:rPr>
                <w:rFonts w:hint="default"/>
                <w:color w:val="000000" w:themeColor="text1"/>
                <w:sz w:val="24"/>
                <w:lang w:bidi="ar"/>
                <w14:textFill>
                  <w14:solidFill>
                    <w14:schemeClr w14:val="tx1"/>
                  </w14:solidFill>
                </w14:textFill>
              </w:rPr>
              <w:t>通过活性炭吸附箱（</w:t>
            </w:r>
            <w:r>
              <w:rPr>
                <w:rFonts w:hint="eastAsia"/>
                <w:color w:val="000000" w:themeColor="text1"/>
                <w:sz w:val="24"/>
                <w:lang w:bidi="ar"/>
                <w14:textFill>
                  <w14:solidFill>
                    <w14:schemeClr w14:val="tx1"/>
                  </w14:solidFill>
                </w14:textFill>
              </w:rPr>
              <w:t>内设蜂窝活性炭</w:t>
            </w:r>
            <w:r>
              <w:rPr>
                <w:rFonts w:hint="default"/>
                <w:color w:val="000000" w:themeColor="text1"/>
                <w:sz w:val="24"/>
                <w:lang w:bidi="ar"/>
                <w14:textFill>
                  <w14:solidFill>
                    <w14:schemeClr w14:val="tx1"/>
                  </w14:solidFill>
                </w14:textFill>
              </w:rPr>
              <w:t>）处理，</w:t>
            </w:r>
            <w:r>
              <w:rPr>
                <w:rFonts w:hint="default"/>
                <w:color w:val="000000" w:themeColor="text1"/>
                <w:sz w:val="24"/>
                <w14:textFill>
                  <w14:solidFill>
                    <w14:schemeClr w14:val="tx1"/>
                  </w14:solidFill>
                </w14:textFill>
              </w:rPr>
              <w:t>非甲烷总烃有组织排放量为0.8225t/a，排放浓度为22.9mg/m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，排放速率为2.742kg/h，无组织排放量为0.456t/a；甲苯+乙苯有组织排放量为0.0235t/a，排放浓度为0.7mg/m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，排放速率0.079kg/h，无组织排放量为0.0132t/a；二甲苯有组织排放总量为0.047t/a，排放浓度为1.4mg/m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，排放速率0.158kg/h，无组织排放总量为0.026t/a。</w:t>
            </w:r>
            <w:r>
              <w:rPr>
                <w:rFonts w:hint="default"/>
                <w:bCs/>
                <w:snapToGrid w:val="0"/>
                <w:color w:val="000000" w:themeColor="text1"/>
                <w:kern w:val="0"/>
                <w:sz w:val="24"/>
                <w:lang w:bidi="ar"/>
                <w14:textFill>
                  <w14:solidFill>
                    <w14:schemeClr w14:val="tx1"/>
                  </w14:solidFill>
                </w14:textFill>
              </w:rPr>
              <w:t>非甲烷总烃、甲苯+乙苯、二甲苯最高排放浓度均能够满足《挥发性有机物排放控制标准》(DB 61/T1061-2017)中最高允许排放浓度限值要求。</w:t>
            </w:r>
          </w:p>
          <w:p>
            <w:pPr>
              <w:keepNext w:val="0"/>
              <w:keepLines w:val="0"/>
              <w:suppressLineNumbers w:val="0"/>
              <w:spacing w:before="0" w:beforeAutospacing="0" w:after="0" w:afterAutospacing="0" w:line="520" w:lineRule="exact"/>
              <w:ind w:left="0" w:right="0" w:firstLine="482" w:firstLineChars="200"/>
              <w:rPr>
                <w:rFonts w:hint="default"/>
                <w:b/>
                <w:bCs/>
                <w:sz w:val="24"/>
              </w:rPr>
            </w:pPr>
            <w:r>
              <w:rPr>
                <w:rFonts w:hint="default"/>
                <w:b/>
                <w:bCs/>
                <w:sz w:val="24"/>
              </w:rPr>
              <w:t>措施可行性分析：</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bCs/>
                <w:color w:val="000000" w:themeColor="text1"/>
                <w:sz w:val="24"/>
                <w:lang w:bidi="ar"/>
                <w14:textFill>
                  <w14:solidFill>
                    <w14:schemeClr w14:val="tx1"/>
                  </w14:solidFill>
                </w14:textFill>
              </w:rPr>
              <w:t>飞机入库喷漆时，机库保持封闭状态，直至整个喷漆工序完成，</w:t>
            </w:r>
            <w:r>
              <w:rPr>
                <w:rFonts w:hint="default"/>
                <w:sz w:val="24"/>
              </w:rPr>
              <w:t>喷漆工序中产生的废气经</w:t>
            </w:r>
            <w:r>
              <w:rPr>
                <w:rFonts w:hint="eastAsia"/>
                <w:sz w:val="24"/>
              </w:rPr>
              <w:t>机库两侧的排风收集箱收集后通过干式过滤器</w:t>
            </w:r>
            <w:r>
              <w:rPr>
                <w:rFonts w:hint="default"/>
                <w:sz w:val="24"/>
              </w:rPr>
              <w:t>+活性炭吸附箱（</w:t>
            </w:r>
            <w:r>
              <w:rPr>
                <w:rFonts w:hint="eastAsia"/>
                <w:sz w:val="24"/>
              </w:rPr>
              <w:t>蜂窝活性炭单元</w:t>
            </w:r>
            <w:r>
              <w:rPr>
                <w:rFonts w:hint="default"/>
                <w:sz w:val="24"/>
              </w:rPr>
              <w:t>）处理，处理</w:t>
            </w:r>
            <w:r>
              <w:rPr>
                <w:rFonts w:hint="default"/>
                <w:color w:val="000000" w:themeColor="text1"/>
                <w:sz w:val="24"/>
                <w14:textFill>
                  <w14:solidFill>
                    <w14:schemeClr w14:val="tx1"/>
                  </w14:solidFill>
                </w14:textFill>
              </w:rPr>
              <w:t>后的废气经机库东西两侧辅房顶部15m高的排气筒（（P1西、P2东）排放。根据</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广州白云国际机场G3飞机维修库建设项目环境影响报告表</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，其喷漆晾干工序采用“漆雾过滤器+活性炭吸附箱”处理装置，净化效率可达90%。本项目采用“排风收集箱+</w:t>
            </w:r>
            <w:r>
              <w:rPr>
                <w:rFonts w:hint="eastAsia"/>
                <w:color w:val="000000" w:themeColor="text1"/>
                <w:sz w:val="24"/>
                <w14:textFill>
                  <w14:solidFill>
                    <w14:schemeClr w14:val="tx1"/>
                  </w14:solidFill>
                </w14:textFill>
              </w:rPr>
              <w:t>干式</w:t>
            </w:r>
            <w:r>
              <w:rPr>
                <w:rFonts w:hint="default"/>
                <w:color w:val="000000" w:themeColor="text1"/>
                <w:sz w:val="24"/>
                <w14:textFill>
                  <w14:solidFill>
                    <w14:schemeClr w14:val="tx1"/>
                  </w14:solidFill>
                </w14:textFill>
              </w:rPr>
              <w:t>过滤器+活性炭吸附箱”装置，本项目按最不利情况，活性炭吸附箱对有机废气的处理效率可达80%以上，因此本项目所用工艺对有机废气的处理可行。</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干式</w:t>
            </w:r>
            <w:r>
              <w:rPr>
                <w:rFonts w:hint="default"/>
                <w:color w:val="000000" w:themeColor="text1"/>
                <w:sz w:val="24"/>
                <w14:textFill>
                  <w14:solidFill>
                    <w14:schemeClr w14:val="tx1"/>
                  </w14:solidFill>
                </w14:textFill>
              </w:rPr>
              <w:t>过滤器工作原理：通过排风机的作用使漆雾粒子通过玻璃纤维过滤材料，利用气流惯性力在玻璃纤维表面改变方向，降低流速，在重力作用下，漆雾颗粒沉淀在纤维间隙中，针对本项目，采用漆雾过滤器对漆雾的处理可行，但为了保证处理效率，要求建设单位及时对过滤材料进行更换。</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活性炭工作原理：活性炭是一种黑色粉状、粒状或丸状的无定形具有多孔的炭，具有较大的表面积（500～1000m</w:t>
            </w:r>
            <w:r>
              <w:rPr>
                <w:rFonts w:hint="default"/>
                <w:color w:val="000000" w:themeColor="text1"/>
                <w:sz w:val="24"/>
                <w:vertAlign w:val="superscript"/>
                <w14:textFill>
                  <w14:solidFill>
                    <w14:schemeClr w14:val="tx1"/>
                  </w14:solidFill>
                </w14:textFill>
              </w:rPr>
              <w:t>2</w:t>
            </w:r>
            <w:r>
              <w:rPr>
                <w:rFonts w:hint="default"/>
                <w:color w:val="000000" w:themeColor="text1"/>
                <w:sz w:val="24"/>
                <w14:textFill>
                  <w14:solidFill>
                    <w14:schemeClr w14:val="tx1"/>
                  </w14:solidFill>
                </w14:textFill>
              </w:rPr>
              <w:t>/g），有很强的吸附能力，能在它的表面上吸附气体，液体或胶态固体，由于活性炭固体表面上存在着未平衡和未饱和的分子引力或化学健力，因此当其与气体接触时，就能吸引气体分子，使其浓聚并保持在固体表面，污染物质从而被吸附，使废气得到净化。活性炭吸附有机废气是目前最广泛使用的回收技术。</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为了保证废气处理装置的有效运行，要求企业加强环保设施的监管与维护，并定期对过滤棉和活性炭进行更换，更换周期视使用情况及吸附效率而定。采取以上措施后，项目产生的废气可以得到有效的处理，可实现达标排放。</w:t>
            </w:r>
          </w:p>
          <w:p>
            <w:pPr>
              <w:keepNext w:val="0"/>
              <w:keepLines w:val="0"/>
              <w:suppressLineNumbers w:val="0"/>
              <w:spacing w:before="0" w:beforeAutospacing="0" w:after="0" w:afterAutospacing="0" w:line="520" w:lineRule="exact"/>
              <w:ind w:left="0" w:right="0" w:firstLine="470" w:firstLineChars="196"/>
              <w:rPr>
                <w:rFonts w:hint="default"/>
                <w:sz w:val="24"/>
              </w:rPr>
            </w:pPr>
            <w:r>
              <w:rPr>
                <w:rFonts w:hint="default"/>
                <w:color w:val="000000" w:themeColor="text1"/>
                <w:sz w:val="24"/>
                <w14:textFill>
                  <w14:solidFill>
                    <w14:schemeClr w14:val="tx1"/>
                  </w14:solidFill>
                </w14:textFill>
              </w:rPr>
              <w:t>根据《环境影响评价技术导则 大气环境》（HJ2.2-2018），对项目运营期有组织和无组织排放的污染物进行环境影响估算。估算模式采用《环境影响评价技术导则-大气环境》（HJ2.2-2018）推荐的AERSCREEN3。调查源</w:t>
            </w:r>
            <w:r>
              <w:rPr>
                <w:rFonts w:hint="default"/>
                <w:sz w:val="24"/>
              </w:rPr>
              <w:t>强见表26-27，估算结果见表29。</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表26  点源调查参数清单</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98"/>
              <w:gridCol w:w="1385"/>
              <w:gridCol w:w="1245"/>
              <w:gridCol w:w="687"/>
              <w:gridCol w:w="546"/>
              <w:gridCol w:w="406"/>
              <w:gridCol w:w="424"/>
              <w:gridCol w:w="501"/>
              <w:gridCol w:w="687"/>
              <w:gridCol w:w="511"/>
              <w:gridCol w:w="629"/>
              <w:gridCol w:w="634"/>
              <w:gridCol w:w="4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698" w:type="dxa"/>
                  <w:vMerge w:val="restart"/>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污染源名称</w:t>
                  </w:r>
                </w:p>
              </w:tc>
              <w:tc>
                <w:tcPr>
                  <w:tcW w:w="2630" w:type="dxa"/>
                  <w:gridSpan w:val="2"/>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排气筒底部中心坐标(</w:t>
                  </w:r>
                  <w:r>
                    <w:rPr>
                      <w:rFonts w:hint="default"/>
                      <w:color w:val="000000" w:themeColor="text1"/>
                      <w:vertAlign w:val="superscript"/>
                      <w14:textFill>
                        <w14:solidFill>
                          <w14:schemeClr w14:val="tx1"/>
                        </w14:solidFill>
                      </w14:textFill>
                    </w:rPr>
                    <w:t>o</w:t>
                  </w:r>
                  <w:r>
                    <w:rPr>
                      <w:rFonts w:hint="default"/>
                      <w:color w:val="000000" w:themeColor="text1"/>
                      <w14:textFill>
                        <w14:solidFill>
                          <w14:schemeClr w14:val="tx1"/>
                        </w14:solidFill>
                      </w14:textFill>
                    </w:rPr>
                    <w:t>)</w:t>
                  </w:r>
                </w:p>
              </w:tc>
              <w:tc>
                <w:tcPr>
                  <w:tcW w:w="687" w:type="dxa"/>
                  <w:vMerge w:val="restart"/>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排气筒底部海拔高度(m)</w:t>
                  </w:r>
                </w:p>
              </w:tc>
              <w:tc>
                <w:tcPr>
                  <w:tcW w:w="1877" w:type="dxa"/>
                  <w:gridSpan w:val="4"/>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排气筒参数</w:t>
                  </w:r>
                </w:p>
              </w:tc>
              <w:tc>
                <w:tcPr>
                  <w:tcW w:w="687" w:type="dxa"/>
                  <w:vMerge w:val="restart"/>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污染物名称</w:t>
                  </w:r>
                </w:p>
              </w:tc>
              <w:tc>
                <w:tcPr>
                  <w:tcW w:w="511" w:type="dxa"/>
                  <w:vMerge w:val="restar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排放情况</w:t>
                  </w:r>
                </w:p>
              </w:tc>
              <w:tc>
                <w:tcPr>
                  <w:tcW w:w="629" w:type="dxa"/>
                  <w:vMerge w:val="restar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排放时间</w:t>
                  </w:r>
                </w:p>
              </w:tc>
              <w:tc>
                <w:tcPr>
                  <w:tcW w:w="634" w:type="dxa"/>
                  <w:vMerge w:val="restart"/>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排放速率</w:t>
                  </w:r>
                </w:p>
              </w:tc>
              <w:tc>
                <w:tcPr>
                  <w:tcW w:w="430" w:type="dxa"/>
                  <w:vMerge w:val="restart"/>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698" w:type="dxa"/>
                  <w:vMerge w:val="continue"/>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1385"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经度</w:t>
                  </w:r>
                </w:p>
              </w:tc>
              <w:tc>
                <w:tcPr>
                  <w:tcW w:w="1245"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纬度</w:t>
                  </w:r>
                </w:p>
              </w:tc>
              <w:tc>
                <w:tcPr>
                  <w:tcW w:w="687" w:type="dxa"/>
                  <w:vMerge w:val="continue"/>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546"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高度</w:t>
                  </w:r>
                </w:p>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w:t>
                  </w:r>
                </w:p>
              </w:tc>
              <w:tc>
                <w:tcPr>
                  <w:tcW w:w="406"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内径</w:t>
                  </w:r>
                </w:p>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w:t>
                  </w:r>
                </w:p>
              </w:tc>
              <w:tc>
                <w:tcPr>
                  <w:tcW w:w="424"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温度</w:t>
                  </w:r>
                </w:p>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r>
                    <w:rPr>
                      <w:rFonts w:hint="default" w:ascii="MS Mincho" w:hAnsi="MS Mincho" w:eastAsia="MS Mincho" w:cs="MS Mincho"/>
                      <w:color w:val="000000" w:themeColor="text1"/>
                      <w14:textFill>
                        <w14:solidFill>
                          <w14:schemeClr w14:val="tx1"/>
                        </w14:solidFill>
                      </w14:textFill>
                    </w:rPr>
                    <w:t>℃</w:t>
                  </w:r>
                  <w:r>
                    <w:rPr>
                      <w:rFonts w:hint="default"/>
                      <w:color w:val="000000" w:themeColor="text1"/>
                      <w14:textFill>
                        <w14:solidFill>
                          <w14:schemeClr w14:val="tx1"/>
                        </w14:solidFill>
                      </w14:textFill>
                    </w:rPr>
                    <w:t>)</w:t>
                  </w:r>
                </w:p>
              </w:tc>
              <w:tc>
                <w:tcPr>
                  <w:tcW w:w="5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流速</w:t>
                  </w:r>
                </w:p>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(m/s)</w:t>
                  </w:r>
                </w:p>
              </w:tc>
              <w:tc>
                <w:tcPr>
                  <w:tcW w:w="687" w:type="dxa"/>
                  <w:vMerge w:val="continue"/>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511" w:type="dxa"/>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29" w:type="dxa"/>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34" w:type="dxa"/>
                  <w:vMerge w:val="continue"/>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30" w:type="dxa"/>
                  <w:vMerge w:val="continue"/>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trPr>
              <w:tc>
                <w:tcPr>
                  <w:tcW w:w="69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点源2（P2）</w:t>
                  </w:r>
                </w:p>
              </w:tc>
              <w:tc>
                <w:tcPr>
                  <w:tcW w:w="1385"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108.769394</w:t>
                  </w:r>
                </w:p>
              </w:tc>
              <w:tc>
                <w:tcPr>
                  <w:tcW w:w="1245"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34.448398</w:t>
                  </w:r>
                </w:p>
              </w:tc>
              <w:tc>
                <w:tcPr>
                  <w:tcW w:w="68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476.0</w:t>
                  </w:r>
                </w:p>
              </w:tc>
              <w:tc>
                <w:tcPr>
                  <w:tcW w:w="54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15.0</w:t>
                  </w:r>
                </w:p>
              </w:tc>
              <w:tc>
                <w:tcPr>
                  <w:tcW w:w="40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1.2</w:t>
                  </w:r>
                </w:p>
              </w:tc>
              <w:tc>
                <w:tcPr>
                  <w:tcW w:w="4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60.0</w:t>
                  </w:r>
                </w:p>
              </w:tc>
              <w:tc>
                <w:tcPr>
                  <w:tcW w:w="501"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14.5</w:t>
                  </w:r>
                </w:p>
              </w:tc>
              <w:tc>
                <w:tcPr>
                  <w:tcW w:w="687" w:type="dxa"/>
                  <w:tcBorders>
                    <w:top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r>
                    <w:rPr>
                      <w:rFonts w:hint="default"/>
                      <w:color w:val="000000" w:themeColor="text1"/>
                      <w14:textFill>
                        <w14:solidFill>
                          <w14:schemeClr w14:val="tx1"/>
                        </w14:solidFill>
                      </w14:textFill>
                    </w:rPr>
                    <w:t xml:space="preserve">    NMHC    甲苯</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二甲苯    </w:t>
                  </w:r>
                </w:p>
              </w:tc>
              <w:tc>
                <w:tcPr>
                  <w:tcW w:w="511"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正常</w:t>
                  </w:r>
                </w:p>
              </w:tc>
              <w:tc>
                <w:tcPr>
                  <w:tcW w:w="629"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300h/a</w:t>
                  </w:r>
                </w:p>
              </w:tc>
              <w:tc>
                <w:tcPr>
                  <w:tcW w:w="634" w:type="dxa"/>
                  <w:tcBorders>
                    <w:top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0.2295</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1.371</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0.0395</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0.079</w:t>
                  </w:r>
                </w:p>
              </w:tc>
              <w:tc>
                <w:tcPr>
                  <w:tcW w:w="430"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trPr>
              <w:tc>
                <w:tcPr>
                  <w:tcW w:w="69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点源1（P1）</w:t>
                  </w:r>
                </w:p>
              </w:tc>
              <w:tc>
                <w:tcPr>
                  <w:tcW w:w="1385"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108.768839</w:t>
                  </w:r>
                </w:p>
              </w:tc>
              <w:tc>
                <w:tcPr>
                  <w:tcW w:w="1245"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34.448014</w:t>
                  </w:r>
                </w:p>
              </w:tc>
              <w:tc>
                <w:tcPr>
                  <w:tcW w:w="68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475.0</w:t>
                  </w:r>
                </w:p>
              </w:tc>
              <w:tc>
                <w:tcPr>
                  <w:tcW w:w="54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15.0</w:t>
                  </w:r>
                </w:p>
              </w:tc>
              <w:tc>
                <w:tcPr>
                  <w:tcW w:w="40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1.2</w:t>
                  </w:r>
                </w:p>
              </w:tc>
              <w:tc>
                <w:tcPr>
                  <w:tcW w:w="4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60.0</w:t>
                  </w:r>
                </w:p>
              </w:tc>
              <w:tc>
                <w:tcPr>
                  <w:tcW w:w="501"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14.5</w:t>
                  </w:r>
                </w:p>
              </w:tc>
              <w:tc>
                <w:tcPr>
                  <w:tcW w:w="68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r>
                    <w:rPr>
                      <w:rFonts w:hint="default"/>
                      <w:color w:val="000000" w:themeColor="text1"/>
                      <w14:textFill>
                        <w14:solidFill>
                          <w14:schemeClr w14:val="tx1"/>
                        </w14:solidFill>
                      </w14:textFill>
                    </w:rPr>
                    <w:t xml:space="preserve">   NMHC    甲苯</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二甲苯  </w:t>
                  </w:r>
                </w:p>
              </w:tc>
              <w:tc>
                <w:tcPr>
                  <w:tcW w:w="511"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29"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3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0.2295</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1.371</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0.0395</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0.079</w:t>
                  </w:r>
                </w:p>
              </w:tc>
              <w:tc>
                <w:tcPr>
                  <w:tcW w:w="430"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kg/h</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表27   面源参数一览表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500"/>
              <w:gridCol w:w="1367"/>
              <w:gridCol w:w="824"/>
              <w:gridCol w:w="824"/>
              <w:gridCol w:w="824"/>
              <w:gridCol w:w="624"/>
              <w:gridCol w:w="1029"/>
              <w:gridCol w:w="13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88"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污染源名称</w:t>
                  </w:r>
                </w:p>
              </w:tc>
              <w:tc>
                <w:tcPr>
                  <w:tcW w:w="2867" w:type="dxa"/>
                  <w:gridSpan w:val="2"/>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坐标</w:t>
                  </w:r>
                </w:p>
              </w:tc>
              <w:tc>
                <w:tcPr>
                  <w:tcW w:w="824" w:type="dxa"/>
                  <w:vMerge w:val="restart"/>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海拔高度/m</w:t>
                  </w:r>
                </w:p>
              </w:tc>
              <w:tc>
                <w:tcPr>
                  <w:tcW w:w="2272" w:type="dxa"/>
                  <w:gridSpan w:val="3"/>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矩形面源</w:t>
                  </w:r>
                </w:p>
              </w:tc>
              <w:tc>
                <w:tcPr>
                  <w:tcW w:w="1029" w:type="dxa"/>
                  <w:vMerge w:val="restart"/>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c>
                <w:tcPr>
                  <w:tcW w:w="1303" w:type="dxa"/>
                  <w:vMerge w:val="restart"/>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w:t>
                  </w:r>
                </w:p>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488" w:type="dxa"/>
                  <w:vMerge w:val="continue"/>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1500"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X</w:t>
                  </w:r>
                </w:p>
              </w:tc>
              <w:tc>
                <w:tcPr>
                  <w:tcW w:w="1367"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Y</w:t>
                  </w:r>
                </w:p>
              </w:tc>
              <w:tc>
                <w:tcPr>
                  <w:tcW w:w="824" w:type="dxa"/>
                  <w:vMerge w:val="continue"/>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824"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长度(m)</w:t>
                  </w:r>
                </w:p>
              </w:tc>
              <w:tc>
                <w:tcPr>
                  <w:tcW w:w="824"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宽度(m)</w:t>
                  </w:r>
                </w:p>
              </w:tc>
              <w:tc>
                <w:tcPr>
                  <w:tcW w:w="624"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有效高度(m)</w:t>
                  </w:r>
                </w:p>
              </w:tc>
              <w:tc>
                <w:tcPr>
                  <w:tcW w:w="1029" w:type="dxa"/>
                  <w:vMerge w:val="continue"/>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1303" w:type="dxa"/>
                  <w:vMerge w:val="continue"/>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8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矩形面源</w:t>
                  </w:r>
                </w:p>
              </w:tc>
              <w:tc>
                <w:tcPr>
                  <w:tcW w:w="150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108.769361</w:t>
                  </w:r>
                </w:p>
              </w:tc>
              <w:tc>
                <w:tcPr>
                  <w:tcW w:w="136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34.448582</w:t>
                  </w:r>
                </w:p>
              </w:tc>
              <w:tc>
                <w:tcPr>
                  <w:tcW w:w="82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476.0</w:t>
                  </w:r>
                </w:p>
              </w:tc>
              <w:tc>
                <w:tcPr>
                  <w:tcW w:w="82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82.75</w:t>
                  </w:r>
                </w:p>
              </w:tc>
              <w:tc>
                <w:tcPr>
                  <w:tcW w:w="82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rPr>
                    <w:t>69.06</w:t>
                  </w:r>
                </w:p>
              </w:tc>
              <w:tc>
                <w:tcPr>
                  <w:tcW w:w="62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18.0</w:t>
                  </w:r>
                </w:p>
              </w:tc>
              <w:tc>
                <w:tcPr>
                  <w:tcW w:w="102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vertAlign w:val="subscript"/>
                      <w14:textFill>
                        <w14:solidFill>
                          <w14:schemeClr w14:val="tx1"/>
                        </w14:solidFill>
                      </w14:textFill>
                    </w:rPr>
                  </w:pPr>
                  <w:r>
                    <w:rPr>
                      <w:rFonts w:hint="default"/>
                      <w:color w:val="000000" w:themeColor="text1"/>
                      <w14:textFill>
                        <w14:solidFill>
                          <w14:schemeClr w14:val="tx1"/>
                        </w14:solidFill>
                      </w14:textFill>
                    </w:rPr>
                    <w:t>TSP</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    甲苯    二甲苯</w:t>
                  </w:r>
                </w:p>
              </w:tc>
              <w:tc>
                <w:tcPr>
                  <w:tcW w:w="130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0.036</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0.052</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0.0015</w:t>
                  </w:r>
                </w:p>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w:t>
                  </w:r>
                </w:p>
              </w:tc>
            </w:tr>
          </w:tbl>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szCs w:val="22"/>
              </w:rPr>
            </w:pPr>
            <w:r>
              <w:rPr>
                <w:rFonts w:hint="default"/>
                <w:sz w:val="24"/>
                <w:szCs w:val="22"/>
              </w:rPr>
              <w:t>估算模式所用参数见表。</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表28   估算模型参数表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49"/>
              <w:gridCol w:w="3434"/>
              <w:gridCol w:w="18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983" w:type="dxa"/>
                  <w:gridSpan w:val="2"/>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参数</w:t>
                  </w:r>
                </w:p>
              </w:tc>
              <w:tc>
                <w:tcPr>
                  <w:tcW w:w="1800" w:type="dxa"/>
                  <w:tcBorders>
                    <w:top w:val="single" w:color="auto" w:sz="12"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城市农村/选项</w:t>
                  </w: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城市/农村</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农村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人口数(城市人口数)</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最高环境温度</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42.0°C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最低环境温度</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-19.7 °C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土地利用类型</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农田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983" w:type="dxa"/>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区域湿度条件</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中等湿度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是否考虑地形</w:t>
                  </w: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考虑地形</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地形数据分辨率(m)</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restar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是否考虑海岸线熏烟</w:t>
                  </w: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考虑海岸线熏烟</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12"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34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海岸线距离/km</w:t>
                  </w:r>
                </w:p>
              </w:tc>
              <w:tc>
                <w:tcPr>
                  <w:tcW w:w="1800"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49" w:type="dxa"/>
                  <w:vMerge w:val="continue"/>
                  <w:tcBorders>
                    <w:top w:val="single" w:color="auto" w:sz="4" w:space="0"/>
                    <w:left w:val="nil"/>
                    <w:bottom w:val="single" w:color="auto" w:sz="12"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3434" w:type="dxa"/>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default"/>
                    </w:rPr>
                    <w:t>海岸线方向/</w:t>
                  </w:r>
                  <w:r>
                    <w:rPr>
                      <w:rFonts w:hint="default"/>
                      <w:vertAlign w:val="superscript"/>
                    </w:rPr>
                    <w:t>o</w:t>
                  </w:r>
                </w:p>
              </w:tc>
              <w:tc>
                <w:tcPr>
                  <w:tcW w:w="1800" w:type="dxa"/>
                  <w:tcBorders>
                    <w:top w:val="single" w:color="auto" w:sz="4" w:space="0"/>
                    <w:left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r>
          </w:tbl>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eastAsia="黑体"/>
                <w:kern w:val="0"/>
                <w:sz w:val="24"/>
              </w:rPr>
            </w:pPr>
            <w:r>
              <w:rPr>
                <w:rFonts w:hint="default"/>
                <w:sz w:val="24"/>
                <w:szCs w:val="22"/>
              </w:rPr>
              <w:t>本项目所有污染源的正常排放的污染物的P</w:t>
            </w:r>
            <w:r>
              <w:rPr>
                <w:rFonts w:hint="default"/>
                <w:sz w:val="24"/>
                <w:szCs w:val="22"/>
                <w:vertAlign w:val="subscript"/>
              </w:rPr>
              <w:t>max</w:t>
            </w:r>
            <w:r>
              <w:rPr>
                <w:rFonts w:hint="default"/>
                <w:sz w:val="24"/>
                <w:szCs w:val="22"/>
              </w:rPr>
              <w:t>和D</w:t>
            </w:r>
            <w:r>
              <w:rPr>
                <w:rFonts w:hint="default"/>
                <w:sz w:val="24"/>
                <w:szCs w:val="22"/>
                <w:vertAlign w:val="subscript"/>
              </w:rPr>
              <w:t>10%</w:t>
            </w:r>
            <w:r>
              <w:rPr>
                <w:rFonts w:hint="default"/>
                <w:sz w:val="24"/>
                <w:szCs w:val="22"/>
              </w:rPr>
              <w:t>预测结果如下：</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表29   Pmax和D10%预测和计算结果一览表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1464"/>
              <w:gridCol w:w="1464"/>
              <w:gridCol w:w="1464"/>
              <w:gridCol w:w="1464"/>
              <w:gridCol w:w="14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污染源名称</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评价因子</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评价标准(</w:t>
                  </w:r>
                  <w:r>
                    <w:rPr>
                      <w:rFonts w:hint="default"/>
                      <w:b/>
                      <w:color w:val="000000" w:themeColor="text1"/>
                      <w:lang w:bidi="ar"/>
                      <w14:textFill>
                        <w14:solidFill>
                          <w14:schemeClr w14:val="tx1"/>
                        </w14:solidFill>
                      </w14:textFill>
                    </w:rPr>
                    <w:t>μg</w:t>
                  </w:r>
                  <w:r>
                    <w:rPr>
                      <w:rFonts w:hint="default"/>
                      <w:b/>
                      <w:color w:val="000000" w:themeColor="text1"/>
                      <w14:textFill>
                        <w14:solidFill>
                          <w14:schemeClr w14:val="tx1"/>
                        </w14:solidFill>
                      </w14:textFill>
                    </w:rPr>
                    <w:t>/m</w:t>
                  </w:r>
                  <w:r>
                    <w:rPr>
                      <w:rFonts w:hint="default"/>
                      <w:b/>
                      <w:color w:val="000000" w:themeColor="text1"/>
                      <w:vertAlign w:val="superscript"/>
                      <w14:textFill>
                        <w14:solidFill>
                          <w14:schemeClr w14:val="tx1"/>
                        </w14:solidFill>
                      </w14:textFill>
                    </w:rPr>
                    <w:t>3</w:t>
                  </w:r>
                  <w:r>
                    <w:rPr>
                      <w:rFonts w:hint="default"/>
                      <w:b/>
                      <w:color w:val="000000" w:themeColor="text1"/>
                      <w14:textFill>
                        <w14:solidFill>
                          <w14:schemeClr w14:val="tx1"/>
                        </w14:solidFill>
                      </w14:textFill>
                    </w:rPr>
                    <w:t>)</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C</w:t>
                  </w:r>
                  <w:r>
                    <w:rPr>
                      <w:rFonts w:hint="default"/>
                      <w:b/>
                      <w:color w:val="000000" w:themeColor="text1"/>
                      <w:vertAlign w:val="subscript"/>
                      <w14:textFill>
                        <w14:solidFill>
                          <w14:schemeClr w14:val="tx1"/>
                        </w14:solidFill>
                      </w14:textFill>
                    </w:rPr>
                    <w:t>max</w:t>
                  </w:r>
                </w:p>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w:t>
                  </w:r>
                  <w:r>
                    <w:rPr>
                      <w:rFonts w:hint="default"/>
                      <w:b/>
                      <w:color w:val="000000" w:themeColor="text1"/>
                      <w:lang w:bidi="ar"/>
                      <w14:textFill>
                        <w14:solidFill>
                          <w14:schemeClr w14:val="tx1"/>
                        </w14:solidFill>
                      </w14:textFill>
                    </w:rPr>
                    <w:t>μg</w:t>
                  </w:r>
                  <w:r>
                    <w:rPr>
                      <w:rFonts w:hint="default"/>
                      <w:b/>
                      <w:color w:val="000000" w:themeColor="text1"/>
                      <w14:textFill>
                        <w14:solidFill>
                          <w14:schemeClr w14:val="tx1"/>
                        </w14:solidFill>
                      </w14:textFill>
                    </w:rPr>
                    <w:t>/m</w:t>
                  </w:r>
                  <w:r>
                    <w:rPr>
                      <w:rFonts w:hint="default"/>
                      <w:b/>
                      <w:color w:val="000000" w:themeColor="text1"/>
                      <w:vertAlign w:val="superscript"/>
                      <w14:textFill>
                        <w14:solidFill>
                          <w14:schemeClr w14:val="tx1"/>
                        </w14:solidFill>
                      </w14:textFill>
                    </w:rPr>
                    <w:t>3</w:t>
                  </w:r>
                  <w:r>
                    <w:rPr>
                      <w:rFonts w:hint="default"/>
                      <w:b/>
                      <w:color w:val="000000" w:themeColor="text1"/>
                      <w14:textFill>
                        <w14:solidFill>
                          <w14:schemeClr w14:val="tx1"/>
                        </w14:solidFill>
                      </w14:textFill>
                    </w:rPr>
                    <w:t>)</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P</w:t>
                  </w:r>
                  <w:r>
                    <w:rPr>
                      <w:rFonts w:hint="default"/>
                      <w:b/>
                      <w:color w:val="000000" w:themeColor="text1"/>
                      <w:vertAlign w:val="subscript"/>
                      <w14:textFill>
                        <w14:solidFill>
                          <w14:schemeClr w14:val="tx1"/>
                        </w14:solidFill>
                      </w14:textFill>
                    </w:rPr>
                    <w:t>max</w:t>
                  </w:r>
                </w:p>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D</w:t>
                  </w:r>
                  <w:r>
                    <w:rPr>
                      <w:rFonts w:hint="default"/>
                      <w:b/>
                      <w:color w:val="000000" w:themeColor="text1"/>
                      <w:vertAlign w:val="subscript"/>
                      <w14:textFill>
                        <w14:solidFill>
                          <w14:schemeClr w14:val="tx1"/>
                        </w14:solidFill>
                      </w14:textFill>
                    </w:rPr>
                    <w:t>10%</w:t>
                  </w:r>
                </w:p>
                <w:p>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矩形面源1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vertAlign w:val="subscript"/>
                      <w14:textFill>
                        <w14:solidFill>
                          <w14:schemeClr w14:val="tx1"/>
                        </w14:solidFill>
                      </w14:textFill>
                    </w:rPr>
                  </w:pPr>
                  <w:r>
                    <w:rPr>
                      <w:rFonts w:hint="default"/>
                      <w:color w:val="000000" w:themeColor="text1"/>
                      <w14:textFill>
                        <w14:solidFill>
                          <w14:schemeClr w14:val="tx1"/>
                        </w14:solidFill>
                      </w14:textFill>
                    </w:rPr>
                    <w:t>TSP</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12.0185</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1.3354</w:t>
                  </w:r>
                </w:p>
              </w:tc>
              <w:tc>
                <w:tcPr>
                  <w:tcW w:w="1463"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矩形面源1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17.3600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0.8680</w:t>
                  </w:r>
                </w:p>
              </w:tc>
              <w:tc>
                <w:tcPr>
                  <w:tcW w:w="1463"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矩形面源1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0.5008</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0.2504</w:t>
                  </w:r>
                </w:p>
              </w:tc>
              <w:tc>
                <w:tcPr>
                  <w:tcW w:w="1463"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矩形面源1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1.0015</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0.5008</w:t>
                  </w:r>
                </w:p>
              </w:tc>
              <w:tc>
                <w:tcPr>
                  <w:tcW w:w="1463"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点源2（P2）</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vertAlign w:val="subscript"/>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2.7591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0.6131</w:t>
                  </w:r>
                </w:p>
              </w:tc>
              <w:tc>
                <w:tcPr>
                  <w:tcW w:w="1463" w:type="dxa"/>
                  <w:tcBorders>
                    <w:tl2br w:val="nil"/>
                    <w:tr2bl w:val="nil"/>
                  </w:tcBorders>
                  <w:vAlign w:val="top"/>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点源2（P2）</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16.4825</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0.8241</w:t>
                  </w:r>
                </w:p>
              </w:tc>
              <w:tc>
                <w:tcPr>
                  <w:tcW w:w="1463" w:type="dxa"/>
                  <w:tcBorders>
                    <w:tl2br w:val="nil"/>
                    <w:tr2bl w:val="nil"/>
                  </w:tcBorders>
                  <w:vAlign w:val="top"/>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点源2（P2）</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0.4749</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0.2374</w:t>
                  </w:r>
                </w:p>
              </w:tc>
              <w:tc>
                <w:tcPr>
                  <w:tcW w:w="1463" w:type="dxa"/>
                  <w:tcBorders>
                    <w:tl2br w:val="nil"/>
                    <w:tr2bl w:val="nil"/>
                  </w:tcBorders>
                  <w:vAlign w:val="top"/>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点源2（P2）</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0.9498</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0.4749</w:t>
                  </w:r>
                </w:p>
              </w:tc>
              <w:tc>
                <w:tcPr>
                  <w:tcW w:w="1463" w:type="dxa"/>
                  <w:tcBorders>
                    <w:tl2br w:val="nil"/>
                    <w:tr2bl w:val="nil"/>
                  </w:tcBorders>
                  <w:vAlign w:val="top"/>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点源1（P1）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2.7591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0.6131</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点源1（P1）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16.4825</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0.8241</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点源1（P1）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0.4749</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0.2374</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464" w:type="dxa"/>
                  <w:tcBorders>
                    <w:tl2br w:val="nil"/>
                    <w:tr2bl w:val="nil"/>
                  </w:tcBorders>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点源1（P1）</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0.9498</w:t>
                  </w:r>
                </w:p>
              </w:tc>
              <w:tc>
                <w:tcPr>
                  <w:tcW w:w="146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0.4749</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bl>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highlight w:val="none"/>
                <w14:textFill>
                  <w14:solidFill>
                    <w14:schemeClr w14:val="tx1"/>
                  </w14:solidFill>
                </w14:textFill>
              </w:rPr>
              <w:t>由上表可知，本项目Pmax最大值出现为矩形面源排放的TSP，Pmax值为1.3354%，Cmax为12.0185ug/m</w:t>
            </w:r>
            <w:r>
              <w:rPr>
                <w:rFonts w:hint="default"/>
                <w:color w:val="000000" w:themeColor="text1"/>
                <w:sz w:val="24"/>
                <w:highlight w:val="none"/>
                <w:vertAlign w:val="superscript"/>
                <w14:textFill>
                  <w14:solidFill>
                    <w14:schemeClr w14:val="tx1"/>
                  </w14:solidFill>
                </w14:textFill>
              </w:rPr>
              <w:t>3</w:t>
            </w:r>
            <w:r>
              <w:rPr>
                <w:rFonts w:hint="default"/>
                <w:color w:val="000000" w:themeColor="text1"/>
                <w:sz w:val="24"/>
                <w14:textFill>
                  <w14:solidFill>
                    <w14:schemeClr w14:val="tx1"/>
                  </w14:solidFill>
                </w14:textFill>
              </w:rPr>
              <w:t>，根据《环境影响评价技术导则 大气环境》(HJ2.2-2018)分级判据，确定本项目大气环境影响评价工作等级为二级。</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sz w:val="24"/>
              </w:rPr>
            </w:pPr>
            <w:r>
              <w:rPr>
                <w:rFonts w:hint="default"/>
                <w:color w:val="000000" w:themeColor="text1"/>
                <w:sz w:val="24"/>
                <w14:textFill>
                  <w14:solidFill>
                    <w14:schemeClr w14:val="tx1"/>
                  </w14:solidFill>
                </w14:textFill>
              </w:rPr>
              <w:t>二级评价项目不进行进一步预测与评价，只对污</w:t>
            </w:r>
            <w:r>
              <w:rPr>
                <w:rFonts w:hint="default"/>
                <w:sz w:val="24"/>
              </w:rPr>
              <w:t>染物排放量进行核算。根据</w:t>
            </w:r>
            <w:r>
              <w:rPr>
                <w:rFonts w:hint="default"/>
                <w:sz w:val="24"/>
                <w:szCs w:val="32"/>
              </w:rPr>
              <w:t>《环境影响评价技术导则大气环境》(HJ2.2-2018)，本项目厂界浓度满足大气污染物厂界浓度限值，厂界外大气污染物短期贡献值浓度未超过环境质量浓度限值，</w:t>
            </w:r>
            <w:r>
              <w:rPr>
                <w:rFonts w:hint="default"/>
                <w:sz w:val="24"/>
              </w:rPr>
              <w:t>可不设置大气环境防护距离。</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sz w:val="24"/>
              </w:rPr>
            </w:pPr>
            <w:r>
              <w:rPr>
                <w:rFonts w:hint="default"/>
                <w:sz w:val="24"/>
              </w:rPr>
              <w:t>大气污染物年排放量包括项目各有组织排放源和无组织排放源在正常排放条件下的预测排放量之和，污染物年排放量公示如下：</w:t>
            </w:r>
          </w:p>
          <w:p>
            <w:pPr>
              <w:keepNext w:val="0"/>
              <w:keepLines w:val="0"/>
              <w:suppressLineNumbers w:val="0"/>
              <w:adjustRightInd w:val="0"/>
              <w:snapToGrid w:val="0"/>
              <w:spacing w:before="0" w:beforeAutospacing="0" w:after="0" w:afterAutospacing="0"/>
              <w:ind w:left="0" w:right="0" w:firstLine="480" w:firstLineChars="200"/>
              <w:jc w:val="left"/>
              <w:rPr>
                <w:rFonts w:hint="default"/>
                <w:sz w:val="24"/>
              </w:rPr>
            </w:pPr>
            <w:r>
              <w:rPr>
                <w:rFonts w:hint="default"/>
                <w:sz w:val="24"/>
              </w:rPr>
              <w:object>
                <v:shape id="_x0000_i1025" o:spt="75" type="#_x0000_t75" style="height:25.2pt;width:334.8pt;" o:ole="t" filled="f" o:preferrelative="t" stroked="f" coordsize="21600,21600">
                  <v:path/>
                  <v:fill on="f" focussize="0,0"/>
                  <v:stroke on="f" joinstyle="miter"/>
                  <v:imagedata r:id="rId21" o:title=""/>
                  <o:lock v:ext="edit" aspectratio="t"/>
                  <w10:wrap type="none"/>
                  <w10:anchorlock/>
                </v:shape>
                <o:OLEObject Type="Embed" ProgID="Equation.3" ShapeID="_x0000_i1025" DrawAspect="Content" ObjectID="_1468075725" r:id="rId20">
                  <o:LockedField>false</o:LockedField>
                </o:OLEObject>
              </w:objec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rPr>
            </w:pPr>
            <w:r>
              <w:rPr>
                <w:rFonts w:hint="default"/>
                <w:sz w:val="24"/>
              </w:rPr>
              <w:t>式中：</w:t>
            </w:r>
            <w:r>
              <w:rPr>
                <w:rFonts w:hint="default"/>
                <w:sz w:val="24"/>
              </w:rPr>
              <w:tab/>
            </w:r>
            <w:r>
              <w:rPr>
                <w:rFonts w:hint="default"/>
                <w:sz w:val="24"/>
              </w:rPr>
              <w:object>
                <v:shape id="_x0000_i1026" o:spt="75" type="#_x0000_t75" style="height:18pt;width:32.4pt;" o:ole="t" filled="f" o:preferrelative="t" stroked="f" coordsize="21600,21600">
                  <v:path/>
                  <v:fill on="f" focussize="0,0"/>
                  <v:stroke on="f" joinstyle="miter"/>
                  <v:imagedata r:id="rId23" o:title=""/>
                  <o:lock v:ext="edit" aspectratio="t"/>
                  <w10:wrap type="none"/>
                  <w10:anchorlock/>
                </v:shape>
                <o:OLEObject Type="Embed" ProgID="Equation.3" ShapeID="_x0000_i1026" DrawAspect="Content" ObjectID="_1468075726" r:id="rId22">
                  <o:LockedField>false</o:LockedField>
                </o:OLEObject>
              </w:object>
            </w:r>
            <w:r>
              <w:rPr>
                <w:rFonts w:hint="default"/>
                <w:sz w:val="24"/>
              </w:rPr>
              <w:t>—项目年排放量，t/a；</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rPr>
            </w:pPr>
            <w:r>
              <w:rPr>
                <w:rFonts w:hint="default"/>
                <w:sz w:val="24"/>
              </w:rPr>
              <w:tab/>
            </w:r>
            <w:r>
              <w:rPr>
                <w:rFonts w:hint="default"/>
                <w:sz w:val="24"/>
              </w:rPr>
              <w:tab/>
            </w:r>
            <w:r>
              <w:rPr>
                <w:rFonts w:hint="default"/>
                <w:sz w:val="24"/>
              </w:rPr>
              <w:object>
                <v:shape id="_x0000_i1027" o:spt="75" type="#_x0000_t75" style="height:18pt;width:34.2pt;" o:ole="t" filled="f" o:preferrelative="t" stroked="f" coordsize="21600,21600">
                  <v:path/>
                  <v:fill on="f" focussize="0,0"/>
                  <v:stroke on="f" joinstyle="miter"/>
                  <v:imagedata r:id="rId25" o:title=""/>
                  <o:lock v:ext="edit" aspectratio="t"/>
                  <w10:wrap type="none"/>
                  <w10:anchorlock/>
                </v:shape>
                <o:OLEObject Type="Embed" ProgID="Equation.3" ShapeID="_x0000_i1027" DrawAspect="Content" ObjectID="_1468075727" r:id="rId24">
                  <o:LockedField>false</o:LockedField>
                </o:OLEObject>
              </w:object>
            </w:r>
            <w:r>
              <w:rPr>
                <w:rFonts w:hint="default"/>
                <w:sz w:val="24"/>
              </w:rPr>
              <w:t>—第i个有组织排放源排放速率，kg/h；</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rPr>
            </w:pPr>
            <w:r>
              <w:rPr>
                <w:rFonts w:hint="default"/>
                <w:sz w:val="24"/>
              </w:rPr>
              <w:tab/>
            </w:r>
            <w:r>
              <w:rPr>
                <w:rFonts w:hint="default"/>
                <w:sz w:val="24"/>
              </w:rPr>
              <w:tab/>
            </w:r>
            <w:r>
              <w:rPr>
                <w:rFonts w:hint="default"/>
                <w:sz w:val="24"/>
              </w:rPr>
              <w:object>
                <v:shape id="_x0000_i1028" o:spt="75" type="#_x0000_t75" style="height:18pt;width:34.2pt;" o:ole="t" filled="f" o:preferrelative="t" stroked="f" coordsize="21600,21600">
                  <v:path/>
                  <v:fill on="f" focussize="0,0"/>
                  <v:stroke on="f" joinstyle="miter"/>
                  <v:imagedata r:id="rId27" o:title=""/>
                  <o:lock v:ext="edit" aspectratio="t"/>
                  <w10:wrap type="none"/>
                  <w10:anchorlock/>
                </v:shape>
                <o:OLEObject Type="Embed" ProgID="Equation.3" ShapeID="_x0000_i1028" DrawAspect="Content" ObjectID="_1468075728" r:id="rId26">
                  <o:LockedField>false</o:LockedField>
                </o:OLEObject>
              </w:object>
            </w:r>
            <w:r>
              <w:rPr>
                <w:rFonts w:hint="default"/>
                <w:sz w:val="24"/>
              </w:rPr>
              <w:t>—第i个有组织排放源年有效排放小时数，h/a；</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rPr>
            </w:pPr>
            <w:r>
              <w:rPr>
                <w:rFonts w:hint="default"/>
                <w:sz w:val="24"/>
              </w:rPr>
              <w:tab/>
            </w:r>
            <w:r>
              <w:rPr>
                <w:rFonts w:hint="default"/>
                <w:sz w:val="24"/>
              </w:rPr>
              <w:tab/>
            </w:r>
            <w:r>
              <w:rPr>
                <w:rFonts w:hint="default"/>
                <w:sz w:val="24"/>
              </w:rPr>
              <w:object>
                <v:shape id="_x0000_i1029" o:spt="75" type="#_x0000_t75" style="height:18pt;width:39.6pt;" o:ole="t" filled="f" o:preferrelative="t" stroked="f" coordsize="21600,21600">
                  <v:path/>
                  <v:fill on="f" focussize="0,0"/>
                  <v:stroke on="f" joinstyle="miter"/>
                  <v:imagedata r:id="rId29" o:title=""/>
                  <o:lock v:ext="edit" aspectratio="t"/>
                  <w10:wrap type="none"/>
                  <w10:anchorlock/>
                </v:shape>
                <o:OLEObject Type="Embed" ProgID="Equation.3" ShapeID="_x0000_i1029" DrawAspect="Content" ObjectID="_1468075729" r:id="rId28">
                  <o:LockedField>false</o:LockedField>
                </o:OLEObject>
              </w:object>
            </w:r>
            <w:r>
              <w:rPr>
                <w:rFonts w:hint="default"/>
                <w:sz w:val="24"/>
              </w:rPr>
              <w:t>—第j个无组织排放源排放速率，kg/h；</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sz w:val="24"/>
              </w:rPr>
            </w:pPr>
            <w:r>
              <w:rPr>
                <w:rFonts w:hint="default"/>
                <w:sz w:val="24"/>
              </w:rPr>
              <w:tab/>
            </w:r>
            <w:r>
              <w:rPr>
                <w:rFonts w:hint="default"/>
                <w:sz w:val="24"/>
              </w:rPr>
              <w:tab/>
            </w:r>
            <w:r>
              <w:rPr>
                <w:rFonts w:hint="default"/>
                <w:sz w:val="24"/>
              </w:rPr>
              <w:object>
                <v:shape id="_x0000_i1030" o:spt="75" type="#_x0000_t75" style="height:18pt;width:34.2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r>
              <w:rPr>
                <w:rFonts w:hint="default"/>
                <w:sz w:val="24"/>
              </w:rPr>
              <w:t>—第j个无组织排放源年有效排放小时数，h/a；</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kern w:val="0"/>
                <w:sz w:val="24"/>
              </w:rPr>
            </w:pPr>
            <w:r>
              <w:rPr>
                <w:rFonts w:hint="default"/>
                <w:sz w:val="24"/>
              </w:rPr>
              <w:t>大气污染物无组织</w:t>
            </w:r>
            <w:r>
              <w:rPr>
                <w:rFonts w:hint="default"/>
                <w:kern w:val="0"/>
                <w:sz w:val="24"/>
              </w:rPr>
              <w:t>排放量核算表见表30。</w:t>
            </w:r>
          </w:p>
          <w:p>
            <w:pPr>
              <w:keepNext w:val="0"/>
              <w:keepLines w:val="0"/>
              <w:suppressLineNumbers w:val="0"/>
              <w:spacing w:before="0" w:beforeAutospacing="0" w:after="0" w:afterAutospacing="0"/>
              <w:ind w:left="0" w:right="0"/>
              <w:jc w:val="center"/>
              <w:rPr>
                <w:rFonts w:hint="default" w:eastAsia="黑体"/>
                <w:color w:val="000000" w:themeColor="text1"/>
                <w:kern w:val="0"/>
                <w:sz w:val="24"/>
                <w14:textFill>
                  <w14:solidFill>
                    <w14:schemeClr w14:val="tx1"/>
                  </w14:solidFill>
                </w14:textFill>
              </w:rPr>
            </w:pPr>
            <w:r>
              <w:rPr>
                <w:rFonts w:hint="default" w:eastAsia="黑体"/>
                <w:color w:val="000000" w:themeColor="text1"/>
                <w:kern w:val="0"/>
                <w:sz w:val="24"/>
                <w14:textFill>
                  <w14:solidFill>
                    <w14:schemeClr w14:val="tx1"/>
                  </w14:solidFill>
                </w14:textFill>
              </w:rPr>
              <w:t>表30  大气污染物有组织排放量核算表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311"/>
              <w:gridCol w:w="1628"/>
              <w:gridCol w:w="1825"/>
              <w:gridCol w:w="1825"/>
              <w:gridCol w:w="219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tblHeader/>
                <w:jc w:val="center"/>
              </w:trPr>
              <w:tc>
                <w:tcPr>
                  <w:tcW w:w="1311"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排放口</w:t>
                  </w:r>
                </w:p>
              </w:tc>
              <w:tc>
                <w:tcPr>
                  <w:tcW w:w="1628"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c>
                <w:tcPr>
                  <w:tcW w:w="1825"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vertAlign w:val="superscript"/>
                      <w14:textFill>
                        <w14:solidFill>
                          <w14:schemeClr w14:val="tx1"/>
                        </w14:solidFill>
                      </w14:textFill>
                    </w:rPr>
                  </w:pPr>
                  <w:r>
                    <w:rPr>
                      <w:rFonts w:hint="default"/>
                      <w:b/>
                      <w:color w:val="000000" w:themeColor="text1"/>
                      <w14:textFill>
                        <w14:solidFill>
                          <w14:schemeClr w14:val="tx1"/>
                        </w14:solidFill>
                      </w14:textFill>
                    </w:rPr>
                    <w:t>核算排放浓度mg/m</w:t>
                  </w:r>
                  <w:r>
                    <w:rPr>
                      <w:rFonts w:hint="default"/>
                      <w:b/>
                      <w:color w:val="000000" w:themeColor="text1"/>
                      <w:vertAlign w:val="superscript"/>
                      <w14:textFill>
                        <w14:solidFill>
                          <w14:schemeClr w14:val="tx1"/>
                        </w14:solidFill>
                      </w14:textFill>
                    </w:rPr>
                    <w:t>3</w:t>
                  </w:r>
                </w:p>
              </w:tc>
              <w:tc>
                <w:tcPr>
                  <w:tcW w:w="1825"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核算排放速率kg/h</w:t>
                  </w:r>
                </w:p>
              </w:tc>
              <w:tc>
                <w:tcPr>
                  <w:tcW w:w="2194"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核算年排放量（</w:t>
                  </w:r>
                  <w:r>
                    <w:rPr>
                      <w:rFonts w:hint="default"/>
                      <w:color w:val="000000" w:themeColor="text1"/>
                      <w14:textFill>
                        <w14:solidFill>
                          <w14:schemeClr w14:val="tx1"/>
                        </w14:solidFill>
                      </w14:textFill>
                    </w:rPr>
                    <w:t>t/a</w:t>
                  </w:r>
                  <w:r>
                    <w:rPr>
                      <w:rFonts w:hint="default"/>
                      <w:b/>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P1</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0.2295</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0.0728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P1</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11.45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1.371</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0.41125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P1</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0.35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0.0395</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0.01175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P1</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0.079</w:t>
                  </w:r>
                </w:p>
              </w:tc>
              <w:tc>
                <w:tcPr>
                  <w:tcW w:w="2194"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P2</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PM</w:t>
                  </w:r>
                  <w:r>
                    <w:rPr>
                      <w:rFonts w:hint="default"/>
                      <w:color w:val="000000" w:themeColor="text1"/>
                      <w:vertAlign w:val="subscript"/>
                      <w14:textFill>
                        <w14:solidFill>
                          <w14:schemeClr w14:val="tx1"/>
                        </w14:solidFill>
                      </w14:textFill>
                    </w:rPr>
                    <w:t>10</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0.2295</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0.0728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P2</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11.45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1.371</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0.41125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P2</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0.35</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0.0395</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0.01175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P2</w:t>
                  </w:r>
                </w:p>
              </w:tc>
              <w:tc>
                <w:tcPr>
                  <w:tcW w:w="1628" w:type="dxa"/>
                  <w:vAlign w:val="bottom"/>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0.7</w:t>
                  </w:r>
                </w:p>
              </w:tc>
              <w:tc>
                <w:tcPr>
                  <w:tcW w:w="1825"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0.079</w:t>
                  </w:r>
                </w:p>
              </w:tc>
              <w:tc>
                <w:tcPr>
                  <w:tcW w:w="2194"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783" w:type="dxa"/>
                  <w:gridSpan w:val="5"/>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有组织排放总计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vMerge w:val="restart"/>
                  <w:vAlign w:val="center"/>
                </w:tcPr>
                <w:p>
                  <w:pPr>
                    <w:keepNext w:val="0"/>
                    <w:keepLines w:val="0"/>
                    <w:widowControl/>
                    <w:suppressLineNumbers w:val="0"/>
                    <w:spacing w:before="0" w:beforeAutospacing="0" w:after="0" w:afterAutospacing="0"/>
                    <w:ind w:left="0" w:right="0"/>
                    <w:jc w:val="both"/>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有组织排放总计</w:t>
                  </w:r>
                </w:p>
              </w:tc>
              <w:tc>
                <w:tcPr>
                  <w:tcW w:w="5278" w:type="dxa"/>
                  <w:gridSpan w:val="3"/>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VOCs</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0.893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1311"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278" w:type="dxa"/>
                  <w:gridSpan w:val="3"/>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TSP</w:t>
                  </w:r>
                </w:p>
              </w:tc>
              <w:tc>
                <w:tcPr>
                  <w:tcW w:w="2194" w:type="dxa"/>
                  <w:vAlign w:val="bottom"/>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0.1456</w:t>
                  </w:r>
                </w:p>
              </w:tc>
            </w:tr>
          </w:tbl>
          <w:p>
            <w:pPr>
              <w:keepNext w:val="0"/>
              <w:keepLines w:val="0"/>
              <w:suppressLineNumbers w:val="0"/>
              <w:spacing w:before="0" w:beforeAutospacing="0" w:after="0" w:afterAutospacing="0"/>
              <w:ind w:left="0" w:right="0"/>
              <w:jc w:val="center"/>
              <w:rPr>
                <w:rFonts w:hint="default" w:eastAsia="黑体"/>
                <w:color w:val="000000" w:themeColor="text1"/>
                <w:kern w:val="0"/>
                <w:sz w:val="24"/>
                <w14:textFill>
                  <w14:solidFill>
                    <w14:schemeClr w14:val="tx1"/>
                  </w14:solidFill>
                </w14:textFill>
              </w:rPr>
            </w:pPr>
            <w:r>
              <w:rPr>
                <w:rFonts w:hint="default" w:eastAsia="黑体"/>
                <w:color w:val="000000" w:themeColor="text1"/>
                <w:kern w:val="0"/>
                <w:sz w:val="24"/>
                <w14:textFill>
                  <w14:solidFill>
                    <w14:schemeClr w14:val="tx1"/>
                  </w14:solidFill>
                </w14:textFill>
              </w:rPr>
              <w:t>表31  大气污染物无组织排放量核算表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164"/>
              <w:gridCol w:w="912"/>
              <w:gridCol w:w="1335"/>
              <w:gridCol w:w="2335"/>
              <w:gridCol w:w="1398"/>
              <w:gridCol w:w="163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54" w:hRule="atLeast"/>
                <w:tblHeader/>
                <w:jc w:val="center"/>
              </w:trPr>
              <w:tc>
                <w:tcPr>
                  <w:tcW w:w="1164" w:type="dxa"/>
                  <w:vMerge w:val="restart"/>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产污环节</w:t>
                  </w:r>
                </w:p>
              </w:tc>
              <w:tc>
                <w:tcPr>
                  <w:tcW w:w="912" w:type="dxa"/>
                  <w:vMerge w:val="restart"/>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c>
                <w:tcPr>
                  <w:tcW w:w="1335" w:type="dxa"/>
                  <w:vMerge w:val="restart"/>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vertAlign w:val="superscript"/>
                      <w14:textFill>
                        <w14:solidFill>
                          <w14:schemeClr w14:val="tx1"/>
                        </w14:solidFill>
                      </w14:textFill>
                    </w:rPr>
                  </w:pPr>
                  <w:r>
                    <w:rPr>
                      <w:rFonts w:hint="default"/>
                      <w:b/>
                      <w:color w:val="000000" w:themeColor="text1"/>
                      <w14:textFill>
                        <w14:solidFill>
                          <w14:schemeClr w14:val="tx1"/>
                        </w14:solidFill>
                      </w14:textFill>
                    </w:rPr>
                    <w:t>防治措施</w:t>
                  </w:r>
                </w:p>
              </w:tc>
              <w:tc>
                <w:tcPr>
                  <w:tcW w:w="3733" w:type="dxa"/>
                  <w:gridSpan w:val="2"/>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国家或地方排放标准</w:t>
                  </w:r>
                </w:p>
              </w:tc>
              <w:tc>
                <w:tcPr>
                  <w:tcW w:w="1639" w:type="dxa"/>
                  <w:vMerge w:val="restart"/>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核算年排放量（</w:t>
                  </w:r>
                  <w:r>
                    <w:rPr>
                      <w:rFonts w:hint="default"/>
                      <w:color w:val="000000" w:themeColor="text1"/>
                      <w14:textFill>
                        <w14:solidFill>
                          <w14:schemeClr w14:val="tx1"/>
                        </w14:solidFill>
                      </w14:textFill>
                    </w:rPr>
                    <w:t>t/a</w:t>
                  </w:r>
                  <w:r>
                    <w:rPr>
                      <w:rFonts w:hint="default"/>
                      <w:b/>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0" w:hRule="atLeast"/>
                <w:tblHeader/>
                <w:jc w:val="center"/>
              </w:trPr>
              <w:tc>
                <w:tcPr>
                  <w:tcW w:w="1164" w:type="dxa"/>
                  <w:vMerge w:val="continue"/>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p>
              </w:tc>
              <w:tc>
                <w:tcPr>
                  <w:tcW w:w="912" w:type="dxa"/>
                  <w:vMerge w:val="continue"/>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p>
              </w:tc>
              <w:tc>
                <w:tcPr>
                  <w:tcW w:w="1335" w:type="dxa"/>
                  <w:vMerge w:val="continue"/>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p>
              </w:tc>
              <w:tc>
                <w:tcPr>
                  <w:tcW w:w="2335" w:type="dxa"/>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标准名称</w:t>
                  </w:r>
                </w:p>
              </w:tc>
              <w:tc>
                <w:tcPr>
                  <w:tcW w:w="1398" w:type="dxa"/>
                  <w:shd w:val="pct10" w:color="auto" w:fill="auto"/>
                  <w:vAlign w:val="center"/>
                </w:tcPr>
                <w:p>
                  <w:pPr>
                    <w:keepNext w:val="0"/>
                    <w:keepLines w:val="0"/>
                    <w:widowControl/>
                    <w:suppressLineNumbers w:val="0"/>
                    <w:wordWrap w:val="0"/>
                    <w:spacing w:before="0" w:beforeAutospacing="0" w:after="0" w:afterAutospacing="0"/>
                    <w:ind w:left="0" w:right="0"/>
                    <w:jc w:val="center"/>
                    <w:rPr>
                      <w:rFonts w:hint="default"/>
                      <w:b/>
                      <w:color w:val="000000" w:themeColor="text1"/>
                      <w:kern w:val="0"/>
                      <w14:textFill>
                        <w14:solidFill>
                          <w14:schemeClr w14:val="tx1"/>
                        </w14:solidFill>
                      </w14:textFill>
                    </w:rPr>
                  </w:pPr>
                  <w:r>
                    <w:rPr>
                      <w:rFonts w:hint="default"/>
                      <w:b/>
                      <w:color w:val="000000" w:themeColor="text1"/>
                      <w:kern w:val="0"/>
                      <w14:textFill>
                        <w14:solidFill>
                          <w14:schemeClr w14:val="tx1"/>
                        </w14:solidFill>
                      </w14:textFill>
                    </w:rPr>
                    <w:t>浓度限值</w:t>
                  </w:r>
                </w:p>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color w:val="000000" w:themeColor="text1"/>
                      <w:kern w:val="0"/>
                      <w14:textFill>
                        <w14:solidFill>
                          <w14:schemeClr w14:val="tx1"/>
                        </w14:solidFill>
                      </w14:textFill>
                    </w:rPr>
                    <w:t>mg/m</w:t>
                  </w:r>
                  <w:r>
                    <w:rPr>
                      <w:rFonts w:hint="default"/>
                      <w:b/>
                      <w:color w:val="000000" w:themeColor="text1"/>
                      <w:kern w:val="0"/>
                      <w:vertAlign w:val="superscript"/>
                      <w14:textFill>
                        <w14:solidFill>
                          <w14:schemeClr w14:val="tx1"/>
                        </w14:solidFill>
                      </w14:textFill>
                    </w:rPr>
                    <w:t>3</w:t>
                  </w:r>
                </w:p>
              </w:tc>
              <w:tc>
                <w:tcPr>
                  <w:tcW w:w="1639" w:type="dxa"/>
                  <w:vMerge w:val="continue"/>
                  <w:shd w:val="pct10"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164" w:type="dxa"/>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打磨工序</w:t>
                  </w:r>
                </w:p>
              </w:tc>
              <w:tc>
                <w:tcPr>
                  <w:tcW w:w="9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TSP</w:t>
                  </w:r>
                </w:p>
              </w:tc>
              <w:tc>
                <w:tcPr>
                  <w:tcW w:w="1335" w:type="dxa"/>
                  <w:tcBorders>
                    <w:top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排风收集箱+</w:t>
                  </w:r>
                  <w:r>
                    <w:rPr>
                      <w:rFonts w:hint="eastAsia"/>
                      <w:color w:val="000000" w:themeColor="text1"/>
                      <w14:textFill>
                        <w14:solidFill>
                          <w14:schemeClr w14:val="tx1"/>
                        </w14:solidFill>
                      </w14:textFill>
                    </w:rPr>
                    <w:t>干式</w:t>
                  </w:r>
                  <w:r>
                    <w:rPr>
                      <w:rFonts w:hint="default"/>
                      <w:color w:val="000000" w:themeColor="text1"/>
                      <w14:textFill>
                        <w14:solidFill>
                          <w14:schemeClr w14:val="tx1"/>
                        </w14:solidFill>
                      </w14:textFill>
                    </w:rPr>
                    <w:t>过滤器</w:t>
                  </w:r>
                </w:p>
              </w:tc>
              <w:tc>
                <w:tcPr>
                  <w:tcW w:w="2335" w:type="dxa"/>
                  <w:vMerge w:val="restart"/>
                  <w:tcBorders>
                    <w:top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《大气污染物综合排放标准》（GB16297-1996）</w:t>
                  </w:r>
                </w:p>
              </w:tc>
              <w:tc>
                <w:tcPr>
                  <w:tcW w:w="1398"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1639" w:type="dxa"/>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0.168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164"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喷漆工序</w:t>
                  </w:r>
                </w:p>
              </w:tc>
              <w:tc>
                <w:tcPr>
                  <w:tcW w:w="9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TSP</w:t>
                  </w:r>
                </w:p>
              </w:tc>
              <w:tc>
                <w:tcPr>
                  <w:tcW w:w="1335" w:type="dxa"/>
                  <w:vMerge w:val="restart"/>
                  <w:vAlign w:val="center"/>
                </w:tcPr>
                <w:p>
                  <w:pPr>
                    <w:keepNext w:val="0"/>
                    <w:keepLines w:val="0"/>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排风收集箱+干式过滤器+活性炭吸附箱</w:t>
                  </w:r>
                </w:p>
              </w:tc>
              <w:tc>
                <w:tcPr>
                  <w:tcW w:w="2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bCs/>
                      <w:color w:val="000000" w:themeColor="text1"/>
                      <w14:textFill>
                        <w14:solidFill>
                          <w14:schemeClr w14:val="tx1"/>
                        </w14:solidFill>
                      </w14:textFill>
                    </w:rPr>
                  </w:pPr>
                </w:p>
              </w:tc>
              <w:tc>
                <w:tcPr>
                  <w:tcW w:w="1398" w:type="dxa"/>
                  <w:vMerge w:val="continue"/>
                  <w:tcBorders>
                    <w:bottom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1639" w:type="dxa"/>
                  <w:tcBorders>
                    <w:bottom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0.144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49" w:hRule="atLeast"/>
                <w:jc w:val="center"/>
              </w:trPr>
              <w:tc>
                <w:tcPr>
                  <w:tcW w:w="1164" w:type="dxa"/>
                  <w:vMerge w:val="continue"/>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2335" w:type="dxa"/>
                  <w:vMerge w:val="restart"/>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《挥发性有机物排放控制标准》（DB61/T1061-2017）</w:t>
                  </w:r>
                </w:p>
              </w:tc>
              <w:tc>
                <w:tcPr>
                  <w:tcW w:w="1398" w:type="dxa"/>
                  <w:tcBorders>
                    <w:bottom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w:t>
                  </w:r>
                </w:p>
              </w:tc>
              <w:tc>
                <w:tcPr>
                  <w:tcW w:w="1639" w:type="dxa"/>
                  <w:tcBorders>
                    <w:bottom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0.456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21" w:hRule="atLeast"/>
                <w:jc w:val="center"/>
              </w:trPr>
              <w:tc>
                <w:tcPr>
                  <w:tcW w:w="1164" w:type="dxa"/>
                  <w:vMerge w:val="continue"/>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2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1398"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0.3</w:t>
                  </w:r>
                </w:p>
              </w:tc>
              <w:tc>
                <w:tcPr>
                  <w:tcW w:w="1639" w:type="dxa"/>
                  <w:tcBorders>
                    <w:top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0.0132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1164" w:type="dxa"/>
                  <w:vMerge w:val="continue"/>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1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2335" w:type="dxa"/>
                  <w:vMerge w:val="continue"/>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p>
              </w:tc>
              <w:tc>
                <w:tcPr>
                  <w:tcW w:w="1398" w:type="dxa"/>
                  <w:tcBorders>
                    <w:top w:val="single" w:color="auto" w:sz="4" w:space="0"/>
                  </w:tcBorders>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9.3</w:t>
                  </w:r>
                </w:p>
              </w:tc>
              <w:tc>
                <w:tcPr>
                  <w:tcW w:w="1639"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0.026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8" w:hRule="atLeast"/>
                <w:jc w:val="center"/>
              </w:trPr>
              <w:tc>
                <w:tcPr>
                  <w:tcW w:w="8783" w:type="dxa"/>
                  <w:gridSpan w:val="6"/>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无组织排放总计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2" w:hRule="atLeast"/>
                <w:jc w:val="center"/>
              </w:trPr>
              <w:tc>
                <w:tcPr>
                  <w:tcW w:w="2076" w:type="dxa"/>
                  <w:gridSpan w:val="2"/>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无组织排放总计</w:t>
                  </w:r>
                </w:p>
              </w:tc>
              <w:tc>
                <w:tcPr>
                  <w:tcW w:w="3670" w:type="dxa"/>
                  <w:gridSpan w:val="2"/>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TSP</w:t>
                  </w:r>
                </w:p>
              </w:tc>
              <w:tc>
                <w:tcPr>
                  <w:tcW w:w="3037" w:type="dxa"/>
                  <w:gridSpan w:val="2"/>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0.312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2" w:hRule="atLeast"/>
                <w:jc w:val="center"/>
              </w:trPr>
              <w:tc>
                <w:tcPr>
                  <w:tcW w:w="2076" w:type="dxa"/>
                  <w:gridSpan w:val="2"/>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3670" w:type="dxa"/>
                  <w:gridSpan w:val="2"/>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VOCs</w:t>
                  </w:r>
                </w:p>
              </w:tc>
              <w:tc>
                <w:tcPr>
                  <w:tcW w:w="3037" w:type="dxa"/>
                  <w:gridSpan w:val="2"/>
                  <w:vAlign w:val="center"/>
                </w:tcPr>
                <w:p>
                  <w:pPr>
                    <w:keepNext w:val="0"/>
                    <w:keepLines w:val="0"/>
                    <w:widowControl/>
                    <w:suppressLineNumbers w:val="0"/>
                    <w:spacing w:before="0" w:beforeAutospacing="0" w:after="0" w:afterAutospacing="0"/>
                    <w:ind w:left="0" w:right="0"/>
                    <w:jc w:val="center"/>
                    <w:textAlignment w:val="bottom"/>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0.4592</w:t>
                  </w:r>
                </w:p>
              </w:tc>
            </w:tr>
          </w:tbl>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szCs w:val="32"/>
                <w14:textFill>
                  <w14:solidFill>
                    <w14:schemeClr w14:val="tx1"/>
                  </w14:solidFill>
                </w14:textFill>
              </w:rPr>
            </w:pPr>
            <w:r>
              <w:rPr>
                <w:rFonts w:hint="default"/>
                <w:sz w:val="24"/>
                <w:szCs w:val="32"/>
              </w:rPr>
              <w:t>综上，</w:t>
            </w:r>
            <w:r>
              <w:rPr>
                <w:rFonts w:hint="default"/>
                <w:sz w:val="24"/>
              </w:rPr>
              <w:t>本项目所在地区域属不达标区，经估算，本项目大气环境影响评价工作等级为二级，</w:t>
            </w:r>
            <w:r>
              <w:rPr>
                <w:rFonts w:hint="default"/>
                <w:color w:val="000000" w:themeColor="text1"/>
                <w:sz w:val="24"/>
                <w14:textFill>
                  <w14:solidFill>
                    <w14:schemeClr w14:val="tx1"/>
                  </w14:solidFill>
                </w14:textFill>
              </w:rPr>
              <w:t>不进行进一步预测与评价，项目颗粒物</w:t>
            </w:r>
            <w:r>
              <w:rPr>
                <w:rFonts w:hint="eastAsia"/>
                <w:color w:val="000000" w:themeColor="text1"/>
                <w:sz w:val="24"/>
                <w14:textFill>
                  <w14:solidFill>
                    <w14:schemeClr w14:val="tx1"/>
                  </w14:solidFill>
                </w14:textFill>
              </w:rPr>
              <w:t>的</w:t>
            </w:r>
            <w:r>
              <w:rPr>
                <w:rFonts w:hint="default"/>
                <w:color w:val="000000" w:themeColor="text1"/>
                <w:sz w:val="24"/>
                <w14:textFill>
                  <w14:solidFill>
                    <w14:schemeClr w14:val="tx1"/>
                  </w14:solidFill>
                </w14:textFill>
              </w:rPr>
              <w:t>最大落地浓度为12.0185ug/m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NMHC的</w:t>
            </w:r>
            <w:r>
              <w:rPr>
                <w:rFonts w:hint="default"/>
                <w:color w:val="000000" w:themeColor="text1"/>
                <w:sz w:val="24"/>
                <w14:textFill>
                  <w14:solidFill>
                    <w14:schemeClr w14:val="tx1"/>
                  </w14:solidFill>
                </w14:textFill>
              </w:rPr>
              <w:t>最大落地浓度为17.3600ug/m</w:t>
            </w:r>
            <w:r>
              <w:rPr>
                <w:rFonts w:hint="default"/>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甲苯的</w:t>
            </w:r>
            <w:r>
              <w:rPr>
                <w:rFonts w:hint="default"/>
                <w:color w:val="000000" w:themeColor="text1"/>
                <w:sz w:val="24"/>
                <w14:textFill>
                  <w14:solidFill>
                    <w14:schemeClr w14:val="tx1"/>
                  </w14:solidFill>
                </w14:textFill>
              </w:rPr>
              <w:t>最大落地浓度为0.5008ug/m</w:t>
            </w:r>
            <w:r>
              <w:rPr>
                <w:rFonts w:hint="default"/>
                <w:color w:val="000000" w:themeColor="text1"/>
                <w:sz w:val="24"/>
                <w:vertAlign w:val="superscript"/>
                <w14:textFill>
                  <w14:solidFill>
                    <w14:schemeClr w14:val="tx1"/>
                  </w14:solidFill>
                </w14:textFill>
              </w:rPr>
              <w:t>3</w:t>
            </w:r>
            <w:r>
              <w:rPr>
                <w:rFonts w:hint="default"/>
                <w:color w:val="000000" w:themeColor="text1"/>
                <w:sz w:val="24"/>
                <w:vertAlign w:val="baseline"/>
                <w14:textFill>
                  <w14:solidFill>
                    <w14:schemeClr w14:val="tx1"/>
                  </w14:solidFill>
                </w14:textFill>
              </w:rPr>
              <w:t>，</w:t>
            </w:r>
            <w:r>
              <w:rPr>
                <w:rFonts w:hint="default"/>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二甲苯的</w:t>
            </w:r>
            <w:r>
              <w:rPr>
                <w:rFonts w:hint="default"/>
                <w:color w:val="000000" w:themeColor="text1"/>
                <w:sz w:val="24"/>
                <w14:textFill>
                  <w14:solidFill>
                    <w14:schemeClr w14:val="tx1"/>
                  </w14:solidFill>
                </w14:textFill>
              </w:rPr>
              <w:t>最大落地浓度为1.0015ug/m</w:t>
            </w:r>
            <w:r>
              <w:rPr>
                <w:rFonts w:hint="default"/>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r>
              <w:rPr>
                <w:rFonts w:hint="default"/>
                <w:color w:val="000000" w:themeColor="text1"/>
                <w:sz w:val="24"/>
                <w:szCs w:val="32"/>
                <w:lang w:val="zh-CN"/>
                <w14:textFill>
                  <w14:solidFill>
                    <w14:schemeClr w14:val="tx1"/>
                  </w14:solidFill>
                </w14:textFill>
              </w:rPr>
              <w:t>各大气污染物</w:t>
            </w:r>
            <w:r>
              <w:rPr>
                <w:rFonts w:hint="eastAsia"/>
                <w:color w:val="000000" w:themeColor="text1"/>
                <w:sz w:val="24"/>
                <w:szCs w:val="32"/>
                <w:lang w:val="zh-CN"/>
                <w14:textFill>
                  <w14:solidFill>
                    <w14:schemeClr w14:val="tx1"/>
                  </w14:solidFill>
                </w14:textFill>
              </w:rPr>
              <w:t>的</w:t>
            </w:r>
            <w:r>
              <w:rPr>
                <w:rFonts w:hint="default"/>
                <w:color w:val="000000" w:themeColor="text1"/>
                <w:sz w:val="24"/>
                <w:szCs w:val="32"/>
                <w:lang w:val="zh-CN"/>
                <w14:textFill>
                  <w14:solidFill>
                    <w14:schemeClr w14:val="tx1"/>
                  </w14:solidFill>
                </w14:textFill>
              </w:rPr>
              <w:t>最大浓度占标率Pmax均小于10%，</w:t>
            </w:r>
            <w:r>
              <w:rPr>
                <w:rFonts w:hint="default"/>
                <w:color w:val="000000" w:themeColor="text1"/>
                <w:sz w:val="24"/>
                <w14:textFill>
                  <w14:solidFill>
                    <w14:schemeClr w14:val="tx1"/>
                  </w14:solidFill>
                </w14:textFill>
              </w:rPr>
              <w:t>符合环境质量标准限值要求。因此，评价认为本项目大气污染物环境影响是可以接受的。项</w:t>
            </w:r>
            <w:r>
              <w:rPr>
                <w:rFonts w:hint="default"/>
                <w:color w:val="000000" w:themeColor="text1"/>
                <w:sz w:val="24"/>
                <w:lang w:val="en-GB"/>
                <w14:textFill>
                  <w14:solidFill>
                    <w14:schemeClr w14:val="tx1"/>
                  </w14:solidFill>
                </w14:textFill>
              </w:rPr>
              <w:t>目大气环境影响评价自查表见表</w:t>
            </w:r>
            <w:r>
              <w:rPr>
                <w:rFonts w:hint="default"/>
                <w:color w:val="000000" w:themeColor="text1"/>
                <w:sz w:val="24"/>
                <w14:textFill>
                  <w14:solidFill>
                    <w14:schemeClr w14:val="tx1"/>
                  </w14:solidFill>
                </w14:textFill>
              </w:rPr>
              <w:t>32</w:t>
            </w:r>
            <w:r>
              <w:rPr>
                <w:rFonts w:hint="default"/>
                <w:color w:val="000000" w:themeColor="text1"/>
                <w:sz w:val="24"/>
                <w:lang w:val="en-GB"/>
                <w14:textFill>
                  <w14:solidFill>
                    <w14:schemeClr w14:val="tx1"/>
                  </w14:solidFill>
                </w14:textFill>
              </w:rPr>
              <w:t>。</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表32  建设项目大气环境影响评价自查表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35"/>
              <w:gridCol w:w="923"/>
              <w:gridCol w:w="1245"/>
              <w:gridCol w:w="395"/>
              <w:gridCol w:w="395"/>
              <w:gridCol w:w="716"/>
              <w:gridCol w:w="716"/>
              <w:gridCol w:w="414"/>
              <w:gridCol w:w="988"/>
              <w:gridCol w:w="1105"/>
              <w:gridCol w:w="88"/>
              <w:gridCol w:w="673"/>
              <w:gridCol w:w="78"/>
              <w:gridCol w:w="6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358" w:type="dxa"/>
                  <w:gridSpan w:val="2"/>
                  <w:tcBorders>
                    <w:top w:val="single" w:color="auto" w:sz="12"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b/>
                      <w:bCs/>
                      <w:kern w:val="2"/>
                      <w:sz w:val="21"/>
                      <w:szCs w:val="21"/>
                    </w:rPr>
                  </w:pPr>
                  <w:r>
                    <w:rPr>
                      <w:rFonts w:hint="default" w:ascii="Times New Roman" w:hAnsi="Times New Roman" w:eastAsia="宋体" w:cs="Times New Roman"/>
                      <w:b/>
                      <w:bCs/>
                      <w:sz w:val="21"/>
                      <w:szCs w:val="21"/>
                    </w:rPr>
                    <w:t>工作内容</w:t>
                  </w:r>
                </w:p>
              </w:tc>
              <w:tc>
                <w:tcPr>
                  <w:tcW w:w="7425" w:type="dxa"/>
                  <w:gridSpan w:val="12"/>
                  <w:tcBorders>
                    <w:top w:val="single" w:color="auto" w:sz="12"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b/>
                      <w:bCs/>
                      <w:kern w:val="2"/>
                      <w:sz w:val="21"/>
                      <w:szCs w:val="21"/>
                    </w:rPr>
                  </w:pPr>
                  <w:r>
                    <w:rPr>
                      <w:rFonts w:hint="default" w:ascii="Times New Roman" w:hAnsi="Times New Roman" w:eastAsia="宋体" w:cs="Times New Roman"/>
                      <w:b/>
                      <w:bCs/>
                      <w:sz w:val="21"/>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评价等级与范围</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评价等级</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一级□</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二级</w:t>
                  </w:r>
                  <w:r>
                    <w:rPr>
                      <w:rFonts w:hint="default"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三级</w:t>
                  </w:r>
                  <w:r>
                    <w:rPr>
                      <w:rFonts w:hint="default" w:ascii="Times New Roman" w:hAnsi="Times New Roman" w:eastAsia="宋体" w:cs="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评价范围</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边长=50km□</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边长5～50km</w:t>
                  </w:r>
                  <w:r>
                    <w:rPr>
                      <w:rFonts w:hint="default" w:ascii="Times New Roman" w:hAnsi="Times New Roman" w:eastAsia="宋体" w:cs="Times New Roman"/>
                      <w:sz w:val="21"/>
                      <w:szCs w:val="21"/>
                    </w:rPr>
                    <w:sym w:font="Wingdings 2" w:char="00A3"/>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边长=5 km</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因子</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SO</w:t>
                  </w:r>
                  <w:r>
                    <w:rPr>
                      <w:rFonts w:hint="default" w:ascii="Times New Roman" w:hAnsi="Times New Roman" w:eastAsia="宋体" w:cs="Times New Roman"/>
                      <w:sz w:val="21"/>
                      <w:szCs w:val="21"/>
                      <w:vertAlign w:val="subscript"/>
                    </w:rPr>
                    <w:t xml:space="preserve">2 </w:t>
                  </w:r>
                  <w:r>
                    <w:rPr>
                      <w:rFonts w:hint="default" w:ascii="Times New Roman" w:hAnsi="Times New Roman" w:eastAsia="宋体" w:cs="Times New Roman"/>
                      <w:sz w:val="21"/>
                      <w:szCs w:val="21"/>
                    </w:rPr>
                    <w:t>+NO</w:t>
                  </w:r>
                  <w:r>
                    <w:rPr>
                      <w:rFonts w:hint="default" w:ascii="Times New Roman" w:hAnsi="Times New Roman" w:eastAsia="宋体" w:cs="Times New Roman"/>
                      <w:i/>
                      <w:sz w:val="21"/>
                      <w:szCs w:val="21"/>
                      <w:vertAlign w:val="subscript"/>
                    </w:rPr>
                    <w:t>x</w:t>
                  </w:r>
                  <w:r>
                    <w:rPr>
                      <w:rFonts w:hint="default" w:ascii="Times New Roman" w:hAnsi="Times New Roman" w:eastAsia="宋体" w:cs="Times New Roman"/>
                      <w:sz w:val="21"/>
                      <w:szCs w:val="21"/>
                    </w:rPr>
                    <w:t>排放量</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 2000t/a□</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500 ~ 2000t/a□</w:t>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＜500 t/a</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8"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评价因子</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基本污染物（SO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、NO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、PM</w:t>
                  </w:r>
                  <w:r>
                    <w:rPr>
                      <w:rFonts w:hint="default" w:ascii="Times New Roman" w:hAnsi="Times New Roman" w:eastAsia="宋体" w:cs="Times New Roman"/>
                      <w:sz w:val="21"/>
                      <w:szCs w:val="21"/>
                      <w:vertAlign w:val="subscript"/>
                    </w:rPr>
                    <w:t>10</w:t>
                  </w:r>
                  <w:r>
                    <w:rPr>
                      <w:rFonts w:hint="default" w:ascii="Times New Roman" w:hAnsi="Times New Roman" w:eastAsia="宋体" w:cs="Times New Roman"/>
                      <w:sz w:val="21"/>
                      <w:szCs w:val="21"/>
                    </w:rPr>
                    <w:t>、PM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、CO和O</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其他污染物（非甲烷总烃、甲苯、二甲苯、乙苯）</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包括二次PM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不包括二次PM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标准</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评价标准</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国家标准</w:t>
                  </w:r>
                  <w:r>
                    <w:rPr>
                      <w:rFonts w:hint="default" w:ascii="Times New Roman" w:hAnsi="Times New Roman" w:eastAsia="宋体" w:cs="Times New Roman"/>
                      <w:sz w:val="21"/>
                      <w:szCs w:val="21"/>
                    </w:rPr>
                    <w:sym w:font="Wingdings 2" w:char="0052"/>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地方标准□</w:t>
                  </w:r>
                </w:p>
              </w:tc>
              <w:tc>
                <w:tcPr>
                  <w:tcW w:w="1866"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附录D □</w:t>
                  </w:r>
                </w:p>
              </w:tc>
              <w:tc>
                <w:tcPr>
                  <w:tcW w:w="690" w:type="dxa"/>
                  <w:gridSpan w:val="2"/>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其他标准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现状</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环境功能区</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一类区□</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二类区</w:t>
                  </w:r>
                  <w:r>
                    <w:rPr>
                      <w:rFonts w:hint="default" w:ascii="Times New Roman" w:hAnsi="Times New Roman" w:eastAsia="宋体" w:cs="Times New Roman"/>
                      <w:sz w:val="21"/>
                      <w:szCs w:val="21"/>
                    </w:rPr>
                    <w:sym w:font="Wingdings 2" w:char="0052"/>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一类区和二类区□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评价基准年</w:t>
                  </w:r>
                </w:p>
              </w:tc>
              <w:tc>
                <w:tcPr>
                  <w:tcW w:w="7425" w:type="dxa"/>
                  <w:gridSpan w:val="12"/>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（2019）年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环境空气质量现状调查数据来源</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长期例行监测数据</w:t>
                  </w:r>
                  <w:r>
                    <w:rPr>
                      <w:rFonts w:hint="default" w:ascii="Times New Roman" w:hAnsi="Times New Roman" w:eastAsia="宋体" w:cs="Times New Roman"/>
                      <w:sz w:val="21"/>
                      <w:szCs w:val="21"/>
                    </w:rPr>
                    <w:sym w:font="Wingdings 2" w:char="0052"/>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主管部门发布的数据</w:t>
                  </w:r>
                  <w:r>
                    <w:rPr>
                      <w:rFonts w:hint="default"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现状补充监测</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现状评价</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达标区□</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不达标区</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8" w:hRule="atLeast"/>
              </w:trPr>
              <w:tc>
                <w:tcPr>
                  <w:tcW w:w="435" w:type="dxa"/>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污染源调查</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调查内容</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本项目正常排放源</w:t>
                  </w:r>
                  <w:r>
                    <w:rPr>
                      <w:rFonts w:hint="default" w:ascii="Times New Roman" w:hAnsi="Times New Roman" w:eastAsia="宋体" w:cs="Times New Roman"/>
                      <w:sz w:val="21"/>
                      <w:szCs w:val="21"/>
                    </w:rPr>
                    <w:sym w:font="Wingdings 2" w:char="0052"/>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本项目非正常排放源□</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现有污染源 □</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拟替代的污染源□</w:t>
                  </w:r>
                </w:p>
              </w:tc>
              <w:tc>
                <w:tcPr>
                  <w:tcW w:w="1866"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其他在建、拟建项目污染源□</w:t>
                  </w:r>
                </w:p>
              </w:tc>
              <w:tc>
                <w:tcPr>
                  <w:tcW w:w="690" w:type="dxa"/>
                  <w:gridSpan w:val="2"/>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区域污染源□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大气环境影响预测与评价</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预测模型</w:t>
                  </w:r>
                </w:p>
              </w:tc>
              <w:tc>
                <w:tcPr>
                  <w:tcW w:w="124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AERMOD□</w:t>
                  </w:r>
                </w:p>
              </w:tc>
              <w:tc>
                <w:tcPr>
                  <w:tcW w:w="790" w:type="dxa"/>
                  <w:gridSpan w:val="2"/>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ADMS□</w:t>
                  </w:r>
                </w:p>
              </w:tc>
              <w:tc>
                <w:tcPr>
                  <w:tcW w:w="1432" w:type="dxa"/>
                  <w:gridSpan w:val="2"/>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AUSTAL2000□</w:t>
                  </w:r>
                </w:p>
              </w:tc>
              <w:tc>
                <w:tcPr>
                  <w:tcW w:w="1402" w:type="dxa"/>
                  <w:gridSpan w:val="2"/>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EDMS/AEDT□</w:t>
                  </w:r>
                </w:p>
              </w:tc>
              <w:tc>
                <w:tcPr>
                  <w:tcW w:w="110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CALPUFF□</w:t>
                  </w:r>
                </w:p>
              </w:tc>
              <w:tc>
                <w:tcPr>
                  <w:tcW w:w="839"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网格模型□</w:t>
                  </w:r>
                </w:p>
              </w:tc>
              <w:tc>
                <w:tcPr>
                  <w:tcW w:w="612" w:type="dxa"/>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预测范围</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 50km□</w:t>
                  </w:r>
                </w:p>
              </w:tc>
              <w:tc>
                <w:tcPr>
                  <w:tcW w:w="3939" w:type="dxa"/>
                  <w:gridSpan w:val="5"/>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边长5～50km □</w:t>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边长 = 5 km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预测因子</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预测因子(------)</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包括二次PM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 xml:space="preserve"> □</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不包括二次PM</w:t>
                  </w:r>
                  <w:r>
                    <w:rPr>
                      <w:rFonts w:hint="default" w:ascii="Times New Roman" w:hAnsi="Times New Roman" w:eastAsia="宋体" w:cs="Times New Roman"/>
                      <w:sz w:val="21"/>
                      <w:szCs w:val="21"/>
                      <w:vertAlign w:val="subscript"/>
                    </w:rPr>
                    <w:t>2.5</w:t>
                  </w:r>
                  <w:r>
                    <w:rPr>
                      <w:rFonts w:hint="default" w:ascii="Times New Roman" w:hAnsi="Times New Roman" w:eastAsia="宋体" w:cs="Times New Roman"/>
                      <w:sz w:val="21"/>
                      <w:szCs w:val="21"/>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正常排放短期浓度贡献值</w:t>
                  </w:r>
                </w:p>
              </w:tc>
              <w:tc>
                <w:tcPr>
                  <w:tcW w:w="4869" w:type="dxa"/>
                  <w:gridSpan w:val="7"/>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最大占标率≤100%□</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最大占标率＞100%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vMerge w:val="restart"/>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正常排放年均浓度贡献值</w:t>
                  </w:r>
                </w:p>
              </w:tc>
              <w:tc>
                <w:tcPr>
                  <w:tcW w:w="124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一类区</w:t>
                  </w:r>
                </w:p>
              </w:tc>
              <w:tc>
                <w:tcPr>
                  <w:tcW w:w="3624" w:type="dxa"/>
                  <w:gridSpan w:val="6"/>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最大占标率≤10%□</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最大标率＞10%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124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二类区</w:t>
                  </w:r>
                </w:p>
              </w:tc>
              <w:tc>
                <w:tcPr>
                  <w:tcW w:w="3624" w:type="dxa"/>
                  <w:gridSpan w:val="6"/>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最大占标率≤30%□</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最大标率＞30%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非正常排放1h浓度贡献值</w:t>
                  </w:r>
                </w:p>
              </w:tc>
              <w:tc>
                <w:tcPr>
                  <w:tcW w:w="2035"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非正常持续时长（--）h</w:t>
                  </w:r>
                </w:p>
              </w:tc>
              <w:tc>
                <w:tcPr>
                  <w:tcW w:w="2834"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占标率≤100% □</w:t>
                  </w:r>
                </w:p>
              </w:tc>
              <w:tc>
                <w:tcPr>
                  <w:tcW w:w="2556" w:type="dxa"/>
                  <w:gridSpan w:val="5"/>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8"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保证率日平均浓度和年平均浓度叠加值</w:t>
                  </w:r>
                </w:p>
              </w:tc>
              <w:tc>
                <w:tcPr>
                  <w:tcW w:w="3881" w:type="dxa"/>
                  <w:gridSpan w:val="6"/>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达标 □</w:t>
                  </w:r>
                </w:p>
              </w:tc>
              <w:tc>
                <w:tcPr>
                  <w:tcW w:w="3544" w:type="dxa"/>
                  <w:gridSpan w:val="6"/>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不达标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区域环境质量的整体变化情况</w:t>
                  </w:r>
                </w:p>
              </w:tc>
              <w:tc>
                <w:tcPr>
                  <w:tcW w:w="3881" w:type="dxa"/>
                  <w:gridSpan w:val="6"/>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i/>
                      <w:sz w:val="21"/>
                      <w:szCs w:val="21"/>
                    </w:rPr>
                    <w:t xml:space="preserve">k </w:t>
                  </w:r>
                  <w:r>
                    <w:rPr>
                      <w:rFonts w:hint="default" w:ascii="Times New Roman" w:hAnsi="Times New Roman" w:eastAsia="宋体" w:cs="Times New Roman"/>
                      <w:sz w:val="21"/>
                      <w:szCs w:val="21"/>
                    </w:rPr>
                    <w:t>≤-20% □</w:t>
                  </w:r>
                </w:p>
              </w:tc>
              <w:tc>
                <w:tcPr>
                  <w:tcW w:w="3544" w:type="dxa"/>
                  <w:gridSpan w:val="6"/>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i/>
                      <w:sz w:val="21"/>
                      <w:szCs w:val="21"/>
                    </w:rPr>
                    <w:t>k</w:t>
                  </w:r>
                  <w:r>
                    <w:rPr>
                      <w:rFonts w:hint="default" w:ascii="Times New Roman" w:hAnsi="Times New Roman" w:eastAsia="宋体" w:cs="Times New Roman"/>
                      <w:sz w:val="21"/>
                      <w:szCs w:val="21"/>
                    </w:rPr>
                    <w:t xml:space="preserve"> ＞-20%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环境监测计划</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污染源监测</w:t>
                  </w:r>
                </w:p>
              </w:tc>
              <w:tc>
                <w:tcPr>
                  <w:tcW w:w="2751"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监测因子：（非甲烷总烃、甲苯、二甲苯、乙苯）</w:t>
                  </w:r>
                </w:p>
              </w:tc>
              <w:tc>
                <w:tcPr>
                  <w:tcW w:w="3223"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有组织废气监测</w:t>
                  </w:r>
                  <w:r>
                    <w:rPr>
                      <w:rFonts w:hint="default" w:ascii="Times New Roman" w:hAnsi="Times New Roman" w:eastAsia="宋体" w:cs="Times New Roman"/>
                      <w:sz w:val="21"/>
                      <w:szCs w:val="21"/>
                    </w:rPr>
                    <w:sym w:font="Wingdings 2" w:char="0052"/>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 xml:space="preserve">无组织废气监测 </w:t>
                  </w:r>
                  <w:r>
                    <w:rPr>
                      <w:rFonts w:hint="default" w:ascii="Times New Roman" w:hAnsi="Times New Roman" w:eastAsia="宋体" w:cs="Times New Roman"/>
                      <w:sz w:val="21"/>
                      <w:szCs w:val="21"/>
                    </w:rPr>
                    <w:sym w:font="Wingdings 2" w:char="0052"/>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环境质量监测</w:t>
                  </w:r>
                </w:p>
              </w:tc>
              <w:tc>
                <w:tcPr>
                  <w:tcW w:w="2751"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监测因子：（--）</w:t>
                  </w:r>
                </w:p>
              </w:tc>
              <w:tc>
                <w:tcPr>
                  <w:tcW w:w="3223"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监测点位数（--）</w:t>
                  </w:r>
                </w:p>
              </w:tc>
              <w:tc>
                <w:tcPr>
                  <w:tcW w:w="1451" w:type="dxa"/>
                  <w:gridSpan w:val="4"/>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无监测</w:t>
                  </w:r>
                  <w:r>
                    <w:rPr>
                      <w:rFonts w:hint="default" w:ascii="Times New Roman" w:hAnsi="Times New Roman" w:eastAsia="宋体" w:cs="Times New Roman"/>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restart"/>
                  <w:tcBorders>
                    <w:top w:val="single" w:color="auto" w:sz="4" w:space="0"/>
                    <w:left w:val="nil"/>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w:t>
                  </w:r>
                </w:p>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结论</w:t>
                  </w: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环境影响</w:t>
                  </w:r>
                </w:p>
              </w:tc>
              <w:tc>
                <w:tcPr>
                  <w:tcW w:w="7425" w:type="dxa"/>
                  <w:gridSpan w:val="12"/>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 xml:space="preserve">可以接受 </w:t>
                  </w:r>
                  <w:r>
                    <w:rPr>
                      <w:rFonts w:hint="default" w:ascii="Times New Roman" w:hAnsi="Times New Roman" w:eastAsia="宋体" w:cs="Times New Roman"/>
                      <w:sz w:val="21"/>
                      <w:szCs w:val="21"/>
                    </w:rPr>
                    <w:sym w:font="Wingdings 2" w:char="0052"/>
                  </w:r>
                  <w:r>
                    <w:rPr>
                      <w:rFonts w:hint="default" w:ascii="Times New Roman" w:hAnsi="Times New Roman" w:eastAsia="宋体" w:cs="Times New Roman"/>
                      <w:sz w:val="21"/>
                      <w:szCs w:val="21"/>
                    </w:rPr>
                    <w:t xml:space="preserve">       不可以接受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大气环境防护距离</w:t>
                  </w:r>
                </w:p>
              </w:tc>
              <w:tc>
                <w:tcPr>
                  <w:tcW w:w="7425" w:type="dxa"/>
                  <w:gridSpan w:val="12"/>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距（--）厂界最远（--）m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3" w:hRule="atLeast"/>
              </w:trPr>
              <w:tc>
                <w:tcPr>
                  <w:tcW w:w="435"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rPr>
                  </w:pPr>
                </w:p>
              </w:tc>
              <w:tc>
                <w:tcPr>
                  <w:tcW w:w="923"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污染源年排放量（t/a）</w:t>
                  </w:r>
                </w:p>
              </w:tc>
              <w:tc>
                <w:tcPr>
                  <w:tcW w:w="1640" w:type="dxa"/>
                  <w:gridSpan w:val="2"/>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SO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w:t>
                  </w:r>
                </w:p>
              </w:tc>
              <w:tc>
                <w:tcPr>
                  <w:tcW w:w="1827" w:type="dxa"/>
                  <w:gridSpan w:val="3"/>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NO</w:t>
                  </w:r>
                  <w:r>
                    <w:rPr>
                      <w:rFonts w:hint="default" w:ascii="Times New Roman" w:hAnsi="Times New Roman" w:eastAsia="宋体" w:cs="Times New Roman"/>
                      <w:sz w:val="21"/>
                      <w:szCs w:val="21"/>
                      <w:vertAlign w:val="subscript"/>
                    </w:rPr>
                    <w:t>x</w:t>
                  </w:r>
                  <w:r>
                    <w:rPr>
                      <w:rFonts w:hint="default" w:ascii="Times New Roman" w:hAnsi="Times New Roman" w:eastAsia="宋体" w:cs="Times New Roman"/>
                      <w:sz w:val="21"/>
                      <w:szCs w:val="21"/>
                    </w:rPr>
                    <w:t>:（--）</w:t>
                  </w:r>
                </w:p>
              </w:tc>
              <w:tc>
                <w:tcPr>
                  <w:tcW w:w="2595" w:type="dxa"/>
                  <w:gridSpan w:val="4"/>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颗粒物:（0.4576t/a）</w:t>
                  </w:r>
                </w:p>
              </w:tc>
              <w:tc>
                <w:tcPr>
                  <w:tcW w:w="1363" w:type="dxa"/>
                  <w:gridSpan w:val="3"/>
                  <w:tcBorders>
                    <w:top w:val="single" w:color="auto" w:sz="4" w:space="0"/>
                    <w:left w:val="single" w:color="auto" w:sz="4" w:space="0"/>
                    <w:bottom w:val="single" w:color="auto" w:sz="4" w:space="0"/>
                    <w:right w:val="nil"/>
                  </w:tcBorders>
                  <w:vAlign w:val="center"/>
                </w:tcPr>
                <w:p>
                  <w:pPr>
                    <w:pStyle w:val="54"/>
                    <w:keepNext w:val="0"/>
                    <w:keepLines w:val="0"/>
                    <w:suppressLineNumbers w:val="0"/>
                    <w:snapToGrid w:val="0"/>
                    <w:spacing w:before="0" w:beforeAutospacing="0" w:after="0" w:afterAutospacing="0"/>
                    <w:ind w:left="0" w:right="0"/>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VOC</w:t>
                  </w:r>
                  <w:r>
                    <w:rPr>
                      <w:rFonts w:hint="default" w:ascii="Times New Roman" w:hAnsi="Times New Roman" w:eastAsia="宋体" w:cs="Times New Roman"/>
                      <w:color w:val="000000" w:themeColor="text1"/>
                      <w:sz w:val="21"/>
                      <w:szCs w:val="21"/>
                      <w:vertAlign w:val="subscript"/>
                      <w14:textFill>
                        <w14:solidFill>
                          <w14:schemeClr w14:val="tx1"/>
                        </w14:solidFill>
                      </w14:textFill>
                    </w:rPr>
                    <w:t>s</w:t>
                  </w:r>
                  <w:r>
                    <w:rPr>
                      <w:rFonts w:hint="default" w:ascii="Times New Roman" w:hAnsi="Times New Roman" w:eastAsia="宋体" w:cs="Times New Roman"/>
                      <w:color w:val="000000" w:themeColor="text1"/>
                      <w:sz w:val="21"/>
                      <w:szCs w:val="21"/>
                      <w14:textFill>
                        <w14:solidFill>
                          <w14:schemeClr w14:val="tx1"/>
                        </w14:solidFill>
                      </w14:textFill>
                    </w:rPr>
                    <w:t>:（1.3522t/a）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783" w:type="dxa"/>
                  <w:gridSpan w:val="14"/>
                  <w:tcBorders>
                    <w:top w:val="single" w:color="auto" w:sz="4" w:space="0"/>
                    <w:left w:val="nil"/>
                    <w:bottom w:val="single" w:color="auto" w:sz="12" w:space="0"/>
                    <w:right w:val="nil"/>
                  </w:tcBorders>
                  <w:vAlign w:val="center"/>
                </w:tcPr>
                <w:p>
                  <w:pPr>
                    <w:pStyle w:val="54"/>
                    <w:keepNext w:val="0"/>
                    <w:keepLines w:val="0"/>
                    <w:suppressLineNumbers w:val="0"/>
                    <w:snapToGrid w:val="0"/>
                    <w:spacing w:before="0" w:beforeAutospacing="0" w:after="0" w:afterAutospacing="0"/>
                    <w:ind w:left="0" w:right="0"/>
                    <w:jc w:val="left"/>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注：“□” 为勾选项 ，填“√” ；“（   ）” 为内容填写项</w:t>
                  </w:r>
                </w:p>
              </w:tc>
            </w:tr>
          </w:tbl>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2、地表水环境影响分析</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本项目废水主要是员工少量生活污水和清洗废水。</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sz w:val="24"/>
              </w:rPr>
              <w:t>项目清洗废水产生量为1.8m</w:t>
            </w:r>
            <w:r>
              <w:rPr>
                <w:rFonts w:hint="default"/>
                <w:sz w:val="24"/>
                <w:vertAlign w:val="superscript"/>
              </w:rPr>
              <w:t>3</w:t>
            </w:r>
            <w:r>
              <w:rPr>
                <w:rFonts w:hint="default"/>
                <w:sz w:val="24"/>
              </w:rPr>
              <w:t>/架次，本机库</w:t>
            </w:r>
            <w:r>
              <w:rPr>
                <w:rFonts w:hint="eastAsia"/>
                <w:sz w:val="24"/>
              </w:rPr>
              <w:t>飞机清洗量为</w:t>
            </w:r>
            <w:r>
              <w:rPr>
                <w:rFonts w:hint="default"/>
                <w:sz w:val="24"/>
              </w:rPr>
              <w:t>18架次/年，则清洗废水产生量为</w:t>
            </w:r>
            <w:r>
              <w:rPr>
                <w:rFonts w:hint="eastAsia"/>
                <w:sz w:val="24"/>
              </w:rPr>
              <w:t>3</w:t>
            </w:r>
            <w:r>
              <w:rPr>
                <w:rFonts w:hint="default"/>
                <w:sz w:val="24"/>
              </w:rPr>
              <w:t>2.4m</w:t>
            </w:r>
            <w:r>
              <w:rPr>
                <w:rFonts w:hint="default"/>
                <w:sz w:val="24"/>
                <w:vertAlign w:val="superscript"/>
              </w:rPr>
              <w:t>3</w:t>
            </w:r>
            <w:r>
              <w:rPr>
                <w:rFonts w:hint="default"/>
                <w:sz w:val="24"/>
              </w:rPr>
              <w:t>/a（</w:t>
            </w:r>
            <w:r>
              <w:rPr>
                <w:rFonts w:hint="eastAsia"/>
                <w:sz w:val="24"/>
              </w:rPr>
              <w:t>0.089</w:t>
            </w:r>
            <w:r>
              <w:rPr>
                <w:rFonts w:hint="default"/>
                <w:sz w:val="24"/>
              </w:rPr>
              <w:t>m</w:t>
            </w:r>
            <w:r>
              <w:rPr>
                <w:rFonts w:hint="default"/>
                <w:sz w:val="24"/>
                <w:vertAlign w:val="superscript"/>
              </w:rPr>
              <w:t>3</w:t>
            </w:r>
            <w:r>
              <w:rPr>
                <w:rFonts w:hint="default"/>
                <w:sz w:val="24"/>
              </w:rPr>
              <w:t>/d</w:t>
            </w:r>
            <w:r>
              <w:rPr>
                <w:rFonts w:hint="eastAsia"/>
                <w:sz w:val="24"/>
              </w:rPr>
              <w:t>）</w:t>
            </w:r>
            <w:r>
              <w:rPr>
                <w:rFonts w:hint="default"/>
                <w:sz w:val="24"/>
              </w:rPr>
              <w:t>。清洗废水经水泵抽至过滤桶，过滤桶内设过滤网，将过滤棉放置过滤网上，废水经过滤棉过滤后通过管网排至咸阳机场污水处理厂。</w:t>
            </w:r>
          </w:p>
          <w:p>
            <w:pPr>
              <w:pStyle w:val="3"/>
              <w:keepNext w:val="0"/>
              <w:keepLines w:val="0"/>
              <w:suppressLineNumbers w:val="0"/>
              <w:spacing w:before="0" w:beforeAutospacing="0" w:after="0" w:afterAutospacing="0" w:line="520" w:lineRule="exact"/>
              <w:ind w:left="0" w:leftChars="0" w:right="0" w:firstLine="480"/>
              <w:rPr>
                <w:rFonts w:hint="default" w:ascii="Times New Roman" w:hAnsi="Times New Roman"/>
                <w:sz w:val="24"/>
                <w:szCs w:val="20"/>
              </w:rPr>
            </w:pPr>
            <w:r>
              <w:rPr>
                <w:rFonts w:hint="default" w:ascii="Times New Roman" w:hAnsi="Times New Roman"/>
                <w:sz w:val="24"/>
              </w:rPr>
              <w:t>项目定员54人，不涉及食宿，设值班人员1人，全年生产365天，</w:t>
            </w:r>
            <w:r>
              <w:rPr>
                <w:rFonts w:hint="default" w:ascii="Times New Roman" w:hAnsi="Times New Roman"/>
                <w:sz w:val="24"/>
                <w:szCs w:val="20"/>
              </w:rPr>
              <w:t>则生活用水量为717.225m</w:t>
            </w:r>
            <w:r>
              <w:rPr>
                <w:rFonts w:hint="default" w:ascii="Times New Roman" w:hAnsi="Times New Roman"/>
                <w:sz w:val="24"/>
                <w:szCs w:val="20"/>
                <w:vertAlign w:val="superscript"/>
              </w:rPr>
              <w:t>3</w:t>
            </w:r>
            <w:r>
              <w:rPr>
                <w:rFonts w:hint="default" w:ascii="Times New Roman" w:hAnsi="Times New Roman"/>
                <w:sz w:val="24"/>
                <w:szCs w:val="20"/>
              </w:rPr>
              <w:t>/a（1.965m</w:t>
            </w:r>
            <w:r>
              <w:rPr>
                <w:rFonts w:hint="default" w:ascii="Times New Roman" w:hAnsi="Times New Roman"/>
                <w:sz w:val="24"/>
                <w:szCs w:val="20"/>
                <w:vertAlign w:val="superscript"/>
              </w:rPr>
              <w:t>3</w:t>
            </w:r>
            <w:r>
              <w:rPr>
                <w:rFonts w:hint="default" w:ascii="Times New Roman" w:hAnsi="Times New Roman"/>
                <w:sz w:val="24"/>
                <w:szCs w:val="20"/>
              </w:rPr>
              <w:t>/d），产污系数按0.8计，废水产生量为573.78m</w:t>
            </w:r>
            <w:r>
              <w:rPr>
                <w:rFonts w:hint="default" w:ascii="Times New Roman" w:hAnsi="Times New Roman"/>
                <w:sz w:val="24"/>
                <w:szCs w:val="20"/>
                <w:vertAlign w:val="superscript"/>
              </w:rPr>
              <w:t>3</w:t>
            </w:r>
            <w:r>
              <w:rPr>
                <w:rFonts w:hint="default" w:ascii="Times New Roman" w:hAnsi="Times New Roman"/>
                <w:sz w:val="24"/>
                <w:szCs w:val="20"/>
              </w:rPr>
              <w:t>/a（1.572m</w:t>
            </w:r>
            <w:r>
              <w:rPr>
                <w:rFonts w:hint="default" w:ascii="Times New Roman" w:hAnsi="Times New Roman"/>
                <w:sz w:val="24"/>
                <w:szCs w:val="20"/>
                <w:vertAlign w:val="superscript"/>
              </w:rPr>
              <w:t>3</w:t>
            </w:r>
            <w:r>
              <w:rPr>
                <w:rFonts w:hint="default" w:ascii="Times New Roman" w:hAnsi="Times New Roman"/>
                <w:sz w:val="24"/>
                <w:szCs w:val="20"/>
              </w:rPr>
              <w:t>/d），生活污水经维修基地现有化粪池预处理后，进入咸阳机场污水处理厂。</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表33   项目废水污染物产排及达标情况</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68"/>
              <w:gridCol w:w="1844"/>
              <w:gridCol w:w="775"/>
              <w:gridCol w:w="677"/>
              <w:gridCol w:w="724"/>
              <w:gridCol w:w="694"/>
              <w:gridCol w:w="724"/>
              <w:gridCol w:w="850"/>
              <w:gridCol w:w="709"/>
              <w:gridCol w:w="8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废水类别</w:t>
                  </w:r>
                </w:p>
              </w:tc>
              <w:tc>
                <w:tcPr>
                  <w:tcW w:w="1844" w:type="dxa"/>
                  <w:vMerge w:val="restart"/>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5971" w:type="dxa"/>
                  <w:gridSpan w:val="8"/>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p>
              </w:tc>
              <w:tc>
                <w:tcPr>
                  <w:tcW w:w="1844" w:type="dxa"/>
                  <w:vMerge w:val="continue"/>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p>
              </w:tc>
              <w:tc>
                <w:tcPr>
                  <w:tcW w:w="775"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COD</w:t>
                  </w:r>
                </w:p>
              </w:tc>
              <w:tc>
                <w:tcPr>
                  <w:tcW w:w="677"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BOD</w:t>
                  </w:r>
                  <w:r>
                    <w:rPr>
                      <w:rFonts w:hint="default"/>
                      <w:b/>
                      <w:color w:val="000000" w:themeColor="text1"/>
                      <w:vertAlign w:val="subscript"/>
                      <w14:textFill>
                        <w14:solidFill>
                          <w14:schemeClr w14:val="tx1"/>
                        </w14:solidFill>
                      </w14:textFill>
                    </w:rPr>
                    <w:t>5</w:t>
                  </w:r>
                </w:p>
              </w:tc>
              <w:tc>
                <w:tcPr>
                  <w:tcW w:w="724"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SS</w:t>
                  </w:r>
                </w:p>
              </w:tc>
              <w:tc>
                <w:tcPr>
                  <w:tcW w:w="694"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NH</w:t>
                  </w:r>
                  <w:r>
                    <w:rPr>
                      <w:rFonts w:hint="default"/>
                      <w:b/>
                      <w:color w:val="000000" w:themeColor="text1"/>
                      <w:vertAlign w:val="subscript"/>
                      <w14:textFill>
                        <w14:solidFill>
                          <w14:schemeClr w14:val="tx1"/>
                        </w14:solidFill>
                      </w14:textFill>
                    </w:rPr>
                    <w:t>3</w:t>
                  </w:r>
                  <w:r>
                    <w:rPr>
                      <w:rFonts w:hint="default"/>
                      <w:b/>
                      <w:color w:val="000000" w:themeColor="text1"/>
                      <w14:textFill>
                        <w14:solidFill>
                          <w14:schemeClr w14:val="tx1"/>
                        </w14:solidFill>
                      </w14:textFill>
                    </w:rPr>
                    <w:t>-N</w:t>
                  </w:r>
                </w:p>
              </w:tc>
              <w:tc>
                <w:tcPr>
                  <w:tcW w:w="724"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TP</w:t>
                  </w:r>
                </w:p>
              </w:tc>
              <w:tc>
                <w:tcPr>
                  <w:tcW w:w="850"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TN</w:t>
                  </w:r>
                </w:p>
              </w:tc>
              <w:tc>
                <w:tcPr>
                  <w:tcW w:w="709"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LAS</w:t>
                  </w:r>
                </w:p>
              </w:tc>
              <w:tc>
                <w:tcPr>
                  <w:tcW w:w="818" w:type="dxa"/>
                  <w:vAlign w:val="center"/>
                </w:tcPr>
                <w:p>
                  <w:pPr>
                    <w:pStyle w:val="86"/>
                    <w:keepNext w:val="0"/>
                    <w:keepLines w:val="0"/>
                    <w:widowControl/>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生活污水573.78m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0.11</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0.069</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化粪池处理效率（%）</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处理后浓度（mg/L）</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298</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162</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84</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处理后污染物排放量（t/a）</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0.17</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0.093</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0.049</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0.012</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清洗废水113.4m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550</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63</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46</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29</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0.000</w:t>
                  </w:r>
                  <w:r>
                    <w:rPr>
                      <w:rFonts w:hint="default"/>
                      <w:color w:val="000000" w:themeColor="text1"/>
                      <w14:textFill>
                        <w14:solidFill>
                          <w14:schemeClr w14:val="tx1"/>
                        </w14:solidFill>
                      </w14:textFill>
                    </w:rPr>
                    <w:t>8</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4</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过滤棉过滤效率（%）</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处理后浓度（mg/L）</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550</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35</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处理后污染物排放量（t/a）</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63</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4</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091</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29</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0.000</w:t>
                  </w:r>
                  <w:r>
                    <w:rPr>
                      <w:rFonts w:hint="default"/>
                      <w:color w:val="000000" w:themeColor="text1"/>
                      <w14:textFill>
                        <w14:solidFill>
                          <w14:schemeClr w14:val="tx1"/>
                        </w14:solidFill>
                      </w14:textFill>
                    </w:rPr>
                    <w:t>8</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4</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restart"/>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合计</w:t>
                  </w:r>
                  <w:r>
                    <w:rPr>
                      <w:rFonts w:hint="eastAsia"/>
                      <w:color w:val="000000" w:themeColor="text1"/>
                      <w14:textFill>
                        <w14:solidFill>
                          <w14:schemeClr w14:val="tx1"/>
                        </w14:solidFill>
                      </w14:textFill>
                    </w:rPr>
                    <w:t>6</w:t>
                  </w:r>
                  <w:r>
                    <w:rPr>
                      <w:rFonts w:hint="default"/>
                      <w:color w:val="000000" w:themeColor="text1"/>
                      <w14:textFill>
                        <w14:solidFill>
                          <w14:schemeClr w14:val="tx1"/>
                        </w14:solidFill>
                      </w14:textFill>
                    </w:rPr>
                    <w:t>87.18</w:t>
                  </w:r>
                </w:p>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产生浓度（mg/L）</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rFonts w:hint="default"/>
                      <w:color w:val="000000" w:themeColor="text1"/>
                      <w14:textFill>
                        <w14:solidFill>
                          <w14:schemeClr w14:val="tx1"/>
                        </w14:solidFill>
                      </w14:textFill>
                    </w:rPr>
                    <w:t>39</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default"/>
                      <w:color w:val="000000" w:themeColor="text1"/>
                      <w14:textFill>
                        <w14:solidFill>
                          <w14:schemeClr w14:val="tx1"/>
                        </w14:solidFill>
                      </w14:textFill>
                    </w:rPr>
                    <w:t>94</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rFonts w:hint="default"/>
                      <w:color w:val="000000" w:themeColor="text1"/>
                      <w14:textFill>
                        <w14:solidFill>
                          <w14:schemeClr w14:val="tx1"/>
                        </w14:solidFill>
                      </w14:textFill>
                    </w:rPr>
                    <w:t>5</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8" w:type="dxa"/>
                  <w:vMerge w:val="continue"/>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84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污染物产生量（t/a）</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233</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w:t>
                  </w:r>
                  <w:r>
                    <w:rPr>
                      <w:rFonts w:hint="default"/>
                      <w:color w:val="000000" w:themeColor="text1"/>
                      <w14:textFill>
                        <w14:solidFill>
                          <w14:schemeClr w14:val="tx1"/>
                        </w14:solidFill>
                      </w14:textFill>
                    </w:rPr>
                    <w:t>33</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0.05</w:t>
                  </w:r>
                  <w:r>
                    <w:rPr>
                      <w:rFonts w:hint="default"/>
                      <w:color w:val="000000" w:themeColor="text1"/>
                      <w14:textFill>
                        <w14:solidFill>
                          <w14:schemeClr w14:val="tx1"/>
                        </w14:solidFill>
                      </w14:textFill>
                    </w:rPr>
                    <w:t>81</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w:t>
                  </w:r>
                  <w:r>
                    <w:rPr>
                      <w:rFonts w:hint="default"/>
                      <w:color w:val="000000" w:themeColor="text1"/>
                      <w14:textFill>
                        <w14:solidFill>
                          <w14:schemeClr w14:val="tx1"/>
                        </w14:solidFill>
                      </w14:textFill>
                    </w:rPr>
                    <w:t>49</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0.004</w:t>
                  </w:r>
                  <w:r>
                    <w:rPr>
                      <w:rFonts w:hint="default"/>
                      <w:color w:val="000000" w:themeColor="text1"/>
                      <w14:textFill>
                        <w14:solidFill>
                          <w14:schemeClr w14:val="tx1"/>
                        </w14:solidFill>
                      </w14:textFill>
                    </w:rPr>
                    <w:t>8</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w:t>
                  </w:r>
                  <w:r>
                    <w:rPr>
                      <w:rFonts w:hint="default"/>
                      <w:color w:val="000000" w:themeColor="text1"/>
                      <w14:textFill>
                        <w14:solidFill>
                          <w14:schemeClr w14:val="tx1"/>
                        </w14:solidFill>
                      </w14:textFill>
                    </w:rPr>
                    <w:t>22</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34</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rFonts w:hint="default"/>
                      <w:color w:val="000000" w:themeColor="text1"/>
                      <w14:textFill>
                        <w14:solidFill>
                          <w14:schemeClr w14:val="tx1"/>
                        </w14:solidFill>
                      </w14:textFill>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812" w:type="dxa"/>
                  <w:gridSpan w:val="2"/>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《污水综合排放标准》（GB8978-1996）中的三级标准</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300</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812" w:type="dxa"/>
                  <w:gridSpan w:val="2"/>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《污水排入城镇下水道水质标准》（GB/T31962-2015）A级标准</w:t>
                  </w:r>
                </w:p>
              </w:tc>
              <w:tc>
                <w:tcPr>
                  <w:tcW w:w="775"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677"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69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w:t>
                  </w:r>
                </w:p>
              </w:tc>
              <w:tc>
                <w:tcPr>
                  <w:tcW w:w="724"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850"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70</w:t>
                  </w:r>
                </w:p>
              </w:tc>
              <w:tc>
                <w:tcPr>
                  <w:tcW w:w="709"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818" w:type="dxa"/>
                  <w:vAlign w:val="center"/>
                </w:tcPr>
                <w:p>
                  <w:pPr>
                    <w:pStyle w:val="86"/>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r>
          </w:tbl>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 xml:space="preserve">由上表可知，项目废水污染物的排放浓度满足《污水综合排放标准》(GB68978-1996)表4中三级标准和《污水排入城镇下水道水质标准》（GB/T31962-2015）表1中A级标准。 </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根据《环境影响评价技术导则 地表水环境》（HJ2.3-2018），项目生活污水经维修基地现有化粪池预处理后和经预处理的清洗废水一起由污水管网排至咸阳机场污水处理厂，因此本项目地表水环境评价等级为三级B。</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color w:val="000000" w:themeColor="text1"/>
                <w:sz w:val="24"/>
                <w:szCs w:val="24"/>
                <w14:textFill>
                  <w14:solidFill>
                    <w14:schemeClr w14:val="tx1"/>
                  </w14:solidFill>
                </w14:textFill>
              </w:rPr>
            </w:pPr>
            <w:r>
              <w:rPr>
                <w:rFonts w:hint="default" w:eastAsia="黑体"/>
                <w:color w:val="000000" w:themeColor="text1"/>
                <w:sz w:val="24"/>
                <w:szCs w:val="24"/>
                <w14:textFill>
                  <w14:solidFill>
                    <w14:schemeClr w14:val="tx1"/>
                  </w14:solidFill>
                </w14:textFill>
              </w:rPr>
              <w:t>表34   建设项目地表水环境影响评价自查表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370"/>
              <w:gridCol w:w="1244"/>
              <w:gridCol w:w="492"/>
              <w:gridCol w:w="116"/>
              <w:gridCol w:w="177"/>
              <w:gridCol w:w="808"/>
              <w:gridCol w:w="634"/>
              <w:gridCol w:w="394"/>
              <w:gridCol w:w="156"/>
              <w:gridCol w:w="1257"/>
              <w:gridCol w:w="100"/>
              <w:gridCol w:w="669"/>
              <w:gridCol w:w="9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823"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工作内容</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影响识别</w:t>
                  </w: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影响类型</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水污染影响型 </w:t>
                  </w:r>
                  <w:r>
                    <w:rPr>
                      <w:rFonts w:hint="default" w:ascii="Times New Roman" w:hAnsi="Times New Roman"/>
                      <w:sz w:val="21"/>
                      <w:szCs w:val="21"/>
                    </w:rPr>
                    <w:fldChar w:fldCharType="begin"/>
                  </w:r>
                  <w:r>
                    <w:rPr>
                      <w:rFonts w:hint="default" w:ascii="Times New Roman" w:hAnsi="Times New Roman"/>
                      <w:sz w:val="21"/>
                      <w:szCs w:val="21"/>
                    </w:rPr>
                    <w:instrText xml:space="preserve"> eq \o\ac(□,√)</w:instrText>
                  </w:r>
                  <w:r>
                    <w:rPr>
                      <w:rFonts w:hint="default" w:ascii="Times New Roman" w:hAnsi="Times New Roman"/>
                      <w:sz w:val="21"/>
                      <w:szCs w:val="21"/>
                    </w:rPr>
                    <w:fldChar w:fldCharType="end"/>
                  </w:r>
                  <w:r>
                    <w:rPr>
                      <w:rFonts w:hint="default" w:ascii="Times New Roman" w:hAnsi="Times New Roman"/>
                      <w:sz w:val="21"/>
                      <w:szCs w:val="21"/>
                    </w:rPr>
                    <w:t xml:space="preserve">；水文要素影响型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水环境保护目标</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应用水水源保护区 </w:t>
                  </w:r>
                  <w:r>
                    <w:rPr>
                      <w:rFonts w:hint="default" w:ascii="Times New Roman" w:hAnsi="Times New Roman"/>
                      <w:sz w:val="21"/>
                      <w:szCs w:val="21"/>
                    </w:rPr>
                    <w:sym w:font="Wingdings 2" w:char="00A3"/>
                  </w:r>
                  <w:r>
                    <w:rPr>
                      <w:rFonts w:hint="default" w:ascii="Times New Roman" w:hAnsi="Times New Roman"/>
                      <w:sz w:val="21"/>
                      <w:szCs w:val="21"/>
                    </w:rPr>
                    <w:t xml:space="preserve">；饮用水取水口 </w:t>
                  </w:r>
                  <w:r>
                    <w:rPr>
                      <w:rFonts w:hint="default" w:ascii="Times New Roman" w:hAnsi="Times New Roman"/>
                      <w:sz w:val="21"/>
                      <w:szCs w:val="21"/>
                    </w:rPr>
                    <w:sym w:font="Wingdings 2" w:char="00A3"/>
                  </w:r>
                  <w:r>
                    <w:rPr>
                      <w:rFonts w:hint="default" w:ascii="Times New Roman" w:hAnsi="Times New Roman"/>
                      <w:sz w:val="21"/>
                      <w:szCs w:val="21"/>
                    </w:rPr>
                    <w:t xml:space="preserve">；涉水的自然保护区 </w:t>
                  </w:r>
                  <w:r>
                    <w:rPr>
                      <w:rFonts w:hint="default" w:ascii="Times New Roman" w:hAnsi="Times New Roman"/>
                      <w:sz w:val="21"/>
                      <w:szCs w:val="21"/>
                    </w:rPr>
                    <w:sym w:font="Wingdings 2" w:char="00A3"/>
                  </w:r>
                  <w:r>
                    <w:rPr>
                      <w:rFonts w:hint="default" w:ascii="Times New Roman" w:hAnsi="Times New Roman"/>
                      <w:sz w:val="21"/>
                      <w:szCs w:val="21"/>
                    </w:rPr>
                    <w:t xml:space="preserve">；重要湿地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重点保护与珍稀水生生物的栖息地 </w:t>
                  </w:r>
                  <w:r>
                    <w:rPr>
                      <w:rFonts w:hint="default" w:ascii="Times New Roman" w:hAnsi="Times New Roman"/>
                      <w:sz w:val="21"/>
                      <w:szCs w:val="21"/>
                    </w:rPr>
                    <w:sym w:font="Wingdings 2" w:char="00A3"/>
                  </w:r>
                  <w:r>
                    <w:rPr>
                      <w:rFonts w:hint="default" w:ascii="Times New Roman" w:hAnsi="Times New Roman"/>
                      <w:sz w:val="21"/>
                      <w:szCs w:val="21"/>
                    </w:rPr>
                    <w:t xml:space="preserve">；重要水生生物的自然产卵地及索耳场、越冬场和洄游通道、天然渔场等水体；涉水的风景名胜区 </w:t>
                  </w:r>
                  <w:r>
                    <w:rPr>
                      <w:rFonts w:hint="default" w:ascii="Times New Roman" w:hAnsi="Times New Roman"/>
                      <w:sz w:val="21"/>
                      <w:szCs w:val="21"/>
                    </w:rPr>
                    <w:sym w:font="Wingdings 2" w:char="00A3"/>
                  </w:r>
                  <w:r>
                    <w:rPr>
                      <w:rFonts w:hint="default" w:ascii="Times New Roman" w:hAnsi="Times New Roman"/>
                      <w:sz w:val="21"/>
                      <w:szCs w:val="21"/>
                    </w:rPr>
                    <w:t>；其他</w:t>
                  </w:r>
                  <w:r>
                    <w:rPr>
                      <w:rFonts w:hint="default" w:ascii="Times New Roman" w:hAnsi="Times New Roman"/>
                      <w:sz w:val="21"/>
                      <w:szCs w:val="21"/>
                    </w:rPr>
                    <w:fldChar w:fldCharType="begin"/>
                  </w:r>
                  <w:r>
                    <w:rPr>
                      <w:rFonts w:hint="default" w:ascii="Times New Roman" w:hAnsi="Times New Roman"/>
                      <w:sz w:val="21"/>
                      <w:szCs w:val="21"/>
                    </w:rPr>
                    <w:instrText xml:space="preserve"> eq \o\ac(□,√)</w:instrText>
                  </w:r>
                  <w:r>
                    <w:rPr>
                      <w:rFonts w:hint="default" w:ascii="Times New Roman" w:hAnsi="Times New Roman"/>
                      <w:sz w:val="21"/>
                      <w:szCs w:val="21"/>
                    </w:rPr>
                    <w:fldChar w:fldCharType="end"/>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影响途径</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水污染影响型</w:t>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直接排放 </w:t>
                  </w:r>
                  <w:r>
                    <w:rPr>
                      <w:rFonts w:hint="default" w:ascii="Times New Roman" w:hAnsi="Times New Roman"/>
                      <w:sz w:val="21"/>
                      <w:szCs w:val="21"/>
                    </w:rPr>
                    <w:sym w:font="Wingdings 2" w:char="00A3"/>
                  </w:r>
                  <w:r>
                    <w:rPr>
                      <w:rFonts w:hint="default" w:ascii="Times New Roman" w:hAnsi="Times New Roman"/>
                      <w:sz w:val="21"/>
                      <w:szCs w:val="21"/>
                    </w:rPr>
                    <w:t xml:space="preserve">；间接排放 </w:t>
                  </w:r>
                  <w:r>
                    <w:rPr>
                      <w:rFonts w:hint="default" w:ascii="Times New Roman" w:hAnsi="Times New Roman"/>
                      <w:sz w:val="21"/>
                      <w:szCs w:val="21"/>
                    </w:rPr>
                    <w:fldChar w:fldCharType="begin"/>
                  </w:r>
                  <w:r>
                    <w:rPr>
                      <w:rFonts w:hint="default" w:ascii="Times New Roman" w:hAnsi="Times New Roman"/>
                      <w:sz w:val="21"/>
                      <w:szCs w:val="21"/>
                    </w:rPr>
                    <w:instrText xml:space="preserve"> eq \o\ac(□,√)</w:instrText>
                  </w:r>
                  <w:r>
                    <w:rPr>
                      <w:rFonts w:hint="default" w:ascii="Times New Roman" w:hAnsi="Times New Roman"/>
                      <w:sz w:val="21"/>
                      <w:szCs w:val="21"/>
                    </w:rPr>
                    <w:fldChar w:fldCharType="end"/>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水温 </w:t>
                  </w:r>
                  <w:r>
                    <w:rPr>
                      <w:rFonts w:hint="default" w:ascii="Times New Roman" w:hAnsi="Times New Roman"/>
                      <w:sz w:val="21"/>
                      <w:szCs w:val="21"/>
                    </w:rPr>
                    <w:sym w:font="Wingdings 2" w:char="00A3"/>
                  </w:r>
                  <w:r>
                    <w:rPr>
                      <w:rFonts w:hint="default" w:ascii="Times New Roman" w:hAnsi="Times New Roman"/>
                      <w:sz w:val="21"/>
                      <w:szCs w:val="21"/>
                    </w:rPr>
                    <w:t xml:space="preserve">；径流 </w:t>
                  </w:r>
                  <w:r>
                    <w:rPr>
                      <w:rFonts w:hint="default" w:ascii="Times New Roman" w:hAnsi="Times New Roman"/>
                      <w:sz w:val="21"/>
                      <w:szCs w:val="21"/>
                    </w:rPr>
                    <w:sym w:font="Wingdings 2" w:char="00A3"/>
                  </w:r>
                  <w:r>
                    <w:rPr>
                      <w:rFonts w:hint="default" w:ascii="Times New Roman" w:hAnsi="Times New Roman"/>
                      <w:sz w:val="21"/>
                      <w:szCs w:val="21"/>
                    </w:rPr>
                    <w:t xml:space="preserve">；水域面积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影响因子</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持久性污染物 </w:t>
                  </w:r>
                  <w:r>
                    <w:rPr>
                      <w:rFonts w:hint="default" w:ascii="Times New Roman" w:hAnsi="Times New Roman"/>
                      <w:sz w:val="21"/>
                      <w:szCs w:val="21"/>
                    </w:rPr>
                    <w:sym w:font="Wingdings 2" w:char="00A3"/>
                  </w:r>
                  <w:r>
                    <w:rPr>
                      <w:rFonts w:hint="default" w:ascii="Times New Roman" w:hAnsi="Times New Roman"/>
                      <w:sz w:val="21"/>
                      <w:szCs w:val="21"/>
                    </w:rPr>
                    <w:t xml:space="preserve">；有毒有害污染物 </w:t>
                  </w:r>
                  <w:r>
                    <w:rPr>
                      <w:rFonts w:hint="default" w:ascii="Times New Roman" w:hAnsi="Times New Roman"/>
                      <w:sz w:val="21"/>
                      <w:szCs w:val="21"/>
                    </w:rPr>
                    <w:sym w:font="Wingdings 2" w:char="00A3"/>
                  </w:r>
                  <w:r>
                    <w:rPr>
                      <w:rFonts w:hint="default" w:ascii="Times New Roman" w:hAnsi="Times New Roman"/>
                      <w:sz w:val="21"/>
                      <w:szCs w:val="21"/>
                    </w:rPr>
                    <w:t>；非持久性污染物</w:t>
                  </w:r>
                  <w:r>
                    <w:rPr>
                      <w:rFonts w:hint="default" w:ascii="Times New Roman" w:hAnsi="Times New Roman"/>
                      <w:sz w:val="21"/>
                      <w:szCs w:val="21"/>
                    </w:rPr>
                    <w:sym w:font="Wingdings 2" w:char="00A3"/>
                  </w:r>
                  <w:r>
                    <w:rPr>
                      <w:rFonts w:hint="default" w:ascii="Times New Roman" w:hAnsi="Times New Roman"/>
                      <w:sz w:val="21"/>
                      <w:szCs w:val="21"/>
                    </w:rPr>
                    <w:t xml:space="preserve"> ；pH值 </w:t>
                  </w:r>
                  <w:r>
                    <w:rPr>
                      <w:rFonts w:hint="default" w:ascii="Times New Roman" w:hAnsi="Times New Roman"/>
                      <w:sz w:val="21"/>
                      <w:szCs w:val="21"/>
                    </w:rPr>
                    <w:sym w:font="Wingdings 2" w:char="00A3"/>
                  </w:r>
                  <w:r>
                    <w:rPr>
                      <w:rFonts w:hint="default" w:ascii="Times New Roman" w:hAnsi="Times New Roman"/>
                      <w:sz w:val="21"/>
                      <w:szCs w:val="21"/>
                    </w:rPr>
                    <w:t xml:space="preserve">；热污染 </w:t>
                  </w:r>
                  <w:r>
                    <w:rPr>
                      <w:rFonts w:hint="default" w:ascii="Times New Roman" w:hAnsi="Times New Roman"/>
                      <w:sz w:val="21"/>
                      <w:szCs w:val="21"/>
                    </w:rPr>
                    <w:sym w:font="Wingdings 2" w:char="00A3"/>
                  </w:r>
                  <w:r>
                    <w:rPr>
                      <w:rFonts w:hint="default" w:ascii="Times New Roman" w:hAnsi="Times New Roman"/>
                      <w:sz w:val="21"/>
                      <w:szCs w:val="21"/>
                    </w:rPr>
                    <w:t xml:space="preserve">；富营养化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水温 </w:t>
                  </w:r>
                  <w:r>
                    <w:rPr>
                      <w:rFonts w:hint="default" w:ascii="Times New Roman" w:hAnsi="Times New Roman"/>
                      <w:sz w:val="21"/>
                      <w:szCs w:val="21"/>
                    </w:rPr>
                    <w:sym w:font="Wingdings 2" w:char="00A3"/>
                  </w:r>
                  <w:r>
                    <w:rPr>
                      <w:rFonts w:hint="default" w:ascii="Times New Roman" w:hAnsi="Times New Roman"/>
                      <w:sz w:val="21"/>
                      <w:szCs w:val="21"/>
                    </w:rPr>
                    <w:t xml:space="preserve">；水位（水深） </w:t>
                  </w:r>
                  <w:r>
                    <w:rPr>
                      <w:rFonts w:hint="default" w:ascii="Times New Roman" w:hAnsi="Times New Roman"/>
                      <w:sz w:val="21"/>
                      <w:szCs w:val="21"/>
                    </w:rPr>
                    <w:sym w:font="Wingdings 2" w:char="00A3"/>
                  </w:r>
                  <w:r>
                    <w:rPr>
                      <w:rFonts w:hint="default" w:ascii="Times New Roman" w:hAnsi="Times New Roman"/>
                      <w:sz w:val="21"/>
                      <w:szCs w:val="21"/>
                    </w:rPr>
                    <w:t xml:space="preserve">；流速 </w:t>
                  </w:r>
                  <w:r>
                    <w:rPr>
                      <w:rFonts w:hint="default" w:ascii="Times New Roman" w:hAnsi="Times New Roman"/>
                      <w:sz w:val="21"/>
                      <w:szCs w:val="21"/>
                    </w:rPr>
                    <w:sym w:font="Wingdings 2" w:char="00A3"/>
                  </w:r>
                  <w:r>
                    <w:rPr>
                      <w:rFonts w:hint="default" w:ascii="Times New Roman" w:hAnsi="Times New Roman"/>
                      <w:sz w:val="21"/>
                      <w:szCs w:val="21"/>
                    </w:rPr>
                    <w:t xml:space="preserve">；流量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23" w:type="dxa"/>
                  <w:gridSpan w:val="2"/>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评价等级</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水污染影响型</w:t>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23" w:type="dxa"/>
                  <w:gridSpan w:val="2"/>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一级 </w:t>
                  </w:r>
                  <w:r>
                    <w:rPr>
                      <w:rFonts w:hint="default" w:ascii="Times New Roman" w:hAnsi="Times New Roman"/>
                      <w:sz w:val="21"/>
                      <w:szCs w:val="21"/>
                    </w:rPr>
                    <w:sym w:font="Wingdings 2" w:char="00A3"/>
                  </w:r>
                  <w:r>
                    <w:rPr>
                      <w:rFonts w:hint="default" w:ascii="Times New Roman" w:hAnsi="Times New Roman"/>
                      <w:sz w:val="21"/>
                      <w:szCs w:val="21"/>
                    </w:rPr>
                    <w:t xml:space="preserve">；二级 </w:t>
                  </w:r>
                  <w:r>
                    <w:rPr>
                      <w:rFonts w:hint="default" w:ascii="Times New Roman" w:hAnsi="Times New Roman"/>
                      <w:sz w:val="21"/>
                      <w:szCs w:val="21"/>
                    </w:rPr>
                    <w:sym w:font="Wingdings 2" w:char="00A3"/>
                  </w:r>
                  <w:r>
                    <w:rPr>
                      <w:rFonts w:hint="default" w:ascii="Times New Roman" w:hAnsi="Times New Roman"/>
                      <w:sz w:val="21"/>
                      <w:szCs w:val="21"/>
                    </w:rPr>
                    <w:t xml:space="preserve">；三级A </w:t>
                  </w:r>
                  <w:r>
                    <w:rPr>
                      <w:rFonts w:hint="default" w:ascii="Times New Roman" w:hAnsi="Times New Roman"/>
                      <w:sz w:val="21"/>
                      <w:szCs w:val="21"/>
                    </w:rPr>
                    <w:sym w:font="Wingdings 2" w:char="00A3"/>
                  </w:r>
                  <w:r>
                    <w:rPr>
                      <w:rFonts w:hint="default" w:ascii="Times New Roman" w:hAnsi="Times New Roman"/>
                      <w:sz w:val="21"/>
                      <w:szCs w:val="21"/>
                    </w:rPr>
                    <w:t xml:space="preserve">；三级B </w:t>
                  </w:r>
                  <w:r>
                    <w:rPr>
                      <w:rFonts w:hint="default" w:ascii="Times New Roman" w:hAnsi="Times New Roman"/>
                      <w:sz w:val="21"/>
                      <w:szCs w:val="21"/>
                    </w:rPr>
                    <w:fldChar w:fldCharType="begin"/>
                  </w:r>
                  <w:r>
                    <w:rPr>
                      <w:rFonts w:hint="default" w:ascii="Times New Roman" w:hAnsi="Times New Roman"/>
                      <w:sz w:val="21"/>
                      <w:szCs w:val="21"/>
                    </w:rPr>
                    <w:instrText xml:space="preserve"> eq \o\ac(□,</w:instrText>
                  </w:r>
                  <w:r>
                    <w:rPr>
                      <w:rFonts w:hint="default" w:ascii="Times New Roman" w:hAnsi="Times New Roman"/>
                      <w:position w:val="2"/>
                      <w:sz w:val="14"/>
                      <w:szCs w:val="21"/>
                    </w:rPr>
                    <w:instrText xml:space="preserve">√</w:instrText>
                  </w:r>
                  <w:r>
                    <w:rPr>
                      <w:rFonts w:hint="default" w:ascii="Times New Roman" w:hAnsi="Times New Roman"/>
                      <w:sz w:val="21"/>
                      <w:szCs w:val="21"/>
                    </w:rPr>
                    <w:instrText xml:space="preserve">)</w:instrText>
                  </w:r>
                  <w:r>
                    <w:rPr>
                      <w:rFonts w:hint="default" w:ascii="Times New Roman" w:hAnsi="Times New Roman"/>
                      <w:sz w:val="21"/>
                      <w:szCs w:val="21"/>
                    </w:rPr>
                    <w:fldChar w:fldCharType="end"/>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一级 </w:t>
                  </w:r>
                  <w:r>
                    <w:rPr>
                      <w:rFonts w:hint="default" w:ascii="Times New Roman" w:hAnsi="Times New Roman"/>
                      <w:sz w:val="21"/>
                      <w:szCs w:val="21"/>
                    </w:rPr>
                    <w:sym w:font="Wingdings 2" w:char="00A3"/>
                  </w:r>
                  <w:r>
                    <w:rPr>
                      <w:rFonts w:hint="default" w:ascii="Times New Roman" w:hAnsi="Times New Roman"/>
                      <w:sz w:val="21"/>
                      <w:szCs w:val="21"/>
                    </w:rPr>
                    <w:t xml:space="preserve">；二级 </w:t>
                  </w:r>
                  <w:r>
                    <w:rPr>
                      <w:rFonts w:hint="default" w:ascii="Times New Roman" w:hAnsi="Times New Roman"/>
                      <w:sz w:val="21"/>
                      <w:szCs w:val="21"/>
                    </w:rPr>
                    <w:sym w:font="Wingdings 2" w:char="00A3"/>
                  </w:r>
                  <w:r>
                    <w:rPr>
                      <w:rFonts w:hint="default" w:ascii="Times New Roman" w:hAnsi="Times New Roman"/>
                      <w:sz w:val="21"/>
                      <w:szCs w:val="21"/>
                    </w:rPr>
                    <w:t xml:space="preserve">；三级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现状调查</w:t>
                  </w: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区域污染源</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调查项目</w:t>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2029"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已建 </w:t>
                  </w:r>
                  <w:r>
                    <w:rPr>
                      <w:rFonts w:hint="default" w:ascii="Times New Roman" w:hAnsi="Times New Roman"/>
                      <w:sz w:val="21"/>
                      <w:szCs w:val="21"/>
                    </w:rPr>
                    <w:sym w:font="Wingdings 2" w:char="00A3"/>
                  </w:r>
                  <w:r>
                    <w:rPr>
                      <w:rFonts w:hint="default" w:ascii="Times New Roman" w:hAnsi="Times New Roman"/>
                      <w:sz w:val="21"/>
                      <w:szCs w:val="21"/>
                    </w:rPr>
                    <w:t xml:space="preserve">；在建 </w:t>
                  </w:r>
                  <w:r>
                    <w:rPr>
                      <w:rFonts w:hint="default" w:ascii="Times New Roman" w:hAnsi="Times New Roman"/>
                      <w:sz w:val="21"/>
                      <w:szCs w:val="21"/>
                    </w:rPr>
                    <w:sym w:font="Wingdings 2" w:char="00A3"/>
                  </w:r>
                  <w:r>
                    <w:rPr>
                      <w:rFonts w:hint="default" w:ascii="Times New Roman" w:hAnsi="Times New Roman"/>
                      <w:sz w:val="21"/>
                      <w:szCs w:val="21"/>
                    </w:rPr>
                    <w:t xml:space="preserve">；拟建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r>
                    <w:rPr>
                      <w:rFonts w:hint="default" w:ascii="Times New Roman" w:hAnsi="Times New Roman"/>
                      <w:sz w:val="21"/>
                      <w:szCs w:val="21"/>
                    </w:rPr>
                    <w:t>；</w:t>
                  </w:r>
                </w:p>
              </w:tc>
              <w:tc>
                <w:tcPr>
                  <w:tcW w:w="1442"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拟替代的污染源 </w:t>
                  </w:r>
                  <w:r>
                    <w:rPr>
                      <w:rFonts w:hint="default" w:ascii="Times New Roman" w:hAnsi="Times New Roman"/>
                      <w:sz w:val="21"/>
                      <w:szCs w:val="21"/>
                    </w:rPr>
                    <w:sym w:font="Wingdings 2" w:char="00A3"/>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排污许可证 </w:t>
                  </w:r>
                  <w:r>
                    <w:rPr>
                      <w:rFonts w:hint="default" w:ascii="Times New Roman" w:hAnsi="Times New Roman"/>
                      <w:sz w:val="21"/>
                      <w:szCs w:val="21"/>
                    </w:rPr>
                    <w:sym w:font="Wingdings 2" w:char="00A3"/>
                  </w:r>
                  <w:r>
                    <w:rPr>
                      <w:rFonts w:hint="default" w:ascii="Times New Roman" w:hAnsi="Times New Roman"/>
                      <w:sz w:val="21"/>
                      <w:szCs w:val="21"/>
                    </w:rPr>
                    <w:t xml:space="preserve">；环评 </w:t>
                  </w:r>
                  <w:r>
                    <w:rPr>
                      <w:rFonts w:hint="default" w:ascii="Times New Roman" w:hAnsi="Times New Roman"/>
                      <w:sz w:val="21"/>
                      <w:szCs w:val="21"/>
                    </w:rPr>
                    <w:sym w:font="Wingdings 2" w:char="00A3"/>
                  </w:r>
                  <w:r>
                    <w:rPr>
                      <w:rFonts w:hint="default" w:ascii="Times New Roman" w:hAnsi="Times New Roman"/>
                      <w:sz w:val="21"/>
                      <w:szCs w:val="21"/>
                    </w:rPr>
                    <w:t xml:space="preserve">；环保验收 </w:t>
                  </w:r>
                  <w:r>
                    <w:rPr>
                      <w:rFonts w:hint="default" w:ascii="Times New Roman" w:hAnsi="Times New Roman"/>
                      <w:sz w:val="21"/>
                      <w:szCs w:val="21"/>
                    </w:rPr>
                    <w:sym w:font="Wingdings 2" w:char="00A3"/>
                  </w:r>
                  <w:r>
                    <w:rPr>
                      <w:rFonts w:hint="default" w:ascii="Times New Roman" w:hAnsi="Times New Roman"/>
                      <w:sz w:val="21"/>
                      <w:szCs w:val="21"/>
                    </w:rPr>
                    <w:t xml:space="preserve">；即有实测 </w:t>
                  </w:r>
                  <w:r>
                    <w:rPr>
                      <w:rFonts w:hint="default" w:ascii="Times New Roman" w:hAnsi="Times New Roman"/>
                      <w:sz w:val="21"/>
                      <w:szCs w:val="21"/>
                    </w:rPr>
                    <w:sym w:font="Wingdings 2" w:char="00A3"/>
                  </w:r>
                  <w:r>
                    <w:rPr>
                      <w:rFonts w:hint="default" w:ascii="Times New Roman" w:hAnsi="Times New Roman"/>
                      <w:sz w:val="21"/>
                      <w:szCs w:val="21"/>
                    </w:rPr>
                    <w:t xml:space="preserve">；现场监测 </w:t>
                  </w:r>
                  <w:r>
                    <w:rPr>
                      <w:rFonts w:hint="default" w:ascii="Times New Roman" w:hAnsi="Times New Roman"/>
                      <w:sz w:val="21"/>
                      <w:szCs w:val="21"/>
                    </w:rPr>
                    <w:sym w:font="Wingdings 2" w:char="00A3"/>
                  </w:r>
                  <w:r>
                    <w:rPr>
                      <w:rFonts w:hint="default" w:ascii="Times New Roman" w:hAnsi="Times New Roman"/>
                      <w:sz w:val="21"/>
                      <w:szCs w:val="21"/>
                    </w:rPr>
                    <w:t xml:space="preserve">；入河排放口数据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受影响水体水环境质量</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调查时期</w:t>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丰水期 </w:t>
                  </w:r>
                  <w:r>
                    <w:rPr>
                      <w:rFonts w:hint="default" w:ascii="Times New Roman" w:hAnsi="Times New Roman"/>
                      <w:sz w:val="21"/>
                      <w:szCs w:val="21"/>
                    </w:rPr>
                    <w:sym w:font="Wingdings 2" w:char="00A3"/>
                  </w:r>
                  <w:r>
                    <w:rPr>
                      <w:rFonts w:hint="default" w:ascii="Times New Roman" w:hAnsi="Times New Roman"/>
                      <w:sz w:val="21"/>
                      <w:szCs w:val="21"/>
                    </w:rPr>
                    <w:t xml:space="preserve">；平水期 </w:t>
                  </w:r>
                  <w:r>
                    <w:rPr>
                      <w:rFonts w:hint="default" w:ascii="Times New Roman" w:hAnsi="Times New Roman"/>
                      <w:sz w:val="21"/>
                      <w:szCs w:val="21"/>
                    </w:rPr>
                    <w:sym w:font="Wingdings 2" w:char="00A3"/>
                  </w:r>
                  <w:r>
                    <w:rPr>
                      <w:rFonts w:hint="default" w:ascii="Times New Roman" w:hAnsi="Times New Roman"/>
                      <w:sz w:val="21"/>
                      <w:szCs w:val="21"/>
                    </w:rPr>
                    <w:t xml:space="preserve">；枯水期 </w:t>
                  </w:r>
                  <w:r>
                    <w:rPr>
                      <w:rFonts w:hint="default" w:ascii="Times New Roman" w:hAnsi="Times New Roman"/>
                      <w:sz w:val="21"/>
                      <w:szCs w:val="21"/>
                    </w:rPr>
                    <w:sym w:font="Wingdings 2" w:char="00A3"/>
                  </w:r>
                  <w:r>
                    <w:rPr>
                      <w:rFonts w:hint="default" w:ascii="Times New Roman" w:hAnsi="Times New Roman"/>
                      <w:sz w:val="21"/>
                      <w:szCs w:val="21"/>
                    </w:rPr>
                    <w:t xml:space="preserve">；冰封期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春季 </w:t>
                  </w:r>
                  <w:r>
                    <w:rPr>
                      <w:rFonts w:hint="default" w:ascii="Times New Roman" w:hAnsi="Times New Roman"/>
                      <w:sz w:val="21"/>
                      <w:szCs w:val="21"/>
                    </w:rPr>
                    <w:sym w:font="Wingdings 2" w:char="00A3"/>
                  </w:r>
                  <w:r>
                    <w:rPr>
                      <w:rFonts w:hint="default" w:ascii="Times New Roman" w:hAnsi="Times New Roman"/>
                      <w:sz w:val="21"/>
                      <w:szCs w:val="21"/>
                    </w:rPr>
                    <w:t xml:space="preserve">；夏季 </w:t>
                  </w:r>
                  <w:r>
                    <w:rPr>
                      <w:rFonts w:hint="default" w:ascii="Times New Roman" w:hAnsi="Times New Roman"/>
                      <w:sz w:val="21"/>
                      <w:szCs w:val="21"/>
                    </w:rPr>
                    <w:sym w:font="Wingdings 2" w:char="00A3"/>
                  </w:r>
                  <w:r>
                    <w:rPr>
                      <w:rFonts w:hint="default" w:ascii="Times New Roman" w:hAnsi="Times New Roman"/>
                      <w:sz w:val="21"/>
                      <w:szCs w:val="21"/>
                    </w:rPr>
                    <w:t xml:space="preserve">；秋季 </w:t>
                  </w:r>
                  <w:r>
                    <w:rPr>
                      <w:rFonts w:hint="default" w:ascii="Times New Roman" w:hAnsi="Times New Roman"/>
                      <w:sz w:val="21"/>
                      <w:szCs w:val="21"/>
                    </w:rPr>
                    <w:sym w:font="Wingdings 2" w:char="00A3"/>
                  </w:r>
                  <w:r>
                    <w:rPr>
                      <w:rFonts w:hint="default" w:ascii="Times New Roman" w:hAnsi="Times New Roman"/>
                      <w:sz w:val="21"/>
                      <w:szCs w:val="21"/>
                    </w:rPr>
                    <w:t xml:space="preserve">；冬季 </w:t>
                  </w:r>
                  <w:r>
                    <w:rPr>
                      <w:rFonts w:hint="default" w:ascii="Times New Roman" w:hAnsi="Times New Roman"/>
                      <w:sz w:val="21"/>
                      <w:szCs w:val="21"/>
                    </w:rPr>
                    <w:sym w:font="Wingdings 2" w:char="00A3"/>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生态环境保护主管部门 </w:t>
                  </w:r>
                  <w:r>
                    <w:rPr>
                      <w:rFonts w:hint="default" w:ascii="Times New Roman" w:hAnsi="Times New Roman"/>
                      <w:sz w:val="21"/>
                      <w:szCs w:val="21"/>
                    </w:rPr>
                    <w:sym w:font="Wingdings 2" w:char="00A3"/>
                  </w:r>
                  <w:r>
                    <w:rPr>
                      <w:rFonts w:hint="default" w:ascii="Times New Roman" w:hAnsi="Times New Roman"/>
                      <w:sz w:val="21"/>
                      <w:szCs w:val="21"/>
                    </w:rPr>
                    <w:t xml:space="preserve">；补充监测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区域水资源开发利用状况</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未开发 </w:t>
                  </w:r>
                  <w:r>
                    <w:rPr>
                      <w:rFonts w:hint="default" w:ascii="Times New Roman" w:hAnsi="Times New Roman"/>
                      <w:sz w:val="21"/>
                      <w:szCs w:val="21"/>
                    </w:rPr>
                    <w:sym w:font="Wingdings 2" w:char="00A3"/>
                  </w:r>
                  <w:r>
                    <w:rPr>
                      <w:rFonts w:hint="default" w:ascii="Times New Roman" w:hAnsi="Times New Roman"/>
                      <w:sz w:val="21"/>
                      <w:szCs w:val="21"/>
                    </w:rPr>
                    <w:t xml:space="preserve">；开发量40%以下 </w:t>
                  </w:r>
                  <w:r>
                    <w:rPr>
                      <w:rFonts w:hint="default" w:ascii="Times New Roman" w:hAnsi="Times New Roman"/>
                      <w:sz w:val="21"/>
                      <w:szCs w:val="21"/>
                    </w:rPr>
                    <w:sym w:font="Wingdings 2" w:char="00A3"/>
                  </w:r>
                  <w:r>
                    <w:rPr>
                      <w:rFonts w:hint="default" w:ascii="Times New Roman" w:hAnsi="Times New Roman"/>
                      <w:sz w:val="21"/>
                      <w:szCs w:val="21"/>
                    </w:rPr>
                    <w:t xml:space="preserve">；开发量40%以上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水文情势调查</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调查时期</w:t>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丰水期 </w:t>
                  </w:r>
                  <w:r>
                    <w:rPr>
                      <w:rFonts w:hint="default" w:ascii="Times New Roman" w:hAnsi="Times New Roman"/>
                      <w:sz w:val="21"/>
                      <w:szCs w:val="21"/>
                    </w:rPr>
                    <w:sym w:font="Wingdings 2" w:char="00A3"/>
                  </w:r>
                  <w:r>
                    <w:rPr>
                      <w:rFonts w:hint="default" w:ascii="Times New Roman" w:hAnsi="Times New Roman"/>
                      <w:sz w:val="21"/>
                      <w:szCs w:val="21"/>
                    </w:rPr>
                    <w:t xml:space="preserve">；平水期 </w:t>
                  </w:r>
                  <w:r>
                    <w:rPr>
                      <w:rFonts w:hint="default" w:ascii="Times New Roman" w:hAnsi="Times New Roman"/>
                      <w:sz w:val="21"/>
                      <w:szCs w:val="21"/>
                    </w:rPr>
                    <w:sym w:font="Wingdings 2" w:char="00A3"/>
                  </w:r>
                  <w:r>
                    <w:rPr>
                      <w:rFonts w:hint="default" w:ascii="Times New Roman" w:hAnsi="Times New Roman"/>
                      <w:sz w:val="21"/>
                      <w:szCs w:val="21"/>
                    </w:rPr>
                    <w:t xml:space="preserve">；枯水期 </w:t>
                  </w:r>
                  <w:r>
                    <w:rPr>
                      <w:rFonts w:hint="default" w:ascii="Times New Roman" w:hAnsi="Times New Roman"/>
                      <w:sz w:val="21"/>
                      <w:szCs w:val="21"/>
                    </w:rPr>
                    <w:sym w:font="Wingdings 2" w:char="00A3"/>
                  </w:r>
                  <w:r>
                    <w:rPr>
                      <w:rFonts w:hint="default" w:ascii="Times New Roman" w:hAnsi="Times New Roman"/>
                      <w:sz w:val="21"/>
                      <w:szCs w:val="21"/>
                    </w:rPr>
                    <w:t xml:space="preserve">；冰封期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春季 </w:t>
                  </w:r>
                  <w:r>
                    <w:rPr>
                      <w:rFonts w:hint="default" w:ascii="Times New Roman" w:hAnsi="Times New Roman"/>
                      <w:sz w:val="21"/>
                      <w:szCs w:val="21"/>
                    </w:rPr>
                    <w:sym w:font="Wingdings 2" w:char="00A3"/>
                  </w:r>
                  <w:r>
                    <w:rPr>
                      <w:rFonts w:hint="default" w:ascii="Times New Roman" w:hAnsi="Times New Roman"/>
                      <w:sz w:val="21"/>
                      <w:szCs w:val="21"/>
                    </w:rPr>
                    <w:t xml:space="preserve">；夏季 </w:t>
                  </w:r>
                  <w:r>
                    <w:rPr>
                      <w:rFonts w:hint="default" w:ascii="Times New Roman" w:hAnsi="Times New Roman"/>
                      <w:sz w:val="21"/>
                      <w:szCs w:val="21"/>
                    </w:rPr>
                    <w:sym w:font="Wingdings 2" w:char="00A3"/>
                  </w:r>
                  <w:r>
                    <w:rPr>
                      <w:rFonts w:hint="default" w:ascii="Times New Roman" w:hAnsi="Times New Roman"/>
                      <w:sz w:val="21"/>
                      <w:szCs w:val="21"/>
                    </w:rPr>
                    <w:t xml:space="preserve">；秋季 </w:t>
                  </w:r>
                  <w:r>
                    <w:rPr>
                      <w:rFonts w:hint="default" w:ascii="Times New Roman" w:hAnsi="Times New Roman"/>
                      <w:sz w:val="21"/>
                      <w:szCs w:val="21"/>
                    </w:rPr>
                    <w:sym w:font="Wingdings 2" w:char="00A3"/>
                  </w:r>
                  <w:r>
                    <w:rPr>
                      <w:rFonts w:hint="default" w:ascii="Times New Roman" w:hAnsi="Times New Roman"/>
                      <w:sz w:val="21"/>
                      <w:szCs w:val="21"/>
                    </w:rPr>
                    <w:t xml:space="preserve">；冬季 </w:t>
                  </w:r>
                  <w:r>
                    <w:rPr>
                      <w:rFonts w:hint="default" w:ascii="Times New Roman" w:hAnsi="Times New Roman"/>
                      <w:sz w:val="21"/>
                      <w:szCs w:val="21"/>
                    </w:rPr>
                    <w:sym w:font="Wingdings 2" w:char="00A3"/>
                  </w:r>
                </w:p>
              </w:tc>
              <w:tc>
                <w:tcPr>
                  <w:tcW w:w="3489"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水行政主管部门 </w:t>
                  </w:r>
                  <w:r>
                    <w:rPr>
                      <w:rFonts w:hint="default" w:ascii="Times New Roman" w:hAnsi="Times New Roman"/>
                      <w:sz w:val="21"/>
                      <w:szCs w:val="21"/>
                    </w:rPr>
                    <w:sym w:font="Wingdings 2" w:char="00A3"/>
                  </w:r>
                  <w:r>
                    <w:rPr>
                      <w:rFonts w:hint="default" w:ascii="Times New Roman" w:hAnsi="Times New Roman"/>
                      <w:sz w:val="21"/>
                      <w:szCs w:val="21"/>
                    </w:rPr>
                    <w:t xml:space="preserve">；补充监测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补充监测</w:t>
                  </w: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监测时期</w:t>
                  </w:r>
                </w:p>
              </w:tc>
              <w:tc>
                <w:tcPr>
                  <w:tcW w:w="1907"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监测因子</w:t>
                  </w:r>
                </w:p>
              </w:tc>
              <w:tc>
                <w:tcPr>
                  <w:tcW w:w="1582"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监测断面或点位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3471" w:type="dxa"/>
                  <w:gridSpan w:val="6"/>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丰水期 </w:t>
                  </w:r>
                  <w:r>
                    <w:rPr>
                      <w:rFonts w:hint="default" w:ascii="Times New Roman" w:hAnsi="Times New Roman"/>
                      <w:sz w:val="21"/>
                      <w:szCs w:val="21"/>
                    </w:rPr>
                    <w:sym w:font="Wingdings 2" w:char="00A3"/>
                  </w:r>
                  <w:r>
                    <w:rPr>
                      <w:rFonts w:hint="default" w:ascii="Times New Roman" w:hAnsi="Times New Roman"/>
                      <w:sz w:val="21"/>
                      <w:szCs w:val="21"/>
                    </w:rPr>
                    <w:t xml:space="preserve">；平水期 </w:t>
                  </w:r>
                  <w:r>
                    <w:rPr>
                      <w:rFonts w:hint="default" w:ascii="Times New Roman" w:hAnsi="Times New Roman"/>
                      <w:sz w:val="21"/>
                      <w:szCs w:val="21"/>
                    </w:rPr>
                    <w:sym w:font="Wingdings 2" w:char="00A3"/>
                  </w:r>
                  <w:r>
                    <w:rPr>
                      <w:rFonts w:hint="default" w:ascii="Times New Roman" w:hAnsi="Times New Roman"/>
                      <w:sz w:val="21"/>
                      <w:szCs w:val="21"/>
                    </w:rPr>
                    <w:t xml:space="preserve">；枯水期 </w:t>
                  </w:r>
                  <w:r>
                    <w:rPr>
                      <w:rFonts w:hint="default" w:ascii="Times New Roman" w:hAnsi="Times New Roman"/>
                      <w:sz w:val="21"/>
                      <w:szCs w:val="21"/>
                    </w:rPr>
                    <w:sym w:font="Wingdings 2" w:char="00A3"/>
                  </w:r>
                  <w:r>
                    <w:rPr>
                      <w:rFonts w:hint="default" w:ascii="Times New Roman" w:hAnsi="Times New Roman"/>
                      <w:sz w:val="21"/>
                      <w:szCs w:val="21"/>
                    </w:rPr>
                    <w:t xml:space="preserve">；冰封期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春季 </w:t>
                  </w:r>
                  <w:r>
                    <w:rPr>
                      <w:rFonts w:hint="default" w:ascii="Times New Roman" w:hAnsi="Times New Roman"/>
                      <w:sz w:val="21"/>
                      <w:szCs w:val="21"/>
                    </w:rPr>
                    <w:sym w:font="Wingdings 2" w:char="00A3"/>
                  </w:r>
                  <w:r>
                    <w:rPr>
                      <w:rFonts w:hint="default" w:ascii="Times New Roman" w:hAnsi="Times New Roman"/>
                      <w:sz w:val="21"/>
                      <w:szCs w:val="21"/>
                    </w:rPr>
                    <w:t xml:space="preserve">；夏季 </w:t>
                  </w:r>
                  <w:r>
                    <w:rPr>
                      <w:rFonts w:hint="default" w:ascii="Times New Roman" w:hAnsi="Times New Roman"/>
                      <w:sz w:val="21"/>
                      <w:szCs w:val="21"/>
                    </w:rPr>
                    <w:sym w:font="Wingdings 2" w:char="00A3"/>
                  </w:r>
                  <w:r>
                    <w:rPr>
                      <w:rFonts w:hint="default" w:ascii="Times New Roman" w:hAnsi="Times New Roman"/>
                      <w:sz w:val="21"/>
                      <w:szCs w:val="21"/>
                    </w:rPr>
                    <w:t xml:space="preserve">；秋季 </w:t>
                  </w:r>
                  <w:r>
                    <w:rPr>
                      <w:rFonts w:hint="default" w:ascii="Times New Roman" w:hAnsi="Times New Roman"/>
                      <w:sz w:val="21"/>
                      <w:szCs w:val="21"/>
                    </w:rPr>
                    <w:sym w:font="Wingdings 2" w:char="00A3"/>
                  </w:r>
                  <w:r>
                    <w:rPr>
                      <w:rFonts w:hint="default" w:ascii="Times New Roman" w:hAnsi="Times New Roman"/>
                      <w:sz w:val="21"/>
                      <w:szCs w:val="21"/>
                    </w:rPr>
                    <w:t xml:space="preserve">；冬季 </w:t>
                  </w:r>
                  <w:r>
                    <w:rPr>
                      <w:rFonts w:hint="default" w:ascii="Times New Roman" w:hAnsi="Times New Roman"/>
                      <w:sz w:val="21"/>
                      <w:szCs w:val="21"/>
                    </w:rPr>
                    <w:sym w:font="Wingdings 2" w:char="00A3"/>
                  </w:r>
                </w:p>
              </w:tc>
              <w:tc>
                <w:tcPr>
                  <w:tcW w:w="1907"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w:t>
                  </w:r>
                </w:p>
              </w:tc>
              <w:tc>
                <w:tcPr>
                  <w:tcW w:w="1582"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监测断面或点位个数</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现状评价</w:t>
                  </w: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评价范围</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河流：长度（    ）km；湖库、河口及近岸海域：面积（    ）km</w:t>
                  </w:r>
                  <w:r>
                    <w:rPr>
                      <w:rFonts w:hint="default" w:ascii="Times New Roman" w:hAnsi="Times New Roman"/>
                      <w:sz w:val="21"/>
                      <w:szCs w:val="21"/>
                      <w:vertAlign w:val="super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评价因子</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评价标准</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河流、湖库、河口：</w:t>
                  </w:r>
                  <w:r>
                    <w:rPr>
                      <w:rFonts w:hint="default" w:ascii="MS Mincho" w:hAnsi="MS Mincho" w:eastAsia="MS Mincho" w:cs="MS Mincho"/>
                      <w:sz w:val="21"/>
                      <w:szCs w:val="21"/>
                    </w:rPr>
                    <w:t>Ⅰ</w:t>
                  </w:r>
                  <w:r>
                    <w:rPr>
                      <w:rFonts w:hint="default" w:ascii="Times New Roman" w:hAnsi="Times New Roman"/>
                      <w:sz w:val="21"/>
                      <w:szCs w:val="21"/>
                    </w:rPr>
                    <w:t xml:space="preserve">类 </w:t>
                  </w:r>
                  <w:r>
                    <w:rPr>
                      <w:rFonts w:hint="default" w:ascii="Times New Roman" w:hAnsi="Times New Roman"/>
                      <w:sz w:val="21"/>
                      <w:szCs w:val="21"/>
                    </w:rPr>
                    <w:sym w:font="Wingdings 2" w:char="00A3"/>
                  </w:r>
                  <w:r>
                    <w:rPr>
                      <w:rFonts w:hint="default" w:ascii="Times New Roman" w:hAnsi="Times New Roman"/>
                      <w:sz w:val="21"/>
                      <w:szCs w:val="21"/>
                    </w:rPr>
                    <w:t>；</w:t>
                  </w:r>
                  <w:r>
                    <w:rPr>
                      <w:rFonts w:hint="default" w:ascii="MS Mincho" w:hAnsi="MS Mincho" w:eastAsia="MS Mincho" w:cs="MS Mincho"/>
                      <w:sz w:val="21"/>
                      <w:szCs w:val="21"/>
                    </w:rPr>
                    <w:t>Ⅱ</w:t>
                  </w:r>
                  <w:r>
                    <w:rPr>
                      <w:rFonts w:hint="default" w:ascii="Times New Roman" w:hAnsi="Times New Roman"/>
                      <w:sz w:val="21"/>
                      <w:szCs w:val="21"/>
                    </w:rPr>
                    <w:t xml:space="preserve">类 </w:t>
                  </w:r>
                  <w:r>
                    <w:rPr>
                      <w:rFonts w:hint="default" w:ascii="Times New Roman" w:hAnsi="Times New Roman"/>
                      <w:sz w:val="21"/>
                      <w:szCs w:val="21"/>
                    </w:rPr>
                    <w:sym w:font="Wingdings 2" w:char="00A3"/>
                  </w:r>
                  <w:r>
                    <w:rPr>
                      <w:rFonts w:hint="default" w:ascii="Times New Roman" w:hAnsi="Times New Roman"/>
                      <w:sz w:val="21"/>
                      <w:szCs w:val="21"/>
                    </w:rPr>
                    <w:t>；</w:t>
                  </w:r>
                  <w:r>
                    <w:rPr>
                      <w:rFonts w:hint="default" w:ascii="MS Mincho" w:hAnsi="MS Mincho" w:eastAsia="MS Mincho" w:cs="MS Mincho"/>
                      <w:sz w:val="21"/>
                      <w:szCs w:val="21"/>
                    </w:rPr>
                    <w:t>Ⅲ</w:t>
                  </w:r>
                  <w:r>
                    <w:rPr>
                      <w:rFonts w:hint="default" w:ascii="Times New Roman" w:hAnsi="Times New Roman"/>
                      <w:sz w:val="21"/>
                      <w:szCs w:val="21"/>
                    </w:rPr>
                    <w:t xml:space="preserve">类 </w:t>
                  </w:r>
                  <w:r>
                    <w:rPr>
                      <w:rFonts w:hint="default" w:ascii="Times New Roman" w:hAnsi="Times New Roman"/>
                      <w:sz w:val="21"/>
                      <w:szCs w:val="21"/>
                    </w:rPr>
                    <w:sym w:font="Wingdings 2" w:char="00A3"/>
                  </w:r>
                  <w:r>
                    <w:rPr>
                      <w:rFonts w:hint="default" w:ascii="Times New Roman" w:hAnsi="Times New Roman"/>
                      <w:sz w:val="21"/>
                      <w:szCs w:val="21"/>
                    </w:rPr>
                    <w:t>；</w:t>
                  </w:r>
                  <w:r>
                    <w:rPr>
                      <w:rFonts w:hint="default" w:ascii="MS Mincho" w:hAnsi="MS Mincho" w:eastAsia="MS Mincho" w:cs="MS Mincho"/>
                      <w:sz w:val="21"/>
                      <w:szCs w:val="21"/>
                    </w:rPr>
                    <w:t>Ⅳ</w:t>
                  </w:r>
                  <w:r>
                    <w:rPr>
                      <w:rFonts w:hint="default" w:ascii="Times New Roman" w:hAnsi="Times New Roman"/>
                      <w:sz w:val="21"/>
                      <w:szCs w:val="21"/>
                    </w:rPr>
                    <w:t xml:space="preserve">类 </w:t>
                  </w:r>
                  <w:r>
                    <w:rPr>
                      <w:rFonts w:hint="default" w:ascii="Times New Roman" w:hAnsi="Times New Roman"/>
                      <w:sz w:val="21"/>
                      <w:szCs w:val="21"/>
                    </w:rPr>
                    <w:sym w:font="Wingdings 2" w:char="00A3"/>
                  </w:r>
                  <w:r>
                    <w:rPr>
                      <w:rFonts w:hint="default" w:ascii="Times New Roman" w:hAnsi="Times New Roman"/>
                      <w:sz w:val="21"/>
                      <w:szCs w:val="21"/>
                    </w:rPr>
                    <w:t>；</w:t>
                  </w:r>
                  <w:r>
                    <w:rPr>
                      <w:rFonts w:hint="default" w:ascii="MS Mincho" w:hAnsi="MS Mincho" w:eastAsia="MS Mincho" w:cs="MS Mincho"/>
                      <w:sz w:val="21"/>
                      <w:szCs w:val="21"/>
                    </w:rPr>
                    <w:t>Ⅴ</w:t>
                  </w:r>
                  <w:r>
                    <w:rPr>
                      <w:rFonts w:hint="default" w:ascii="Times New Roman" w:hAnsi="Times New Roman"/>
                      <w:sz w:val="21"/>
                      <w:szCs w:val="21"/>
                    </w:rPr>
                    <w:t xml:space="preserve">类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近岸海域：第一类 </w:t>
                  </w:r>
                  <w:r>
                    <w:rPr>
                      <w:rFonts w:hint="default" w:ascii="Times New Roman" w:hAnsi="Times New Roman"/>
                      <w:sz w:val="21"/>
                      <w:szCs w:val="21"/>
                    </w:rPr>
                    <w:sym w:font="Wingdings 2" w:char="00A3"/>
                  </w:r>
                  <w:r>
                    <w:rPr>
                      <w:rFonts w:hint="default" w:ascii="Times New Roman" w:hAnsi="Times New Roman"/>
                      <w:sz w:val="21"/>
                      <w:szCs w:val="21"/>
                    </w:rPr>
                    <w:t xml:space="preserve">；第二类 </w:t>
                  </w:r>
                  <w:r>
                    <w:rPr>
                      <w:rFonts w:hint="default" w:ascii="Times New Roman" w:hAnsi="Times New Roman"/>
                      <w:sz w:val="21"/>
                      <w:szCs w:val="21"/>
                    </w:rPr>
                    <w:sym w:font="Wingdings 2" w:char="00A3"/>
                  </w:r>
                  <w:r>
                    <w:rPr>
                      <w:rFonts w:hint="default" w:ascii="Times New Roman" w:hAnsi="Times New Roman"/>
                      <w:sz w:val="21"/>
                      <w:szCs w:val="21"/>
                    </w:rPr>
                    <w:t xml:space="preserve">；第三类 </w:t>
                  </w:r>
                  <w:r>
                    <w:rPr>
                      <w:rFonts w:hint="default" w:ascii="Times New Roman" w:hAnsi="Times New Roman"/>
                      <w:sz w:val="21"/>
                      <w:szCs w:val="21"/>
                    </w:rPr>
                    <w:sym w:font="Wingdings 2" w:char="00A3"/>
                  </w:r>
                  <w:r>
                    <w:rPr>
                      <w:rFonts w:hint="default" w:ascii="Times New Roman" w:hAnsi="Times New Roman"/>
                      <w:sz w:val="21"/>
                      <w:szCs w:val="21"/>
                    </w:rPr>
                    <w:t xml:space="preserve">；第四类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规划年评价标准（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评价时期</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丰水期 </w:t>
                  </w:r>
                  <w:r>
                    <w:rPr>
                      <w:rFonts w:hint="default" w:ascii="Times New Roman" w:hAnsi="Times New Roman"/>
                      <w:sz w:val="21"/>
                      <w:szCs w:val="21"/>
                    </w:rPr>
                    <w:sym w:font="Wingdings 2" w:char="00A3"/>
                  </w:r>
                  <w:r>
                    <w:rPr>
                      <w:rFonts w:hint="default" w:ascii="Times New Roman" w:hAnsi="Times New Roman"/>
                      <w:sz w:val="21"/>
                      <w:szCs w:val="21"/>
                    </w:rPr>
                    <w:t xml:space="preserve">；平水期 </w:t>
                  </w:r>
                  <w:r>
                    <w:rPr>
                      <w:rFonts w:hint="default" w:ascii="Times New Roman" w:hAnsi="Times New Roman"/>
                      <w:sz w:val="21"/>
                      <w:szCs w:val="21"/>
                    </w:rPr>
                    <w:sym w:font="Wingdings 2" w:char="00A3"/>
                  </w:r>
                  <w:r>
                    <w:rPr>
                      <w:rFonts w:hint="default" w:ascii="Times New Roman" w:hAnsi="Times New Roman"/>
                      <w:sz w:val="21"/>
                      <w:szCs w:val="21"/>
                    </w:rPr>
                    <w:t xml:space="preserve">；枯水期 </w:t>
                  </w:r>
                  <w:r>
                    <w:rPr>
                      <w:rFonts w:hint="default" w:ascii="Times New Roman" w:hAnsi="Times New Roman"/>
                      <w:sz w:val="21"/>
                      <w:szCs w:val="21"/>
                    </w:rPr>
                    <w:sym w:font="Wingdings 2" w:char="00A3"/>
                  </w:r>
                  <w:r>
                    <w:rPr>
                      <w:rFonts w:hint="default" w:ascii="Times New Roman" w:hAnsi="Times New Roman"/>
                      <w:sz w:val="21"/>
                      <w:szCs w:val="21"/>
                    </w:rPr>
                    <w:t xml:space="preserve">；冰封期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春季 </w:t>
                  </w:r>
                  <w:r>
                    <w:rPr>
                      <w:rFonts w:hint="default" w:ascii="Times New Roman" w:hAnsi="Times New Roman"/>
                      <w:sz w:val="21"/>
                      <w:szCs w:val="21"/>
                    </w:rPr>
                    <w:sym w:font="Wingdings 2" w:char="00A3"/>
                  </w:r>
                  <w:r>
                    <w:rPr>
                      <w:rFonts w:hint="default" w:ascii="Times New Roman" w:hAnsi="Times New Roman"/>
                      <w:sz w:val="21"/>
                      <w:szCs w:val="21"/>
                    </w:rPr>
                    <w:t xml:space="preserve">；夏季 </w:t>
                  </w:r>
                  <w:r>
                    <w:rPr>
                      <w:rFonts w:hint="default" w:ascii="Times New Roman" w:hAnsi="Times New Roman"/>
                      <w:sz w:val="21"/>
                      <w:szCs w:val="21"/>
                    </w:rPr>
                    <w:sym w:font="Wingdings 2" w:char="00A3"/>
                  </w:r>
                  <w:r>
                    <w:rPr>
                      <w:rFonts w:hint="default" w:ascii="Times New Roman" w:hAnsi="Times New Roman"/>
                      <w:sz w:val="21"/>
                      <w:szCs w:val="21"/>
                    </w:rPr>
                    <w:t xml:space="preserve">；秋季 </w:t>
                  </w:r>
                  <w:r>
                    <w:rPr>
                      <w:rFonts w:hint="default" w:ascii="Times New Roman" w:hAnsi="Times New Roman"/>
                      <w:sz w:val="21"/>
                      <w:szCs w:val="21"/>
                    </w:rPr>
                    <w:sym w:font="Wingdings 2" w:char="00A3"/>
                  </w:r>
                  <w:r>
                    <w:rPr>
                      <w:rFonts w:hint="default" w:ascii="Times New Roman" w:hAnsi="Times New Roman"/>
                      <w:sz w:val="21"/>
                      <w:szCs w:val="21"/>
                    </w:rPr>
                    <w:t xml:space="preserve">；冬季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评价结论</w:t>
                  </w:r>
                </w:p>
              </w:tc>
              <w:tc>
                <w:tcPr>
                  <w:tcW w:w="6047" w:type="dxa"/>
                  <w:gridSpan w:val="11"/>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水环境功能区或水功能区、近岸海域环境功能区水质达标状况：达标 </w:t>
                  </w:r>
                  <w:r>
                    <w:rPr>
                      <w:rFonts w:hint="default" w:ascii="Times New Roman" w:hAnsi="Times New Roman"/>
                      <w:sz w:val="21"/>
                      <w:szCs w:val="21"/>
                    </w:rPr>
                    <w:sym w:font="Wingdings 2" w:char="00A3"/>
                  </w:r>
                  <w:r>
                    <w:rPr>
                      <w:rFonts w:hint="default" w:ascii="Times New Roman" w:hAnsi="Times New Roman"/>
                      <w:sz w:val="21"/>
                      <w:szCs w:val="21"/>
                    </w:rPr>
                    <w:t xml:space="preserve">；不达标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水环境控制单元或断面水质达标状况 </w:t>
                  </w:r>
                  <w:r>
                    <w:rPr>
                      <w:rFonts w:hint="default" w:ascii="Times New Roman" w:hAnsi="Times New Roman"/>
                      <w:sz w:val="21"/>
                      <w:szCs w:val="21"/>
                    </w:rPr>
                    <w:sym w:font="Wingdings 2" w:char="00A3"/>
                  </w:r>
                  <w:r>
                    <w:rPr>
                      <w:rFonts w:hint="default" w:ascii="Times New Roman" w:hAnsi="Times New Roman"/>
                      <w:sz w:val="21"/>
                      <w:szCs w:val="21"/>
                    </w:rPr>
                    <w:t xml:space="preserve">：达标 </w:t>
                  </w:r>
                  <w:r>
                    <w:rPr>
                      <w:rFonts w:hint="default" w:ascii="Times New Roman" w:hAnsi="Times New Roman"/>
                      <w:sz w:val="21"/>
                      <w:szCs w:val="21"/>
                    </w:rPr>
                    <w:sym w:font="Wingdings 2" w:char="00A3"/>
                  </w:r>
                  <w:r>
                    <w:rPr>
                      <w:rFonts w:hint="default" w:ascii="Times New Roman" w:hAnsi="Times New Roman"/>
                      <w:sz w:val="21"/>
                      <w:szCs w:val="21"/>
                    </w:rPr>
                    <w:t xml:space="preserve">；不达标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水环境保护目标质量状况 </w:t>
                  </w:r>
                  <w:r>
                    <w:rPr>
                      <w:rFonts w:hint="default" w:ascii="Times New Roman" w:hAnsi="Times New Roman"/>
                      <w:sz w:val="21"/>
                      <w:szCs w:val="21"/>
                    </w:rPr>
                    <w:sym w:font="Wingdings 2" w:char="00A3"/>
                  </w:r>
                  <w:r>
                    <w:rPr>
                      <w:rFonts w:hint="default" w:ascii="Times New Roman" w:hAnsi="Times New Roman"/>
                      <w:sz w:val="21"/>
                      <w:szCs w:val="21"/>
                    </w:rPr>
                    <w:t xml:space="preserve">：达标 </w:t>
                  </w:r>
                  <w:r>
                    <w:rPr>
                      <w:rFonts w:hint="default" w:ascii="Times New Roman" w:hAnsi="Times New Roman"/>
                      <w:sz w:val="21"/>
                      <w:szCs w:val="21"/>
                    </w:rPr>
                    <w:sym w:font="Wingdings 2" w:char="00A3"/>
                  </w:r>
                  <w:r>
                    <w:rPr>
                      <w:rFonts w:hint="default" w:ascii="Times New Roman" w:hAnsi="Times New Roman"/>
                      <w:sz w:val="21"/>
                      <w:szCs w:val="21"/>
                    </w:rPr>
                    <w:t xml:space="preserve">；不达标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对照断面、控制断面等代表性断面的水质状况 </w:t>
                  </w:r>
                  <w:r>
                    <w:rPr>
                      <w:rFonts w:hint="default" w:ascii="Times New Roman" w:hAnsi="Times New Roman"/>
                      <w:sz w:val="21"/>
                      <w:szCs w:val="21"/>
                    </w:rPr>
                    <w:sym w:font="Wingdings 2" w:char="00A3"/>
                  </w:r>
                  <w:r>
                    <w:rPr>
                      <w:rFonts w:hint="default" w:ascii="Times New Roman" w:hAnsi="Times New Roman"/>
                      <w:sz w:val="21"/>
                      <w:szCs w:val="21"/>
                    </w:rPr>
                    <w:t xml:space="preserve">：达标 </w:t>
                  </w:r>
                  <w:r>
                    <w:rPr>
                      <w:rFonts w:hint="default" w:ascii="Times New Roman" w:hAnsi="Times New Roman"/>
                      <w:sz w:val="21"/>
                      <w:szCs w:val="21"/>
                    </w:rPr>
                    <w:sym w:font="Wingdings 2" w:char="00A3"/>
                  </w:r>
                  <w:r>
                    <w:rPr>
                      <w:rFonts w:hint="default" w:ascii="Times New Roman" w:hAnsi="Times New Roman"/>
                      <w:sz w:val="21"/>
                      <w:szCs w:val="21"/>
                    </w:rPr>
                    <w:t xml:space="preserve">；不达标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底泥污染评价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水资源与开发利用程度及其水文情势评价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水环境质量回顾评价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流域（区域）水资源（包括水能资源）与开发利用总体状况、生态流量管理要求与现状满足程度、建设项目占用水域空间的水流状况与河湖演变状况 </w:t>
                  </w:r>
                  <w:r>
                    <w:rPr>
                      <w:rFonts w:hint="default" w:ascii="Times New Roman" w:hAnsi="Times New Roman"/>
                      <w:sz w:val="21"/>
                      <w:szCs w:val="21"/>
                    </w:rPr>
                    <w:sym w:font="Wingdings 2" w:char="00A3"/>
                  </w:r>
                </w:p>
              </w:tc>
              <w:tc>
                <w:tcPr>
                  <w:tcW w:w="913"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达标区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不达标区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影响预测</w:t>
                  </w: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预测范围</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河流：长度（    ）km；湖库、河口及近岸海域：面积（    ）km</w:t>
                  </w:r>
                  <w:r>
                    <w:rPr>
                      <w:rFonts w:hint="default" w:ascii="Times New Roman" w:hAnsi="Times New Roman"/>
                      <w:sz w:val="21"/>
                      <w:szCs w:val="21"/>
                      <w:vertAlign w:val="super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预测因子</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预测时期</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丰水期 </w:t>
                  </w:r>
                  <w:r>
                    <w:rPr>
                      <w:rFonts w:hint="default" w:ascii="Times New Roman" w:hAnsi="Times New Roman"/>
                      <w:sz w:val="21"/>
                      <w:szCs w:val="21"/>
                    </w:rPr>
                    <w:sym w:font="Wingdings 2" w:char="00A3"/>
                  </w:r>
                  <w:r>
                    <w:rPr>
                      <w:rFonts w:hint="default" w:ascii="Times New Roman" w:hAnsi="Times New Roman"/>
                      <w:sz w:val="21"/>
                      <w:szCs w:val="21"/>
                    </w:rPr>
                    <w:t xml:space="preserve">；平水期 </w:t>
                  </w:r>
                  <w:r>
                    <w:rPr>
                      <w:rFonts w:hint="default" w:ascii="Times New Roman" w:hAnsi="Times New Roman"/>
                      <w:sz w:val="21"/>
                      <w:szCs w:val="21"/>
                    </w:rPr>
                    <w:sym w:font="Wingdings 2" w:char="00A3"/>
                  </w:r>
                  <w:r>
                    <w:rPr>
                      <w:rFonts w:hint="default" w:ascii="Times New Roman" w:hAnsi="Times New Roman"/>
                      <w:sz w:val="21"/>
                      <w:szCs w:val="21"/>
                    </w:rPr>
                    <w:t xml:space="preserve">；枯水期 </w:t>
                  </w:r>
                  <w:r>
                    <w:rPr>
                      <w:rFonts w:hint="default" w:ascii="Times New Roman" w:hAnsi="Times New Roman"/>
                      <w:sz w:val="21"/>
                      <w:szCs w:val="21"/>
                    </w:rPr>
                    <w:sym w:font="Wingdings 2" w:char="00A3"/>
                  </w:r>
                  <w:r>
                    <w:rPr>
                      <w:rFonts w:hint="default" w:ascii="Times New Roman" w:hAnsi="Times New Roman"/>
                      <w:sz w:val="21"/>
                      <w:szCs w:val="21"/>
                    </w:rPr>
                    <w:t xml:space="preserve">；冰封期 </w:t>
                  </w:r>
                  <w:r>
                    <w:rPr>
                      <w:rFonts w:hint="default" w:ascii="Times New Roman" w:hAnsi="Times New Roman"/>
                      <w:sz w:val="21"/>
                      <w:szCs w:val="21"/>
                    </w:rPr>
                    <w:sym w:font="Wingdings 2" w:char="00A3"/>
                  </w:r>
                  <w:r>
                    <w:rPr>
                      <w:rFonts w:hint="default" w:ascii="Times New Roman" w:hAnsi="Times New Roman"/>
                      <w:sz w:val="21"/>
                      <w:szCs w:val="21"/>
                    </w:rPr>
                    <w:t>；</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春季 </w:t>
                  </w:r>
                  <w:r>
                    <w:rPr>
                      <w:rFonts w:hint="default" w:ascii="Times New Roman" w:hAnsi="Times New Roman"/>
                      <w:sz w:val="21"/>
                      <w:szCs w:val="21"/>
                    </w:rPr>
                    <w:sym w:font="Wingdings 2" w:char="00A3"/>
                  </w:r>
                  <w:r>
                    <w:rPr>
                      <w:rFonts w:hint="default" w:ascii="Times New Roman" w:hAnsi="Times New Roman"/>
                      <w:sz w:val="21"/>
                      <w:szCs w:val="21"/>
                    </w:rPr>
                    <w:t xml:space="preserve">；夏季 </w:t>
                  </w:r>
                  <w:r>
                    <w:rPr>
                      <w:rFonts w:hint="default" w:ascii="Times New Roman" w:hAnsi="Times New Roman"/>
                      <w:sz w:val="21"/>
                      <w:szCs w:val="21"/>
                    </w:rPr>
                    <w:sym w:font="Wingdings 2" w:char="00A3"/>
                  </w:r>
                  <w:r>
                    <w:rPr>
                      <w:rFonts w:hint="default" w:ascii="Times New Roman" w:hAnsi="Times New Roman"/>
                      <w:sz w:val="21"/>
                      <w:szCs w:val="21"/>
                    </w:rPr>
                    <w:t xml:space="preserve">；秋季 </w:t>
                  </w:r>
                  <w:r>
                    <w:rPr>
                      <w:rFonts w:hint="default" w:ascii="Times New Roman" w:hAnsi="Times New Roman"/>
                      <w:sz w:val="21"/>
                      <w:szCs w:val="21"/>
                    </w:rPr>
                    <w:sym w:font="Wingdings 2" w:char="00A3"/>
                  </w:r>
                  <w:r>
                    <w:rPr>
                      <w:rFonts w:hint="default" w:ascii="Times New Roman" w:hAnsi="Times New Roman"/>
                      <w:sz w:val="21"/>
                      <w:szCs w:val="21"/>
                    </w:rPr>
                    <w:t xml:space="preserve">；冬季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设计水文条件</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预测情景</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建设期 </w:t>
                  </w:r>
                  <w:r>
                    <w:rPr>
                      <w:rFonts w:hint="default" w:ascii="Times New Roman" w:hAnsi="Times New Roman"/>
                      <w:sz w:val="21"/>
                      <w:szCs w:val="21"/>
                    </w:rPr>
                    <w:sym w:font="Wingdings 2" w:char="00A3"/>
                  </w:r>
                  <w:r>
                    <w:rPr>
                      <w:rFonts w:hint="default" w:ascii="Times New Roman" w:hAnsi="Times New Roman"/>
                      <w:sz w:val="21"/>
                      <w:szCs w:val="21"/>
                    </w:rPr>
                    <w:t xml:space="preserve">；生产运行期 </w:t>
                  </w:r>
                  <w:r>
                    <w:rPr>
                      <w:rFonts w:hint="default" w:ascii="Times New Roman" w:hAnsi="Times New Roman"/>
                      <w:sz w:val="21"/>
                      <w:szCs w:val="21"/>
                    </w:rPr>
                    <w:sym w:font="Wingdings 2" w:char="00A3"/>
                  </w:r>
                  <w:r>
                    <w:rPr>
                      <w:rFonts w:hint="default" w:ascii="Times New Roman" w:hAnsi="Times New Roman"/>
                      <w:sz w:val="21"/>
                      <w:szCs w:val="21"/>
                    </w:rPr>
                    <w:t xml:space="preserve">；服务期满后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正常工况 </w:t>
                  </w:r>
                  <w:r>
                    <w:rPr>
                      <w:rFonts w:hint="default" w:ascii="Times New Roman" w:hAnsi="Times New Roman"/>
                      <w:sz w:val="21"/>
                      <w:szCs w:val="21"/>
                    </w:rPr>
                    <w:sym w:font="Wingdings 2" w:char="00A3"/>
                  </w:r>
                  <w:r>
                    <w:rPr>
                      <w:rFonts w:hint="default" w:ascii="Times New Roman" w:hAnsi="Times New Roman"/>
                      <w:sz w:val="21"/>
                      <w:szCs w:val="21"/>
                    </w:rPr>
                    <w:t xml:space="preserve">；非正常工况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污染控制可减缓措施方案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区（流）域环境质量改善目标要求情景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预测方法</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数值解 </w:t>
                  </w:r>
                  <w:r>
                    <w:rPr>
                      <w:rFonts w:hint="default" w:ascii="Times New Roman" w:hAnsi="Times New Roman"/>
                      <w:sz w:val="21"/>
                      <w:szCs w:val="21"/>
                    </w:rPr>
                    <w:sym w:font="Wingdings 2" w:char="00A3"/>
                  </w:r>
                  <w:r>
                    <w:rPr>
                      <w:rFonts w:hint="default" w:ascii="Times New Roman" w:hAnsi="Times New Roman"/>
                      <w:sz w:val="21"/>
                      <w:szCs w:val="21"/>
                    </w:rPr>
                    <w:t xml:space="preserve">；解析解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导则推荐模式 </w:t>
                  </w:r>
                  <w:r>
                    <w:rPr>
                      <w:rFonts w:hint="default" w:ascii="Times New Roman" w:hAnsi="Times New Roman"/>
                      <w:sz w:val="21"/>
                      <w:szCs w:val="21"/>
                    </w:rPr>
                    <w:sym w:font="Wingdings 2" w:char="00A3"/>
                  </w:r>
                  <w:r>
                    <w:rPr>
                      <w:rFonts w:hint="default" w:ascii="Times New Roman" w:hAnsi="Times New Roman"/>
                      <w:sz w:val="21"/>
                      <w:szCs w:val="21"/>
                    </w:rPr>
                    <w:t xml:space="preserve">；其他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影响评价</w:t>
                  </w: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水污染控制和水环境影响减缓措施有效性评价</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区（流）域环境质量改善目标 </w:t>
                  </w:r>
                  <w:r>
                    <w:rPr>
                      <w:rFonts w:hint="default" w:ascii="Times New Roman" w:hAnsi="Times New Roman"/>
                      <w:sz w:val="21"/>
                      <w:szCs w:val="21"/>
                    </w:rPr>
                    <w:sym w:font="Wingdings 2" w:char="00A3"/>
                  </w:r>
                  <w:r>
                    <w:rPr>
                      <w:rFonts w:hint="default" w:ascii="Times New Roman" w:hAnsi="Times New Roman"/>
                      <w:sz w:val="21"/>
                      <w:szCs w:val="21"/>
                    </w:rPr>
                    <w:t xml:space="preserve">； 替代消减源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水环境影响评价</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排放口混合去外满足水环境保护要求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水环境功能区或水功能区、近岸海域环境功能区水质达标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满足水环境保护目标水域水环境质量要求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水环境控制单元或断面水质达标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满足重点水污染物排放总量控制指标要求，重点行业建设项目，主要污染物排放满足等量或减量替代要求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满足区（流）域环境质量改善目标要求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水文要素影响型建设项目同时应包括水文情势变化评价、主要水文特征值影响评价、生态流量符合性评价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对于新设或调整入河（湖库、近岸海域）排放口的建设项目，应包括排放口设置的环境合理性评价 </w:t>
                  </w:r>
                  <w:r>
                    <w:rPr>
                      <w:rFonts w:hint="default" w:ascii="Times New Roman" w:hAnsi="Times New Roman"/>
                      <w:sz w:val="21"/>
                      <w:szCs w:val="21"/>
                    </w:rPr>
                    <w:sym w:font="Wingdings 2" w:char="00A3"/>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满足生态保护红线、水环境质量底线、资源利用上线和环境准入清单管理要求 </w:t>
                  </w: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污染源排放量核算</w:t>
                  </w:r>
                </w:p>
              </w:tc>
              <w:tc>
                <w:tcPr>
                  <w:tcW w:w="185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污染物名称</w:t>
                  </w:r>
                </w:p>
              </w:tc>
              <w:tc>
                <w:tcPr>
                  <w:tcW w:w="2013"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排放量/（t/a）</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85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  COD  ）</w:t>
                  </w:r>
                </w:p>
              </w:tc>
              <w:tc>
                <w:tcPr>
                  <w:tcW w:w="2013"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（0.233）</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（339）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w:t>
                  </w: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85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  氨氮  ）</w:t>
                  </w:r>
                </w:p>
              </w:tc>
              <w:tc>
                <w:tcPr>
                  <w:tcW w:w="2013"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（0.0149）</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替代源排放量情况</w:t>
                  </w:r>
                </w:p>
              </w:tc>
              <w:tc>
                <w:tcPr>
                  <w:tcW w:w="1244"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污染源</w:t>
                  </w:r>
                </w:p>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名称</w:t>
                  </w:r>
                </w:p>
              </w:tc>
              <w:tc>
                <w:tcPr>
                  <w:tcW w:w="1593"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排污许可证编号</w:t>
                  </w:r>
                </w:p>
              </w:tc>
              <w:tc>
                <w:tcPr>
                  <w:tcW w:w="1184"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污染物名称</w:t>
                  </w:r>
                </w:p>
              </w:tc>
              <w:tc>
                <w:tcPr>
                  <w:tcW w:w="12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排放量</w:t>
                  </w:r>
                </w:p>
              </w:tc>
              <w:tc>
                <w:tcPr>
                  <w:tcW w:w="168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244"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1593" w:type="dxa"/>
                  <w:gridSpan w:val="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1184"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12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168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生态流量确定</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生态流量：一般水期（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/s；鱼类繁殖期（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/s；其他（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w:t>
                  </w:r>
                </w:p>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生态水位：一般水期（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/s；鱼类繁殖期（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/s；其他（  ）m</w:t>
                  </w:r>
                  <w:r>
                    <w:rPr>
                      <w:rFonts w:hint="default" w:ascii="Times New Roman" w:hAnsi="Times New Roman"/>
                      <w:color w:val="auto"/>
                      <w:sz w:val="21"/>
                      <w:szCs w:val="21"/>
                      <w:vertAlign w:val="superscript"/>
                    </w:rPr>
                    <w:t>3</w:t>
                  </w:r>
                  <w:r>
                    <w:rPr>
                      <w:rFonts w:hint="default" w:ascii="Times New Roman" w:hAnsi="Times New Roman"/>
                      <w:color w:val="auto"/>
                      <w:sz w:val="21"/>
                      <w:szCs w:val="21"/>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防治措施</w:t>
                  </w: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环保措施</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xml:space="preserve">污水处理设施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；水文减缓设施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；生态流量保障设施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；区域消减依托其他工程措施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；其他 </w:t>
                  </w:r>
                  <w:r>
                    <w:rPr>
                      <w:rFonts w:hint="default" w:ascii="Times New Roman" w:hAnsi="Times New Roman"/>
                      <w:color w:val="auto"/>
                      <w:sz w:val="21"/>
                      <w:szCs w:val="21"/>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监测计划</w:t>
                  </w:r>
                </w:p>
              </w:tc>
              <w:tc>
                <w:tcPr>
                  <w:tcW w:w="1736"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p>
              </w:tc>
              <w:tc>
                <w:tcPr>
                  <w:tcW w:w="2129"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环境质量</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736"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监测方法</w:t>
                  </w:r>
                </w:p>
              </w:tc>
              <w:tc>
                <w:tcPr>
                  <w:tcW w:w="2129"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xml:space="preserve">手动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；自动 </w:t>
                  </w:r>
                  <w:r>
                    <w:rPr>
                      <w:rFonts w:hint="default" w:ascii="Times New Roman" w:hAnsi="Times New Roman"/>
                      <w:color w:val="auto"/>
                      <w:sz w:val="21"/>
                      <w:szCs w:val="21"/>
                    </w:rPr>
                    <w:sym w:font="Wingdings 2" w:char="00A3"/>
                  </w:r>
                  <w:r>
                    <w:rPr>
                      <w:rFonts w:hint="default" w:ascii="Times New Roman" w:hAnsi="Times New Roman"/>
                      <w:color w:val="auto"/>
                      <w:sz w:val="21"/>
                      <w:szCs w:val="21"/>
                    </w:rPr>
                    <w:t xml:space="preserve">；无检测 </w:t>
                  </w:r>
                  <w:r>
                    <w:rPr>
                      <w:rFonts w:hint="default" w:ascii="Times New Roman" w:hAnsi="Times New Roman"/>
                      <w:color w:val="auto"/>
                      <w:sz w:val="21"/>
                      <w:szCs w:val="21"/>
                    </w:rPr>
                    <w:fldChar w:fldCharType="begin"/>
                  </w:r>
                  <w:r>
                    <w:rPr>
                      <w:rFonts w:hint="default" w:ascii="Times New Roman" w:hAnsi="Times New Roman"/>
                      <w:color w:val="auto"/>
                      <w:sz w:val="21"/>
                      <w:szCs w:val="21"/>
                    </w:rPr>
                    <w:instrText xml:space="preserve"> eq \o\ac(□,√)</w:instrText>
                  </w:r>
                  <w:r>
                    <w:rPr>
                      <w:rFonts w:hint="default" w:ascii="Times New Roman" w:hAnsi="Times New Roman"/>
                      <w:color w:val="auto"/>
                      <w:sz w:val="21"/>
                      <w:szCs w:val="21"/>
                    </w:rPr>
                    <w:fldChar w:fldCharType="end"/>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 xml:space="preserve">手动 </w:t>
                  </w:r>
                  <w:r>
                    <w:rPr>
                      <w:rFonts w:hint="default" w:ascii="Times New Roman" w:hAnsi="Times New Roman"/>
                      <w:color w:val="000000" w:themeColor="text1"/>
                      <w:sz w:val="21"/>
                      <w:szCs w:val="21"/>
                      <w14:textFill>
                        <w14:solidFill>
                          <w14:schemeClr w14:val="tx1"/>
                        </w14:solidFill>
                      </w14:textFill>
                    </w:rPr>
                    <w:sym w:font="Wingdings 2" w:char="0052"/>
                  </w:r>
                  <w:r>
                    <w:rPr>
                      <w:rFonts w:hint="default" w:ascii="Times New Roman" w:hAnsi="Times New Roman"/>
                      <w:color w:val="000000" w:themeColor="text1"/>
                      <w:sz w:val="21"/>
                      <w:szCs w:val="21"/>
                      <w14:textFill>
                        <w14:solidFill>
                          <w14:schemeClr w14:val="tx1"/>
                        </w14:solidFill>
                      </w14:textFill>
                    </w:rPr>
                    <w:t xml:space="preserve">；自动 </w:t>
                  </w:r>
                  <w:r>
                    <w:rPr>
                      <w:rFonts w:hint="default" w:ascii="Times New Roman" w:hAnsi="Times New Roman"/>
                      <w:color w:val="000000" w:themeColor="text1"/>
                      <w:sz w:val="21"/>
                      <w:szCs w:val="21"/>
                      <w14:textFill>
                        <w14:solidFill>
                          <w14:schemeClr w14:val="tx1"/>
                        </w14:solidFill>
                      </w14:textFill>
                    </w:rPr>
                    <w:sym w:font="Wingdings 2" w:char="00A3"/>
                  </w:r>
                  <w:r>
                    <w:rPr>
                      <w:rFonts w:hint="default" w:ascii="Times New Roman" w:hAnsi="Times New Roman"/>
                      <w:color w:val="000000" w:themeColor="text1"/>
                      <w:sz w:val="21"/>
                      <w:szCs w:val="21"/>
                      <w14:textFill>
                        <w14:solidFill>
                          <w14:schemeClr w14:val="tx1"/>
                        </w14:solidFill>
                      </w14:textFill>
                    </w:rPr>
                    <w:t xml:space="preserve">；无检测 </w:t>
                  </w:r>
                  <w:r>
                    <w:rPr>
                      <w:rFonts w:hint="default" w:ascii="Times New Roman" w:hAnsi="Times New Roman"/>
                      <w:color w:val="000000" w:themeColor="text1"/>
                      <w:sz w:val="21"/>
                      <w:szCs w:val="2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736"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监测点位</w:t>
                  </w:r>
                </w:p>
              </w:tc>
              <w:tc>
                <w:tcPr>
                  <w:tcW w:w="2129"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 生产废水排水口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736"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监测因子</w:t>
                  </w:r>
                </w:p>
              </w:tc>
              <w:tc>
                <w:tcPr>
                  <w:tcW w:w="2129"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auto"/>
                      <w:sz w:val="21"/>
                      <w:szCs w:val="21"/>
                    </w:rPr>
                  </w:pPr>
                  <w:r>
                    <w:rPr>
                      <w:rFonts w:hint="default" w:ascii="Times New Roman" w:hAnsi="Times New Roman"/>
                      <w:color w:val="auto"/>
                      <w:sz w:val="21"/>
                      <w:szCs w:val="21"/>
                    </w:rPr>
                    <w:t>（      ）</w:t>
                  </w:r>
                </w:p>
              </w:tc>
              <w:tc>
                <w:tcPr>
                  <w:tcW w:w="3095" w:type="dxa"/>
                  <w:gridSpan w:val="5"/>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 COD、BOD</w:t>
                  </w:r>
                  <w:r>
                    <w:rPr>
                      <w:rFonts w:hint="default" w:ascii="Times New Roman" w:hAnsi="Times New Roman"/>
                      <w:color w:val="000000" w:themeColor="text1"/>
                      <w:sz w:val="21"/>
                      <w:szCs w:val="21"/>
                      <w:vertAlign w:val="subscript"/>
                      <w14:textFill>
                        <w14:solidFill>
                          <w14:schemeClr w14:val="tx1"/>
                        </w14:solidFill>
                      </w14:textFill>
                    </w:rPr>
                    <w:t>5</w:t>
                  </w:r>
                  <w:r>
                    <w:rPr>
                      <w:rFonts w:hint="default" w:ascii="Times New Roman" w:hAnsi="Times New Roman"/>
                      <w:color w:val="000000" w:themeColor="text1"/>
                      <w:sz w:val="21"/>
                      <w:szCs w:val="21"/>
                      <w14:textFill>
                        <w14:solidFill>
                          <w14:schemeClr w14:val="tx1"/>
                        </w14:solidFill>
                      </w14:textFill>
                    </w:rPr>
                    <w:t>、SS、NH</w:t>
                  </w:r>
                  <w:r>
                    <w:rPr>
                      <w:rFonts w:hint="default" w:ascii="Times New Roman" w:hAnsi="Times New Roman"/>
                      <w:color w:val="000000" w:themeColor="text1"/>
                      <w:sz w:val="21"/>
                      <w:szCs w:val="21"/>
                      <w:vertAlign w:val="subscript"/>
                      <w14:textFill>
                        <w14:solidFill>
                          <w14:schemeClr w14:val="tx1"/>
                        </w14:solidFill>
                      </w14:textFill>
                    </w:rPr>
                    <w:t>3</w:t>
                  </w:r>
                  <w:r>
                    <w:rPr>
                      <w:rFonts w:hint="default" w:ascii="Times New Roman" w:hAnsi="Times New Roman"/>
                      <w:color w:val="000000" w:themeColor="text1"/>
                      <w:sz w:val="21"/>
                      <w:szCs w:val="21"/>
                      <w14:textFill>
                        <w14:solidFill>
                          <w14:schemeClr w14:val="tx1"/>
                        </w14:solidFill>
                      </w14:textFill>
                    </w:rPr>
                    <w:t>-N、TN、TP、LAS、石油类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1370"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污染物排放清单</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23" w:type="dxa"/>
                  <w:gridSpan w:val="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评价结论</w:t>
                  </w:r>
                </w:p>
              </w:tc>
              <w:tc>
                <w:tcPr>
                  <w:tcW w:w="6960" w:type="dxa"/>
                  <w:gridSpan w:val="12"/>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 xml:space="preserve">可以接受 </w:t>
                  </w:r>
                  <w:r>
                    <w:rPr>
                      <w:rFonts w:hint="default" w:ascii="Times New Roman" w:hAnsi="Times New Roman"/>
                      <w:sz w:val="21"/>
                      <w:szCs w:val="21"/>
                    </w:rPr>
                    <w:fldChar w:fldCharType="begin"/>
                  </w:r>
                  <w:r>
                    <w:rPr>
                      <w:rFonts w:hint="default" w:ascii="Times New Roman" w:hAnsi="Times New Roman"/>
                      <w:sz w:val="21"/>
                      <w:szCs w:val="21"/>
                    </w:rPr>
                    <w:instrText xml:space="preserve"> eq \o\ac(□,√)</w:instrText>
                  </w:r>
                  <w:r>
                    <w:rPr>
                      <w:rFonts w:hint="default" w:ascii="Times New Roman" w:hAnsi="Times New Roman"/>
                      <w:sz w:val="21"/>
                      <w:szCs w:val="21"/>
                    </w:rPr>
                    <w:fldChar w:fldCharType="end"/>
                  </w:r>
                  <w:r>
                    <w:rPr>
                      <w:rFonts w:hint="default" w:ascii="Times New Roman" w:hAnsi="Times New Roman"/>
                      <w:sz w:val="21"/>
                      <w:szCs w:val="21"/>
                    </w:rPr>
                    <w:t xml:space="preserve">；不可以接受 </w:t>
                  </w:r>
                  <w:r>
                    <w:rPr>
                      <w:rFonts w:hint="default" w:ascii="Times New Roman" w:hAnsi="Times New Roman"/>
                      <w:sz w:val="21"/>
                      <w:szCs w:val="21"/>
                    </w:rPr>
                    <w:sym w:font="Wingdings 2" w:char="00A3"/>
                  </w:r>
                  <w:r>
                    <w:rPr>
                      <w:rFonts w:hint="default"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3" w:type="dxa"/>
                  <w:gridSpan w:val="14"/>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注：“</w:t>
                  </w:r>
                  <w:r>
                    <w:rPr>
                      <w:rFonts w:hint="default" w:ascii="Times New Roman" w:hAnsi="Times New Roman"/>
                      <w:sz w:val="21"/>
                      <w:szCs w:val="21"/>
                    </w:rPr>
                    <w:sym w:font="Wingdings 2" w:char="00A3"/>
                  </w:r>
                  <w:r>
                    <w:rPr>
                      <w:rFonts w:hint="default" w:ascii="Times New Roman" w:hAnsi="Times New Roman"/>
                      <w:sz w:val="21"/>
                      <w:szCs w:val="21"/>
                    </w:rPr>
                    <w:t>”为勾选项，可√；“（  ）”为内容填写项：“备注”为其他补充内容。</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表35   废水类别、污染物及污染治理设施信息表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744"/>
              <w:gridCol w:w="1019"/>
              <w:gridCol w:w="742"/>
              <w:gridCol w:w="752"/>
              <w:gridCol w:w="906"/>
              <w:gridCol w:w="742"/>
              <w:gridCol w:w="742"/>
              <w:gridCol w:w="907"/>
              <w:gridCol w:w="742"/>
              <w:gridCol w:w="7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序号</w:t>
                  </w:r>
                </w:p>
              </w:tc>
              <w:tc>
                <w:tcPr>
                  <w:tcW w:w="759"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废水类别</w:t>
                  </w:r>
                </w:p>
              </w:tc>
              <w:tc>
                <w:tcPr>
                  <w:tcW w:w="908"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污染物种类</w:t>
                  </w:r>
                </w:p>
              </w:tc>
              <w:tc>
                <w:tcPr>
                  <w:tcW w:w="757"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排放去向</w:t>
                  </w:r>
                </w:p>
              </w:tc>
              <w:tc>
                <w:tcPr>
                  <w:tcW w:w="757"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排放规律</w:t>
                  </w:r>
                </w:p>
              </w:tc>
              <w:tc>
                <w:tcPr>
                  <w:tcW w:w="2422" w:type="dxa"/>
                  <w:gridSpan w:val="3"/>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污染治理设施</w:t>
                  </w:r>
                </w:p>
              </w:tc>
              <w:tc>
                <w:tcPr>
                  <w:tcW w:w="908"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排放口编号</w:t>
                  </w:r>
                </w:p>
              </w:tc>
              <w:tc>
                <w:tcPr>
                  <w:tcW w:w="757"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排放口设置是否符合要求</w:t>
                  </w:r>
                </w:p>
              </w:tc>
              <w:tc>
                <w:tcPr>
                  <w:tcW w:w="754"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排放口类型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9"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908"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7"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7"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污染物治理设施编号</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污染物治理设施名称</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污染治理设施工艺</w:t>
                  </w:r>
                </w:p>
              </w:tc>
              <w:tc>
                <w:tcPr>
                  <w:tcW w:w="908"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7"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4"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1</w:t>
                  </w:r>
                </w:p>
              </w:tc>
              <w:tc>
                <w:tcPr>
                  <w:tcW w:w="759"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生活废水</w:t>
                  </w: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COD、BOD</w:t>
                  </w:r>
                  <w:r>
                    <w:rPr>
                      <w:rFonts w:hint="default" w:ascii="Times New Roman" w:hAnsi="Times New Roman"/>
                      <w:sz w:val="21"/>
                      <w:szCs w:val="21"/>
                      <w:vertAlign w:val="subscript"/>
                    </w:rPr>
                    <w:t>5、</w:t>
                  </w: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-N、SS、TP、TN</w:t>
                  </w:r>
                </w:p>
              </w:tc>
              <w:tc>
                <w:tcPr>
                  <w:tcW w:w="757"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咸阳机场污水处理厂</w:t>
                  </w:r>
                </w:p>
              </w:tc>
              <w:tc>
                <w:tcPr>
                  <w:tcW w:w="757" w:type="dxa"/>
                  <w:vMerge w:val="restart"/>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连续排放，流量不稳定，但有规律，且不属于周期性规律</w:t>
                  </w: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TW001</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化粪池</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化粪池</w:t>
                  </w:r>
                </w:p>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处理</w:t>
                  </w: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DW001</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是</w:t>
                  </w:r>
                </w:p>
              </w:tc>
              <w:tc>
                <w:tcPr>
                  <w:tcW w:w="754"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混合排放口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2</w:t>
                  </w:r>
                </w:p>
              </w:tc>
              <w:tc>
                <w:tcPr>
                  <w:tcW w:w="759"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生产废水</w:t>
                  </w: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COD、BOD</w:t>
                  </w:r>
                  <w:r>
                    <w:rPr>
                      <w:rFonts w:hint="default" w:ascii="Times New Roman" w:hAnsi="Times New Roman"/>
                      <w:sz w:val="21"/>
                      <w:szCs w:val="21"/>
                      <w:vertAlign w:val="subscript"/>
                    </w:rPr>
                    <w:t>5、</w:t>
                  </w: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-N、SS、TP、TN、LAS、石油类</w:t>
                  </w:r>
                </w:p>
              </w:tc>
              <w:tc>
                <w:tcPr>
                  <w:tcW w:w="757"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757" w:type="dxa"/>
                  <w:vMerge w:val="continue"/>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TW002</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过滤桶</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过滤棉</w:t>
                  </w:r>
                </w:p>
              </w:tc>
              <w:tc>
                <w:tcPr>
                  <w:tcW w:w="908"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DW001</w:t>
                  </w:r>
                </w:p>
              </w:tc>
              <w:tc>
                <w:tcPr>
                  <w:tcW w:w="757"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是</w:t>
                  </w:r>
                </w:p>
              </w:tc>
              <w:tc>
                <w:tcPr>
                  <w:tcW w:w="754" w:type="dxa"/>
                  <w:shd w:val="clear" w:color="auto" w:fill="auto"/>
                  <w:vAlign w:val="center"/>
                </w:tcPr>
                <w:p>
                  <w:pPr>
                    <w:pStyle w:val="3"/>
                    <w:keepNext w:val="0"/>
                    <w:keepLines w:val="0"/>
                    <w:suppressLineNumbers w:val="0"/>
                    <w:spacing w:before="0" w:beforeAutospacing="0" w:after="0" w:afterAutospacing="0"/>
                    <w:ind w:left="0" w:leftChars="0" w:right="0"/>
                    <w:rPr>
                      <w:rFonts w:hint="default" w:ascii="Times New Roman" w:hAnsi="Times New Roman"/>
                      <w:sz w:val="21"/>
                      <w:szCs w:val="21"/>
                    </w:rPr>
                  </w:pPr>
                  <w:r>
                    <w:rPr>
                      <w:rFonts w:hint="default" w:ascii="Times New Roman" w:hAnsi="Times New Roman"/>
                      <w:sz w:val="21"/>
                      <w:szCs w:val="21"/>
                    </w:rPr>
                    <w:t>混合废水排放口</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表36   废水间接排放口基本情况表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881"/>
              <w:gridCol w:w="1214"/>
              <w:gridCol w:w="1109"/>
              <w:gridCol w:w="996"/>
              <w:gridCol w:w="538"/>
              <w:gridCol w:w="636"/>
              <w:gridCol w:w="426"/>
              <w:gridCol w:w="426"/>
              <w:gridCol w:w="1019"/>
              <w:gridCol w:w="10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4"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序号</w:t>
                  </w:r>
                </w:p>
              </w:tc>
              <w:tc>
                <w:tcPr>
                  <w:tcW w:w="881"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排放口编号</w:t>
                  </w:r>
                </w:p>
              </w:tc>
              <w:tc>
                <w:tcPr>
                  <w:tcW w:w="2323" w:type="dxa"/>
                  <w:gridSpan w:val="2"/>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排放口地理坐标</w:t>
                  </w:r>
                </w:p>
              </w:tc>
              <w:tc>
                <w:tcPr>
                  <w:tcW w:w="99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废水排放量/（万t/a）</w:t>
                  </w:r>
                </w:p>
              </w:tc>
              <w:tc>
                <w:tcPr>
                  <w:tcW w:w="57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排放去向</w:t>
                  </w:r>
                </w:p>
              </w:tc>
              <w:tc>
                <w:tcPr>
                  <w:tcW w:w="63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排放规律</w:t>
                  </w:r>
                </w:p>
              </w:tc>
              <w:tc>
                <w:tcPr>
                  <w:tcW w:w="42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间歇排放时段</w:t>
                  </w:r>
                </w:p>
              </w:tc>
              <w:tc>
                <w:tcPr>
                  <w:tcW w:w="2491" w:type="dxa"/>
                  <w:gridSpan w:val="3"/>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收纳污水处理厂信息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4"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88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14"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经度</w:t>
                  </w:r>
                </w:p>
              </w:tc>
              <w:tc>
                <w:tcPr>
                  <w:tcW w:w="11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纬度</w:t>
                  </w:r>
                </w:p>
              </w:tc>
              <w:tc>
                <w:tcPr>
                  <w:tcW w:w="99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57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63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42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42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名称</w:t>
                  </w:r>
                </w:p>
              </w:tc>
              <w:tc>
                <w:tcPr>
                  <w:tcW w:w="974"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污染物种类</w:t>
                  </w:r>
                </w:p>
              </w:tc>
              <w:tc>
                <w:tcPr>
                  <w:tcW w:w="1091"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国家或地方污染物排放标准浓度限值/（mg/L）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68" w:hRule="atLeast"/>
              </w:trPr>
              <w:tc>
                <w:tcPr>
                  <w:tcW w:w="454"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tc>
              <w:tc>
                <w:tcPr>
                  <w:tcW w:w="881"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DW001</w:t>
                  </w:r>
                </w:p>
              </w:tc>
              <w:tc>
                <w:tcPr>
                  <w:tcW w:w="1214"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highlight w:val="yellow"/>
                    </w:rPr>
                  </w:pPr>
                  <w:r>
                    <w:rPr>
                      <w:rFonts w:hint="default" w:ascii="Times New Roman" w:hAnsi="Times New Roman"/>
                      <w:color w:val="000000" w:themeColor="text1"/>
                      <w:sz w:val="21"/>
                      <w:szCs w:val="21"/>
                      <w14:textFill>
                        <w14:solidFill>
                          <w14:schemeClr w14:val="tx1"/>
                        </w14:solidFill>
                      </w14:textFill>
                    </w:rPr>
                    <w:t>108.769315</w:t>
                  </w:r>
                </w:p>
              </w:tc>
              <w:tc>
                <w:tcPr>
                  <w:tcW w:w="11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color w:val="000000" w:themeColor="text1"/>
                      <w:sz w:val="21"/>
                      <w:szCs w:val="21"/>
                      <w14:textFill>
                        <w14:solidFill>
                          <w14:schemeClr w14:val="tx1"/>
                        </w14:solidFill>
                      </w14:textFill>
                    </w:rPr>
                    <w:t>34.448153</w:t>
                  </w:r>
                </w:p>
              </w:tc>
              <w:tc>
                <w:tcPr>
                  <w:tcW w:w="99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0.114618</w:t>
                  </w:r>
                </w:p>
              </w:tc>
              <w:tc>
                <w:tcPr>
                  <w:tcW w:w="57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进入咸阳机场污水处理厂</w:t>
                  </w:r>
                </w:p>
              </w:tc>
              <w:tc>
                <w:tcPr>
                  <w:tcW w:w="63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连续排放，流量不稳定，但有规律，且不属于周期性规律</w:t>
                  </w:r>
                </w:p>
              </w:tc>
              <w:tc>
                <w:tcPr>
                  <w:tcW w:w="42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w:t>
                  </w:r>
                </w:p>
              </w:tc>
              <w:tc>
                <w:tcPr>
                  <w:tcW w:w="42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咸阳机场污水处理厂</w:t>
                  </w:r>
                </w:p>
              </w:tc>
              <w:tc>
                <w:tcPr>
                  <w:tcW w:w="974"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COD、BOD</w:t>
                  </w:r>
                  <w:r>
                    <w:rPr>
                      <w:rFonts w:hint="default" w:ascii="Times New Roman" w:hAnsi="Times New Roman"/>
                      <w:sz w:val="21"/>
                      <w:szCs w:val="21"/>
                      <w:vertAlign w:val="subscript"/>
                    </w:rPr>
                    <w:t>5、</w:t>
                  </w: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-N、SS、</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TP、TN、LAS、</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石油类</w:t>
                  </w:r>
                </w:p>
              </w:tc>
              <w:tc>
                <w:tcPr>
                  <w:tcW w:w="1091"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50</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10</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10</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15</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0.5</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表37   废水污染物排放执行标准表</w:t>
            </w:r>
          </w:p>
          <w:tbl>
            <w:tblPr>
              <w:tblStyle w:val="38"/>
              <w:tblW w:w="87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221"/>
              <w:gridCol w:w="1339"/>
              <w:gridCol w:w="3706"/>
              <w:gridCol w:w="18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序号</w:t>
                  </w:r>
                </w:p>
              </w:tc>
              <w:tc>
                <w:tcPr>
                  <w:tcW w:w="1221"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排放口</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编号</w:t>
                  </w:r>
                </w:p>
              </w:tc>
              <w:tc>
                <w:tcPr>
                  <w:tcW w:w="1339"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污染物种类</w:t>
                  </w:r>
                </w:p>
              </w:tc>
              <w:tc>
                <w:tcPr>
                  <w:tcW w:w="5514" w:type="dxa"/>
                  <w:gridSpan w:val="2"/>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国家或地方污染物排放标准及其他按规定商定的排放协议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370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名称</w:t>
                  </w: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tc>
              <w:tc>
                <w:tcPr>
                  <w:tcW w:w="1221"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DW001</w:t>
                  </w: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COD</w:t>
                  </w:r>
                </w:p>
              </w:tc>
              <w:tc>
                <w:tcPr>
                  <w:tcW w:w="370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《污水综合排放标准》（GB 8978-1996）三级标准</w:t>
                  </w: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2</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BOD</w:t>
                  </w:r>
                  <w:r>
                    <w:rPr>
                      <w:rFonts w:hint="default" w:ascii="Times New Roman" w:hAnsi="Times New Roman"/>
                      <w:sz w:val="21"/>
                      <w:szCs w:val="21"/>
                      <w:vertAlign w:val="subscript"/>
                    </w:rPr>
                    <w:t>5</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SS</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TP</w:t>
                  </w:r>
                </w:p>
              </w:tc>
              <w:tc>
                <w:tcPr>
                  <w:tcW w:w="370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《污水排入城镇下水道水质标准》（GB/T 31962-2015）A级标准</w:t>
                  </w: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TN</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6</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7</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LAS</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8</w:t>
                  </w:r>
                </w:p>
              </w:tc>
              <w:tc>
                <w:tcPr>
                  <w:tcW w:w="1221"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33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石油类</w:t>
                  </w:r>
                </w:p>
              </w:tc>
              <w:tc>
                <w:tcPr>
                  <w:tcW w:w="370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80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15</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表38   废水污染物排放信息表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1469"/>
              <w:gridCol w:w="1456"/>
              <w:gridCol w:w="1483"/>
              <w:gridCol w:w="1477"/>
              <w:gridCol w:w="14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序号</w:t>
                  </w:r>
                </w:p>
              </w:tc>
              <w:tc>
                <w:tcPr>
                  <w:tcW w:w="1469"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排放口编号</w:t>
                  </w: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污染物种类</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排放浓度/（mg/L）</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日排放量/（t/d）</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tc>
              <w:tc>
                <w:tcPr>
                  <w:tcW w:w="1469"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DW001</w:t>
                  </w: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COD</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339</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0.00064</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0.233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2</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BOD</w:t>
                  </w:r>
                  <w:r>
                    <w:rPr>
                      <w:rFonts w:hint="default" w:ascii="Times New Roman" w:hAnsi="Times New Roman"/>
                      <w:sz w:val="21"/>
                      <w:szCs w:val="21"/>
                      <w:vertAlign w:val="subscript"/>
                    </w:rPr>
                    <w:t>5</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194</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0.00037</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0.133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SS</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85</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0.00016</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0.0581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22</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0.000074</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0.0149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TN</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32</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0.000041</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6</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TP</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7</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0.000014</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7</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LAS</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0.000094</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43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8</w:t>
                  </w:r>
                </w:p>
              </w:tc>
              <w:tc>
                <w:tcPr>
                  <w:tcW w:w="1469"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45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石油类</w:t>
                  </w:r>
                </w:p>
              </w:tc>
              <w:tc>
                <w:tcPr>
                  <w:tcW w:w="1483"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w:t>
                  </w:r>
                </w:p>
              </w:tc>
              <w:tc>
                <w:tcPr>
                  <w:tcW w:w="147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0.000063</w:t>
                  </w:r>
                </w:p>
              </w:tc>
              <w:tc>
                <w:tcPr>
                  <w:tcW w:w="146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0.023</w:t>
                  </w:r>
                </w:p>
              </w:tc>
            </w:tr>
          </w:tbl>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表39   环境监测计划及记录信息表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885"/>
              <w:gridCol w:w="809"/>
              <w:gridCol w:w="662"/>
              <w:gridCol w:w="660"/>
              <w:gridCol w:w="706"/>
              <w:gridCol w:w="660"/>
              <w:gridCol w:w="660"/>
              <w:gridCol w:w="707"/>
              <w:gridCol w:w="662"/>
              <w:gridCol w:w="17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序号</w:t>
                  </w:r>
                </w:p>
              </w:tc>
              <w:tc>
                <w:tcPr>
                  <w:tcW w:w="886"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排放口编号</w:t>
                  </w: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污染物名称</w:t>
                  </w:r>
                </w:p>
              </w:tc>
              <w:tc>
                <w:tcPr>
                  <w:tcW w:w="72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监测设施</w:t>
                  </w:r>
                </w:p>
              </w:tc>
              <w:tc>
                <w:tcPr>
                  <w:tcW w:w="72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自动监测设施安装位置</w:t>
                  </w:r>
                </w:p>
              </w:tc>
              <w:tc>
                <w:tcPr>
                  <w:tcW w:w="72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自动监测设施的安装、运行、维护等相关管理要求</w:t>
                  </w:r>
                </w:p>
              </w:tc>
              <w:tc>
                <w:tcPr>
                  <w:tcW w:w="72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自动监测是否联网</w:t>
                  </w:r>
                </w:p>
              </w:tc>
              <w:tc>
                <w:tcPr>
                  <w:tcW w:w="725"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自动监测仪器名称</w:t>
                  </w:r>
                </w:p>
              </w:tc>
              <w:tc>
                <w:tcPr>
                  <w:tcW w:w="72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手工监测采样方法及个数</w:t>
                  </w:r>
                </w:p>
              </w:tc>
              <w:tc>
                <w:tcPr>
                  <w:tcW w:w="727"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手工监测频次</w:t>
                  </w: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手工测定方法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w:t>
                  </w:r>
                </w:p>
              </w:tc>
              <w:tc>
                <w:tcPr>
                  <w:tcW w:w="886"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DW001</w:t>
                  </w: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COD</w:t>
                  </w:r>
                </w:p>
              </w:tc>
              <w:tc>
                <w:tcPr>
                  <w:tcW w:w="727"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无</w:t>
                  </w:r>
                </w:p>
              </w:tc>
              <w:tc>
                <w:tcPr>
                  <w:tcW w:w="725"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无</w:t>
                  </w:r>
                </w:p>
              </w:tc>
              <w:tc>
                <w:tcPr>
                  <w:tcW w:w="725"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w:t>
                  </w:r>
                </w:p>
              </w:tc>
              <w:tc>
                <w:tcPr>
                  <w:tcW w:w="725"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w:t>
                  </w:r>
                </w:p>
              </w:tc>
              <w:tc>
                <w:tcPr>
                  <w:tcW w:w="725"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w:t>
                  </w:r>
                </w:p>
              </w:tc>
              <w:tc>
                <w:tcPr>
                  <w:tcW w:w="727"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混合采样（3个混合）</w:t>
                  </w:r>
                </w:p>
              </w:tc>
              <w:tc>
                <w:tcPr>
                  <w:tcW w:w="727" w:type="dxa"/>
                  <w:vMerge w:val="restart"/>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1次/年</w:t>
                  </w: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重铬酸盐法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HJ828-2017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2</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BOD</w:t>
                  </w:r>
                  <w:r>
                    <w:rPr>
                      <w:rFonts w:hint="default" w:ascii="Times New Roman" w:hAnsi="Times New Roman"/>
                      <w:sz w:val="21"/>
                      <w:szCs w:val="21"/>
                      <w:vertAlign w:val="subscript"/>
                    </w:rPr>
                    <w:t>5</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稀释与接种法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HJ505-2009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3</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NH</w:t>
                  </w:r>
                  <w:r>
                    <w:rPr>
                      <w:rFonts w:hint="default" w:ascii="Times New Roman" w:hAnsi="Times New Roman"/>
                      <w:sz w:val="21"/>
                      <w:szCs w:val="21"/>
                      <w:vertAlign w:val="subscript"/>
                    </w:rPr>
                    <w:t>3</w:t>
                  </w:r>
                  <w:r>
                    <w:rPr>
                      <w:rFonts w:hint="default" w:ascii="Times New Roman" w:hAnsi="Times New Roman"/>
                      <w:sz w:val="21"/>
                      <w:szCs w:val="21"/>
                    </w:rPr>
                    <w:t>-N</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纳氏试剂分光光度法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HJ535-2009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4</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SS</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重量法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GB11901-1989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5</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TN</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过硫酸钠消解紫外分光光度法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HJ636-2012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6</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TP</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 xml:space="preserve"> 钼酸铵分光光度法</w:t>
                  </w:r>
                </w:p>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GB/T11893-1989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7</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LAS</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亚甲蓝分光光度GB7494-87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2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8</w:t>
                  </w:r>
                </w:p>
              </w:tc>
              <w:tc>
                <w:tcPr>
                  <w:tcW w:w="886"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98"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石油类</w:t>
                  </w: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5"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727" w:type="dxa"/>
                  <w:vMerge w:val="continue"/>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p>
              </w:tc>
              <w:tc>
                <w:tcPr>
                  <w:tcW w:w="1290" w:type="dxa"/>
                  <w:shd w:val="clear" w:color="auto" w:fill="auto"/>
                  <w:vAlign w:val="center"/>
                </w:tcPr>
                <w:p>
                  <w:pPr>
                    <w:pStyle w:val="3"/>
                    <w:keepNext w:val="0"/>
                    <w:keepLines w:val="0"/>
                    <w:suppressLineNumbers w:val="0"/>
                    <w:spacing w:before="0" w:beforeAutospacing="0" w:after="0" w:afterAutospacing="0"/>
                    <w:ind w:left="0" w:leftChars="0" w:right="0"/>
                    <w:jc w:val="center"/>
                    <w:rPr>
                      <w:rFonts w:hint="default" w:ascii="Times New Roman" w:hAnsi="Times New Roman"/>
                      <w:sz w:val="21"/>
                      <w:szCs w:val="21"/>
                    </w:rPr>
                  </w:pPr>
                  <w:r>
                    <w:rPr>
                      <w:rFonts w:hint="default" w:ascii="Times New Roman" w:hAnsi="Times New Roman"/>
                      <w:sz w:val="21"/>
                      <w:szCs w:val="21"/>
                    </w:rPr>
                    <w:t>红外光度法GB/T16488-1996</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（2）污水措施可行性分析</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经化粪池预处理的生活污水和经预处理的清洗废水一起通过管道排入咸阳机场污水处理厂，进水浓度满足《污水综合排放标准》(GB68978-1996)表4中三级标准和《污水排入城镇下水道水质标准》（GB/T31962-2015）表1中A级标准。</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eastAsia" w:ascii="Times New Roman" w:hAnsi="Times New Roman" w:eastAsia="宋体" w:cs="宋体"/>
                <w:color w:val="000000" w:themeColor="text1"/>
                <w:kern w:val="0"/>
                <w:sz w:val="24"/>
                <w:szCs w:val="20"/>
                <w:lang w:val="en-US" w:eastAsia="zh-CN" w:bidi="ar"/>
                <w14:textFill>
                  <w14:solidFill>
                    <w14:schemeClr w14:val="tx1"/>
                  </w14:solidFill>
                </w14:textFill>
              </w:rPr>
              <w:t>项目</w:t>
            </w:r>
            <w:r>
              <w:rPr>
                <w:rFonts w:hint="default" w:cs="宋体"/>
                <w:color w:val="000000" w:themeColor="text1"/>
                <w:kern w:val="0"/>
                <w:sz w:val="24"/>
                <w:szCs w:val="20"/>
                <w:lang w:eastAsia="zh-CN" w:bidi="ar"/>
                <w14:textFill>
                  <w14:solidFill>
                    <w14:schemeClr w14:val="tx1"/>
                  </w14:solidFill>
                </w14:textFill>
              </w:rPr>
              <w:t>维修基地的</w:t>
            </w:r>
            <w:r>
              <w:rPr>
                <w:rFonts w:hint="default" w:ascii="Times New Roman" w:hAnsi="Times New Roman" w:cs="宋体"/>
                <w:color w:val="000000" w:themeColor="text1"/>
                <w:kern w:val="0"/>
                <w:sz w:val="24"/>
                <w:szCs w:val="20"/>
                <w:lang w:eastAsia="zh-CN" w:bidi="ar"/>
                <w14:textFill>
                  <w14:solidFill>
                    <w14:schemeClr w14:val="tx1"/>
                  </w14:solidFill>
                </w14:textFill>
              </w:rPr>
              <w:t>现有</w:t>
            </w:r>
            <w:r>
              <w:rPr>
                <w:rFonts w:hint="eastAsia" w:ascii="Times New Roman" w:hAnsi="Times New Roman" w:eastAsia="宋体" w:cs="宋体"/>
                <w:color w:val="000000" w:themeColor="text1"/>
                <w:kern w:val="0"/>
                <w:sz w:val="24"/>
                <w:szCs w:val="20"/>
                <w:lang w:val="en-US" w:eastAsia="zh-CN" w:bidi="ar"/>
                <w14:textFill>
                  <w14:solidFill>
                    <w14:schemeClr w14:val="tx1"/>
                  </w14:solidFill>
                </w14:textFill>
              </w:rPr>
              <w:t>化粪池规模为</w:t>
            </w:r>
            <w:r>
              <w:rPr>
                <w:rFonts w:hint="default" w:cs="Times New Roman"/>
                <w:color w:val="000000" w:themeColor="text1"/>
                <w:kern w:val="0"/>
                <w:sz w:val="24"/>
                <w:szCs w:val="20"/>
                <w:lang w:eastAsia="zh-CN" w:bidi="ar"/>
                <w14:textFill>
                  <w14:solidFill>
                    <w14:schemeClr w14:val="tx1"/>
                  </w14:solidFill>
                </w14:textFill>
              </w:rPr>
              <w:t>3</w:t>
            </w:r>
            <w:r>
              <w:rPr>
                <w:rFonts w:hint="default" w:ascii="Times New Roman" w:hAnsi="Times New Roman" w:cs="Times New Roman"/>
                <w:color w:val="000000" w:themeColor="text1"/>
                <w:kern w:val="0"/>
                <w:sz w:val="24"/>
                <w:szCs w:val="20"/>
                <w:lang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0"/>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0"/>
                <w:vertAlign w:val="superscript"/>
                <w:lang w:val="en-US" w:eastAsia="zh-CN" w:bidi="ar"/>
                <w14:textFill>
                  <w14:solidFill>
                    <w14:schemeClr w14:val="tx1"/>
                  </w14:solidFill>
                </w14:textFill>
              </w:rPr>
              <w:t>3</w:t>
            </w:r>
            <w:r>
              <w:rPr>
                <w:rFonts w:hint="eastAsia" w:ascii="Times New Roman" w:hAnsi="Times New Roman" w:eastAsia="宋体" w:cs="宋体"/>
                <w:color w:val="000000" w:themeColor="text1"/>
                <w:kern w:val="0"/>
                <w:sz w:val="24"/>
                <w:szCs w:val="20"/>
                <w:lang w:val="en-US" w:eastAsia="zh-CN" w:bidi="ar"/>
                <w14:textFill>
                  <w14:solidFill>
                    <w14:schemeClr w14:val="tx1"/>
                  </w14:solidFill>
                </w14:textFill>
              </w:rPr>
              <w:t>，可容纳本项目生活污水</w:t>
            </w:r>
            <w:r>
              <w:rPr>
                <w:rFonts w:hint="default" w:cs="宋体"/>
                <w:color w:val="000000" w:themeColor="text1"/>
                <w:kern w:val="0"/>
                <w:sz w:val="24"/>
                <w:szCs w:val="20"/>
                <w:lang w:eastAsia="zh-CN" w:bidi="ar"/>
                <w14:textFill>
                  <w14:solidFill>
                    <w14:schemeClr w14:val="tx1"/>
                  </w14:solidFill>
                </w14:textFill>
              </w:rPr>
              <w:t>。</w:t>
            </w:r>
            <w:r>
              <w:rPr>
                <w:rFonts w:hint="default"/>
                <w:color w:val="000000" w:themeColor="text1"/>
                <w:sz w:val="24"/>
                <w14:textFill>
                  <w14:solidFill>
                    <w14:schemeClr w14:val="tx1"/>
                  </w14:solidFill>
                </w14:textFill>
              </w:rPr>
              <w:t>机场污水处理厂位于西安咸阳国际机场基地内，主要接纳和处理机场生活污水和生产废水，该污水处理厂于2014年完成提标改造，改造后污水处理能力15000m³/d，采用CAST处理工艺，并配套建设10000m³/d的中水回用系统，污水处理出水达到《城镇污水处理厂污染物排放标准》（GB18918-2002）一级A标准与城市中水回用标准后回用于机场绿化浇灌、道路浇洒、车辆冲洗、水景补水等用途，剩余部分排入泾河。</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本项目位于咸阳机场维修基地内，处于咸阳机场污水处理厂设计的收水范围，场址处已通达污水收集管网。本项目外排废水为</w:t>
            </w:r>
            <w:r>
              <w:rPr>
                <w:rFonts w:hint="eastAsia"/>
                <w:color w:val="000000" w:themeColor="text1"/>
                <w:sz w:val="24"/>
                <w14:textFill>
                  <w14:solidFill>
                    <w14:schemeClr w14:val="tx1"/>
                  </w14:solidFill>
                </w14:textFill>
              </w:rPr>
              <w:t>1.</w:t>
            </w:r>
            <w:r>
              <w:rPr>
                <w:rFonts w:hint="default"/>
                <w:color w:val="000000" w:themeColor="text1"/>
                <w:sz w:val="24"/>
                <w14:textFill>
                  <w14:solidFill>
                    <w14:schemeClr w14:val="tx1"/>
                  </w14:solidFill>
                </w14:textFill>
              </w:rPr>
              <w:t>883m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 xml:space="preserve">/d，占污水处理厂日处理量的0.011%，所占比例较小。此外，项目废水经化粪池处理后水质低于污水处理厂进水水质，不会对进水水质造成严重冲击。 </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故本项目废水依托咸阳机场污水处理厂进行的处理方案可行。</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3、声环境影响分析</w:t>
            </w:r>
          </w:p>
          <w:p>
            <w:pPr>
              <w:keepNext w:val="0"/>
              <w:keepLines w:val="0"/>
              <w:suppressLineNumbers w:val="0"/>
              <w:spacing w:before="0" w:beforeAutospacing="0" w:after="0" w:afterAutospacing="0" w:line="520" w:lineRule="exact"/>
              <w:ind w:left="0" w:right="0" w:firstLine="480" w:firstLineChars="200"/>
              <w:jc w:val="left"/>
              <w:rPr>
                <w:rFonts w:hint="default"/>
                <w:bCs/>
                <w:sz w:val="24"/>
              </w:rPr>
            </w:pPr>
            <w:r>
              <w:rPr>
                <w:rFonts w:hint="default"/>
                <w:bCs/>
                <w:sz w:val="24"/>
              </w:rPr>
              <w:t>本项目主要噪声源</w:t>
            </w:r>
            <w:r>
              <w:rPr>
                <w:rFonts w:hint="default"/>
                <w:sz w:val="24"/>
              </w:rPr>
              <w:t>噪声源主要为泵类、风机等</w:t>
            </w:r>
            <w:r>
              <w:rPr>
                <w:rFonts w:hint="default"/>
                <w:bCs/>
                <w:sz w:val="24"/>
              </w:rPr>
              <w:t>，为降低企业设备噪声对周围声环境的影响，本评价提出以下噪声防治措施：</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（1）加强设备的维护，确保设备处于良好的运转状态，杜绝因设备不正常运转时产生的高噪声现象，从源强处降噪；</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 xml:space="preserve">（2）项目机库封闭；合理布置设备位置，对设备安装减振基础，采取隔声措施； </w:t>
            </w:r>
          </w:p>
          <w:p>
            <w:pPr>
              <w:keepNext w:val="0"/>
              <w:keepLines w:val="0"/>
              <w:suppressLineNumbers w:val="0"/>
              <w:spacing w:before="0" w:beforeAutospacing="0" w:after="0" w:afterAutospacing="0" w:line="520" w:lineRule="exact"/>
              <w:ind w:left="0" w:right="0" w:firstLine="480" w:firstLineChars="200"/>
              <w:jc w:val="left"/>
              <w:rPr>
                <w:rFonts w:hint="default"/>
                <w:bCs/>
                <w:sz w:val="24"/>
              </w:rPr>
            </w:pPr>
            <w:r>
              <w:rPr>
                <w:rFonts w:hint="default"/>
                <w:bCs/>
                <w:sz w:val="24"/>
              </w:rPr>
              <w:t>项目噪声源强及治理措施见表40。</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ascii="Calibri" w:hAnsi="Calibri" w:eastAsia="Calibri" w:cs="Calibri"/>
                <w:color w:val="000000" w:themeColor="text1"/>
                <w:sz w:val="24"/>
                <w14:textFill>
                  <w14:solidFill>
                    <w14:schemeClr w14:val="tx1"/>
                  </w14:solidFill>
                </w14:textFill>
              </w:rPr>
              <w:t>①</w:t>
            </w:r>
            <w:r>
              <w:rPr>
                <w:rFonts w:hint="default"/>
                <w:sz w:val="24"/>
              </w:rPr>
              <w:t>噪声源强</w:t>
            </w:r>
          </w:p>
          <w:p>
            <w:pPr>
              <w:keepNext w:val="0"/>
              <w:keepLines w:val="0"/>
              <w:suppressLineNumbers w:val="0"/>
              <w:adjustRightInd w:val="0"/>
              <w:snapToGrid w:val="0"/>
              <w:spacing w:before="76" w:beforeLines="20" w:beforeAutospacing="0" w:after="38" w:afterLines="10" w:afterAutospacing="0"/>
              <w:ind w:left="0" w:right="0"/>
              <w:jc w:val="center"/>
              <w:rPr>
                <w:rFonts w:hint="default" w:eastAsia="黑体"/>
                <w:sz w:val="24"/>
                <w:szCs w:val="24"/>
              </w:rPr>
            </w:pPr>
            <w:r>
              <w:rPr>
                <w:rFonts w:hint="default" w:eastAsia="黑体"/>
                <w:sz w:val="24"/>
                <w:szCs w:val="24"/>
              </w:rPr>
              <w:t>表60   项目主要噪声源及防治措施</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37"/>
              <w:gridCol w:w="1413"/>
              <w:gridCol w:w="893"/>
              <w:gridCol w:w="993"/>
              <w:gridCol w:w="2797"/>
              <w:gridCol w:w="1049"/>
              <w:gridCol w:w="90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序号</w:t>
                  </w:r>
                </w:p>
              </w:tc>
              <w:tc>
                <w:tcPr>
                  <w:tcW w:w="804"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主要噪声源</w:t>
                  </w:r>
                </w:p>
              </w:tc>
              <w:tc>
                <w:tcPr>
                  <w:tcW w:w="508"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数量（台）</w:t>
                  </w:r>
                </w:p>
              </w:tc>
              <w:tc>
                <w:tcPr>
                  <w:tcW w:w="565"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性质</w:t>
                  </w:r>
                </w:p>
              </w:tc>
              <w:tc>
                <w:tcPr>
                  <w:tcW w:w="1592"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噪声防治措施</w:t>
                  </w:r>
                </w:p>
              </w:tc>
              <w:tc>
                <w:tcPr>
                  <w:tcW w:w="597"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治理前dB(A)</w:t>
                  </w:r>
                </w:p>
              </w:tc>
              <w:tc>
                <w:tcPr>
                  <w:tcW w:w="513" w:type="pct"/>
                  <w:vAlign w:val="center"/>
                </w:tcPr>
                <w:p>
                  <w:pPr>
                    <w:keepNext w:val="0"/>
                    <w:keepLines w:val="0"/>
                    <w:suppressLineNumbers w:val="0"/>
                    <w:spacing w:before="0" w:beforeAutospacing="0" w:after="0" w:afterAutospacing="0"/>
                    <w:ind w:left="0" w:right="0"/>
                    <w:jc w:val="center"/>
                    <w:rPr>
                      <w:rFonts w:hint="default"/>
                      <w:b/>
                    </w:rPr>
                  </w:pPr>
                  <w:r>
                    <w:rPr>
                      <w:rFonts w:hint="default"/>
                      <w:b/>
                    </w:rPr>
                    <w:t>治理后dB(A)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1</w:t>
                  </w:r>
                </w:p>
              </w:tc>
              <w:tc>
                <w:tcPr>
                  <w:tcW w:w="804" w:type="pct"/>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打磨机</w:t>
                  </w:r>
                </w:p>
              </w:tc>
              <w:tc>
                <w:tcPr>
                  <w:tcW w:w="508" w:type="pct"/>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30台</w:t>
                  </w:r>
                </w:p>
              </w:tc>
              <w:tc>
                <w:tcPr>
                  <w:tcW w:w="565" w:type="pct"/>
                  <w:vAlign w:val="center"/>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vAlign w:val="center"/>
                </w:tcPr>
                <w:p>
                  <w:pPr>
                    <w:pStyle w:val="91"/>
                    <w:keepNext w:val="0"/>
                    <w:keepLines w:val="0"/>
                    <w:suppressLineNumbers w:val="0"/>
                    <w:snapToGrid w:val="0"/>
                    <w:spacing w:beforeAutospacing="0" w:afterAutospacing="0" w:line="300" w:lineRule="exact"/>
                    <w:ind w:left="0" w:right="0"/>
                    <w:jc w:val="center"/>
                    <w:rPr>
                      <w:rFonts w:hint="default"/>
                      <w:kern w:val="2"/>
                      <w:sz w:val="21"/>
                      <w:szCs w:val="21"/>
                    </w:rPr>
                  </w:pPr>
                  <w:r>
                    <w:rPr>
                      <w:rFonts w:hint="default"/>
                      <w:kern w:val="2"/>
                      <w:sz w:val="21"/>
                      <w:szCs w:val="21"/>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2</w:t>
                  </w:r>
                </w:p>
              </w:tc>
              <w:tc>
                <w:tcPr>
                  <w:tcW w:w="804" w:type="pct"/>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喷枪</w:t>
                  </w:r>
                </w:p>
              </w:tc>
              <w:tc>
                <w:tcPr>
                  <w:tcW w:w="508" w:type="pct"/>
                  <w:vAlign w:val="center"/>
                </w:tcPr>
                <w:p>
                  <w:pPr>
                    <w:keepNext w:val="0"/>
                    <w:keepLines w:val="0"/>
                    <w:suppressLineNumbers w:val="0"/>
                    <w:spacing w:before="0" w:beforeAutospacing="0" w:after="0" w:afterAutospacing="0"/>
                    <w:ind w:left="0" w:right="0"/>
                    <w:jc w:val="center"/>
                    <w:rPr>
                      <w:rFonts w:hint="default"/>
                    </w:rPr>
                  </w:pPr>
                  <w:r>
                    <w:rPr>
                      <w:rFonts w:hint="default"/>
                      <w:kern w:val="0"/>
                    </w:rPr>
                    <w:t>6台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vAlign w:val="center"/>
                </w:tcPr>
                <w:p>
                  <w:pPr>
                    <w:pStyle w:val="91"/>
                    <w:keepNext w:val="0"/>
                    <w:keepLines w:val="0"/>
                    <w:suppressLineNumbers w:val="0"/>
                    <w:snapToGrid w:val="0"/>
                    <w:spacing w:beforeAutospacing="0" w:afterAutospacing="0" w:line="300" w:lineRule="exact"/>
                    <w:ind w:left="0" w:right="0"/>
                    <w:jc w:val="center"/>
                    <w:rPr>
                      <w:rFonts w:hint="default"/>
                      <w:kern w:val="2"/>
                      <w:sz w:val="21"/>
                      <w:szCs w:val="21"/>
                    </w:rPr>
                  </w:pPr>
                  <w:r>
                    <w:rPr>
                      <w:rFonts w:hint="default"/>
                      <w:kern w:val="2"/>
                      <w:sz w:val="21"/>
                      <w:szCs w:val="21"/>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55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3</w:t>
                  </w:r>
                </w:p>
              </w:tc>
              <w:tc>
                <w:tcPr>
                  <w:tcW w:w="804" w:type="pct"/>
                  <w:vAlign w:val="center"/>
                </w:tcPr>
                <w:p>
                  <w:pPr>
                    <w:keepNext w:val="0"/>
                    <w:keepLines w:val="0"/>
                    <w:suppressLineNumbers w:val="0"/>
                    <w:spacing w:before="0" w:beforeAutospacing="0" w:after="0" w:afterAutospacing="0"/>
                    <w:ind w:left="0" w:right="0"/>
                    <w:jc w:val="center"/>
                    <w:rPr>
                      <w:rFonts w:hint="default"/>
                    </w:rPr>
                  </w:pPr>
                  <w:r>
                    <w:rPr>
                      <w:rFonts w:hint="default"/>
                    </w:rPr>
                    <w:t>风机</w:t>
                  </w:r>
                </w:p>
              </w:tc>
              <w:tc>
                <w:tcPr>
                  <w:tcW w:w="508" w:type="pct"/>
                  <w:vAlign w:val="center"/>
                </w:tcPr>
                <w:p>
                  <w:pPr>
                    <w:keepNext w:val="0"/>
                    <w:keepLines w:val="0"/>
                    <w:suppressLineNumbers w:val="0"/>
                    <w:spacing w:before="0" w:beforeAutospacing="0" w:after="0" w:afterAutospacing="0"/>
                    <w:ind w:left="0" w:right="0"/>
                    <w:jc w:val="center"/>
                    <w:rPr>
                      <w:rFonts w:hint="default"/>
                    </w:rPr>
                  </w:pPr>
                  <w:r>
                    <w:rPr>
                      <w:rFonts w:hint="eastAsia"/>
                      <w:kern w:val="0"/>
                    </w:rPr>
                    <w:t>6</w:t>
                  </w:r>
                  <w:r>
                    <w:rPr>
                      <w:rFonts w:hint="default"/>
                      <w:kern w:val="0"/>
                    </w:rPr>
                    <w:t>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vAlign w:val="center"/>
                </w:tcPr>
                <w:p>
                  <w:pPr>
                    <w:pStyle w:val="91"/>
                    <w:keepNext w:val="0"/>
                    <w:keepLines w:val="0"/>
                    <w:suppressLineNumbers w:val="0"/>
                    <w:snapToGrid w:val="0"/>
                    <w:spacing w:beforeAutospacing="0" w:afterAutospacing="0" w:line="300" w:lineRule="exact"/>
                    <w:ind w:left="0" w:right="0"/>
                    <w:jc w:val="center"/>
                    <w:rPr>
                      <w:rFonts w:hint="default"/>
                      <w:kern w:val="2"/>
                      <w:sz w:val="21"/>
                      <w:szCs w:val="21"/>
                    </w:rPr>
                  </w:pPr>
                  <w:r>
                    <w:rPr>
                      <w:rFonts w:hint="default"/>
                      <w:kern w:val="2"/>
                      <w:sz w:val="21"/>
                      <w:szCs w:val="21"/>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90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4</w:t>
                  </w:r>
                </w:p>
              </w:tc>
              <w:tc>
                <w:tcPr>
                  <w:tcW w:w="804"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空压机</w:t>
                  </w:r>
                </w:p>
              </w:tc>
              <w:tc>
                <w:tcPr>
                  <w:tcW w:w="508"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1台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tcPr>
                <w:p>
                  <w:pPr>
                    <w:pStyle w:val="91"/>
                    <w:keepNext w:val="0"/>
                    <w:keepLines w:val="0"/>
                    <w:suppressLineNumbers w:val="0"/>
                    <w:snapToGrid w:val="0"/>
                    <w:spacing w:beforeAutospacing="0" w:afterAutospacing="0" w:line="300" w:lineRule="exact"/>
                    <w:ind w:left="0" w:right="0"/>
                    <w:jc w:val="center"/>
                    <w:rPr>
                      <w:rFonts w:hint="default"/>
                      <w:kern w:val="2"/>
                      <w:sz w:val="21"/>
                      <w:szCs w:val="21"/>
                    </w:rPr>
                  </w:pPr>
                  <w:r>
                    <w:rPr>
                      <w:rFonts w:hint="default"/>
                      <w:kern w:val="2"/>
                      <w:sz w:val="21"/>
                      <w:szCs w:val="21"/>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90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5</w:t>
                  </w:r>
                </w:p>
              </w:tc>
              <w:tc>
                <w:tcPr>
                  <w:tcW w:w="804"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压力泵</w:t>
                  </w:r>
                </w:p>
              </w:tc>
              <w:tc>
                <w:tcPr>
                  <w:tcW w:w="508"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2台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tcPr>
                <w:p>
                  <w:pPr>
                    <w:keepNext w:val="0"/>
                    <w:keepLines w:val="0"/>
                    <w:suppressLineNumbers w:val="0"/>
                    <w:spacing w:before="0" w:beforeAutospacing="0" w:after="0" w:afterAutospacing="0"/>
                    <w:ind w:left="0" w:right="0" w:firstLine="105" w:firstLineChars="50"/>
                    <w:jc w:val="center"/>
                    <w:rPr>
                      <w:rFonts w:hint="default"/>
                    </w:rPr>
                  </w:pPr>
                  <w:r>
                    <w:rPr>
                      <w:rFonts w:hint="default"/>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75</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6</w:t>
                  </w:r>
                </w:p>
              </w:tc>
              <w:tc>
                <w:tcPr>
                  <w:tcW w:w="804"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起重机</w:t>
                  </w:r>
                </w:p>
              </w:tc>
              <w:tc>
                <w:tcPr>
                  <w:tcW w:w="508"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1台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tcPr>
                <w:p>
                  <w:pPr>
                    <w:keepNext w:val="0"/>
                    <w:keepLines w:val="0"/>
                    <w:suppressLineNumbers w:val="0"/>
                    <w:spacing w:before="0" w:beforeAutospacing="0" w:after="0" w:afterAutospacing="0"/>
                    <w:ind w:left="0" w:right="0" w:firstLine="105" w:firstLineChars="50"/>
                    <w:jc w:val="center"/>
                    <w:rPr>
                      <w:rFonts w:hint="default"/>
                    </w:rPr>
                  </w:pPr>
                  <w:r>
                    <w:rPr>
                      <w:rFonts w:hint="default"/>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80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20" w:type="pct"/>
                  <w:vAlign w:val="center"/>
                </w:tcPr>
                <w:p>
                  <w:pPr>
                    <w:pStyle w:val="91"/>
                    <w:keepNext w:val="0"/>
                    <w:keepLines w:val="0"/>
                    <w:suppressLineNumbers w:val="0"/>
                    <w:snapToGrid w:val="0"/>
                    <w:spacing w:beforeAutospacing="0" w:afterAutospacing="0"/>
                    <w:ind w:left="0" w:right="0"/>
                    <w:jc w:val="center"/>
                    <w:rPr>
                      <w:rFonts w:hint="default"/>
                      <w:kern w:val="2"/>
                      <w:sz w:val="21"/>
                      <w:szCs w:val="21"/>
                    </w:rPr>
                  </w:pPr>
                  <w:r>
                    <w:rPr>
                      <w:rFonts w:hint="default"/>
                      <w:sz w:val="21"/>
                      <w:szCs w:val="21"/>
                    </w:rPr>
                    <w:t>7</w:t>
                  </w:r>
                </w:p>
              </w:tc>
              <w:tc>
                <w:tcPr>
                  <w:tcW w:w="804"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清洗机</w:t>
                  </w:r>
                </w:p>
              </w:tc>
              <w:tc>
                <w:tcPr>
                  <w:tcW w:w="508" w:type="pct"/>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4台</w:t>
                  </w:r>
                </w:p>
              </w:tc>
              <w:tc>
                <w:tcPr>
                  <w:tcW w:w="565" w:type="pct"/>
                </w:tcPr>
                <w:p>
                  <w:pPr>
                    <w:keepNext w:val="0"/>
                    <w:keepLines w:val="0"/>
                    <w:suppressLineNumbers w:val="0"/>
                    <w:spacing w:before="0" w:beforeAutospacing="0" w:after="0" w:afterAutospacing="0"/>
                    <w:ind w:left="0" w:right="0"/>
                    <w:jc w:val="center"/>
                    <w:rPr>
                      <w:rFonts w:hint="default"/>
                    </w:rPr>
                  </w:pPr>
                  <w:r>
                    <w:rPr>
                      <w:rFonts w:hint="default"/>
                    </w:rPr>
                    <w:t>连续性</w:t>
                  </w:r>
                </w:p>
              </w:tc>
              <w:tc>
                <w:tcPr>
                  <w:tcW w:w="1592" w:type="pct"/>
                </w:tcPr>
                <w:p>
                  <w:pPr>
                    <w:keepNext w:val="0"/>
                    <w:keepLines w:val="0"/>
                    <w:suppressLineNumbers w:val="0"/>
                    <w:spacing w:before="0" w:beforeAutospacing="0" w:after="0" w:afterAutospacing="0"/>
                    <w:ind w:left="0" w:right="0" w:firstLine="105" w:firstLineChars="50"/>
                    <w:jc w:val="center"/>
                    <w:rPr>
                      <w:rFonts w:hint="default"/>
                    </w:rPr>
                  </w:pPr>
                  <w:r>
                    <w:rPr>
                      <w:rFonts w:hint="default"/>
                    </w:rPr>
                    <w:t>建筑隔声、基础减振</w:t>
                  </w:r>
                </w:p>
              </w:tc>
              <w:tc>
                <w:tcPr>
                  <w:tcW w:w="597" w:type="pct"/>
                  <w:vAlign w:val="center"/>
                </w:tcPr>
                <w:p>
                  <w:pPr>
                    <w:keepNext w:val="0"/>
                    <w:keepLines w:val="0"/>
                    <w:suppressLineNumbers w:val="0"/>
                    <w:spacing w:before="0" w:beforeAutospacing="0" w:after="0" w:afterAutospacing="0" w:line="320" w:lineRule="exact"/>
                    <w:ind w:left="0" w:right="0"/>
                    <w:jc w:val="center"/>
                    <w:rPr>
                      <w:rFonts w:hint="default"/>
                    </w:rPr>
                  </w:pPr>
                  <w:r>
                    <w:rPr>
                      <w:rFonts w:hint="default"/>
                    </w:rPr>
                    <w:t>70</w:t>
                  </w:r>
                </w:p>
              </w:tc>
              <w:tc>
                <w:tcPr>
                  <w:tcW w:w="513" w:type="pct"/>
                  <w:vAlign w:val="center"/>
                </w:tcPr>
                <w:p>
                  <w:pPr>
                    <w:keepNext w:val="0"/>
                    <w:keepLines w:val="0"/>
                    <w:suppressLineNumbers w:val="0"/>
                    <w:spacing w:before="0" w:beforeAutospacing="0" w:after="0" w:afterAutospacing="0" w:line="260" w:lineRule="exact"/>
                    <w:ind w:left="0" w:right="0"/>
                    <w:jc w:val="center"/>
                    <w:rPr>
                      <w:rFonts w:hint="default"/>
                    </w:rPr>
                  </w:pPr>
                  <w:r>
                    <w:rPr>
                      <w:rFonts w:hint="default"/>
                    </w:rPr>
                    <w:t>55</w:t>
                  </w:r>
                </w:p>
              </w:tc>
            </w:tr>
          </w:tbl>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snapToGrid w:val="0"/>
                <w:kern w:val="0"/>
                <w:sz w:val="24"/>
                <w:szCs w:val="20"/>
              </w:rPr>
            </w:pPr>
            <w:r>
              <w:rPr>
                <w:rFonts w:hint="default" w:ascii="Calibri" w:hAnsi="Calibri" w:eastAsia="Calibri" w:cs="Calibri"/>
                <w:sz w:val="24"/>
              </w:rPr>
              <w:t>②</w:t>
            </w:r>
            <w:r>
              <w:rPr>
                <w:rFonts w:hint="default" w:ascii="Times New Roman" w:hAnsi="Times New Roman"/>
                <w:snapToGrid w:val="0"/>
                <w:kern w:val="0"/>
                <w:sz w:val="24"/>
                <w:szCs w:val="20"/>
              </w:rPr>
              <w:t>预测点</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snapToGrid w:val="0"/>
                <w:kern w:val="0"/>
                <w:sz w:val="24"/>
                <w:szCs w:val="20"/>
              </w:rPr>
            </w:pPr>
            <w:r>
              <w:rPr>
                <w:rFonts w:hint="default" w:ascii="Times New Roman" w:hAnsi="Times New Roman"/>
                <w:snapToGrid w:val="0"/>
                <w:kern w:val="0"/>
                <w:sz w:val="24"/>
                <w:szCs w:val="20"/>
              </w:rPr>
              <w:t>预测点选择在项目四周厂界。</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snapToGrid w:val="0"/>
                <w:kern w:val="0"/>
                <w:sz w:val="24"/>
                <w:szCs w:val="20"/>
              </w:rPr>
            </w:pPr>
            <w:r>
              <w:rPr>
                <w:rFonts w:hint="default" w:ascii="Calibri" w:hAnsi="Calibri" w:eastAsia="Calibri" w:cs="Calibri"/>
                <w:sz w:val="24"/>
              </w:rPr>
              <w:t>③</w:t>
            </w:r>
            <w:r>
              <w:rPr>
                <w:rFonts w:hint="default" w:ascii="Times New Roman" w:hAnsi="Times New Roman"/>
                <w:snapToGrid w:val="0"/>
                <w:kern w:val="0"/>
                <w:sz w:val="24"/>
                <w:szCs w:val="20"/>
              </w:rPr>
              <w:t>预测模式</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szCs w:val="20"/>
              </w:rPr>
            </w:pPr>
            <w:r>
              <w:rPr>
                <w:rFonts w:hint="default" w:ascii="Times New Roman" w:hAnsi="Times New Roman"/>
                <w:snapToGrid w:val="0"/>
                <w:kern w:val="0"/>
                <w:sz w:val="24"/>
                <w:szCs w:val="20"/>
              </w:rPr>
              <w:t>采取上述隔声降噪措施后，对其噪声影响进行预测。</w:t>
            </w:r>
            <w:r>
              <w:rPr>
                <w:rFonts w:hint="default" w:ascii="Times New Roman" w:hAnsi="Times New Roman"/>
                <w:sz w:val="24"/>
                <w:szCs w:val="20"/>
              </w:rPr>
              <w:t>根据《环境影响评价技术导则-声环境》（HJ2.4-2009）而编写的软件《噪声影响评价系统（NoiseSystem）》，对各厂界噪声环境影响进行预测。</w:t>
            </w:r>
            <w:r>
              <w:rPr>
                <w:rFonts w:hint="default" w:ascii="Times New Roman" w:hAnsi="Times New Roman"/>
                <w:sz w:val="24"/>
              </w:rPr>
              <w:t xml:space="preserve">项目夜间不运行，本项目各厂界噪声贡献值预测结果见表40。 </w:t>
            </w:r>
          </w:p>
          <w:p>
            <w:pPr>
              <w:keepNext w:val="0"/>
              <w:keepLines w:val="0"/>
              <w:suppressLineNumbers w:val="0"/>
              <w:adjustRightInd w:val="0"/>
              <w:snapToGrid w:val="0"/>
              <w:spacing w:before="0" w:beforeAutospacing="0" w:after="0" w:afterAutospacing="0"/>
              <w:ind w:left="0" w:right="0"/>
              <w:jc w:val="center"/>
              <w:rPr>
                <w:rFonts w:hint="default" w:eastAsia="黑体"/>
                <w:sz w:val="24"/>
              </w:rPr>
            </w:pPr>
            <w:r>
              <w:rPr>
                <w:rFonts w:hint="default" w:eastAsia="黑体"/>
                <w:sz w:val="24"/>
              </w:rPr>
              <w:t>表40   噪声影响预测结果（单位：dB(A)）</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449"/>
              <w:gridCol w:w="2409"/>
              <w:gridCol w:w="1556"/>
              <w:gridCol w:w="1559"/>
              <w:gridCol w:w="181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exact"/>
                <w:jc w:val="center"/>
              </w:trPr>
              <w:tc>
                <w:tcPr>
                  <w:tcW w:w="1449"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编号</w:t>
                  </w:r>
                </w:p>
              </w:tc>
              <w:tc>
                <w:tcPr>
                  <w:tcW w:w="2409"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位置</w:t>
                  </w:r>
                </w:p>
              </w:tc>
              <w:tc>
                <w:tcPr>
                  <w:tcW w:w="1556"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背景值</w:t>
                  </w:r>
                </w:p>
              </w:tc>
              <w:tc>
                <w:tcPr>
                  <w:tcW w:w="1559"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贡献值</w:t>
                  </w:r>
                </w:p>
              </w:tc>
              <w:tc>
                <w:tcPr>
                  <w:tcW w:w="1810"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预测值</w:t>
                  </w:r>
                </w:p>
                <w:p>
                  <w:pPr>
                    <w:keepNext w:val="0"/>
                    <w:keepLines w:val="0"/>
                    <w:suppressLineNumbers w:val="0"/>
                    <w:spacing w:before="0" w:beforeAutospacing="0" w:after="0" w:afterAutospacing="0"/>
                    <w:ind w:left="0" w:right="0"/>
                    <w:jc w:val="center"/>
                    <w:rPr>
                      <w:rFonts w:hint="default"/>
                      <w:b/>
                    </w:rPr>
                  </w:pPr>
                  <w:r>
                    <w:rPr>
                      <w:rFonts w:hint="default"/>
                      <w:b/>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exact"/>
                <w:jc w:val="center"/>
              </w:trPr>
              <w:tc>
                <w:tcPr>
                  <w:tcW w:w="144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1</w:t>
                  </w:r>
                </w:p>
              </w:tc>
              <w:tc>
                <w:tcPr>
                  <w:tcW w:w="240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1#东厂界</w:t>
                  </w:r>
                </w:p>
              </w:tc>
              <w:tc>
                <w:tcPr>
                  <w:tcW w:w="1556"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57.6</w:t>
                  </w:r>
                </w:p>
              </w:tc>
              <w:tc>
                <w:tcPr>
                  <w:tcW w:w="1559" w:type="dxa"/>
                  <w:vAlign w:val="center"/>
                </w:tcPr>
                <w:p>
                  <w:pPr>
                    <w:keepNext w:val="0"/>
                    <w:keepLines w:val="0"/>
                    <w:widowControl/>
                    <w:suppressLineNumbers w:val="0"/>
                    <w:spacing w:before="100" w:beforeAutospacing="1" w:after="100" w:afterAutospacing="1"/>
                    <w:ind w:left="0" w:right="0"/>
                    <w:jc w:val="center"/>
                    <w:rPr>
                      <w:rFonts w:hint="default"/>
                      <w:color w:val="000000"/>
                    </w:rPr>
                  </w:pPr>
                  <w:r>
                    <w:rPr>
                      <w:rFonts w:hint="default"/>
                      <w:color w:val="000000"/>
                    </w:rPr>
                    <w:t>51.5</w:t>
                  </w:r>
                </w:p>
              </w:tc>
              <w:tc>
                <w:tcPr>
                  <w:tcW w:w="1810"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exact"/>
                <w:jc w:val="center"/>
              </w:trPr>
              <w:tc>
                <w:tcPr>
                  <w:tcW w:w="144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2</w:t>
                  </w:r>
                </w:p>
              </w:tc>
              <w:tc>
                <w:tcPr>
                  <w:tcW w:w="240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2#南厂界</w:t>
                  </w:r>
                </w:p>
              </w:tc>
              <w:tc>
                <w:tcPr>
                  <w:tcW w:w="1556"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color w:val="000000"/>
                    </w:rPr>
                    <w:t>61.8</w:t>
                  </w:r>
                </w:p>
              </w:tc>
              <w:tc>
                <w:tcPr>
                  <w:tcW w:w="1559" w:type="dxa"/>
                  <w:vAlign w:val="center"/>
                </w:tcPr>
                <w:p>
                  <w:pPr>
                    <w:keepNext w:val="0"/>
                    <w:keepLines w:val="0"/>
                    <w:widowControl/>
                    <w:suppressLineNumbers w:val="0"/>
                    <w:spacing w:before="100" w:beforeAutospacing="1" w:after="100" w:afterAutospacing="1"/>
                    <w:ind w:left="0" w:right="0"/>
                    <w:jc w:val="center"/>
                    <w:rPr>
                      <w:rFonts w:hint="default"/>
                      <w:color w:val="000000"/>
                    </w:rPr>
                  </w:pPr>
                  <w:r>
                    <w:rPr>
                      <w:rFonts w:hint="default"/>
                      <w:color w:val="000000"/>
                    </w:rPr>
                    <w:t>57.7</w:t>
                  </w:r>
                </w:p>
              </w:tc>
              <w:tc>
                <w:tcPr>
                  <w:tcW w:w="1810"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exact"/>
                <w:jc w:val="center"/>
              </w:trPr>
              <w:tc>
                <w:tcPr>
                  <w:tcW w:w="144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3</w:t>
                  </w:r>
                </w:p>
              </w:tc>
              <w:tc>
                <w:tcPr>
                  <w:tcW w:w="240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3#西厂界</w:t>
                  </w:r>
                </w:p>
              </w:tc>
              <w:tc>
                <w:tcPr>
                  <w:tcW w:w="1556"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color w:val="000000"/>
                    </w:rPr>
                    <w:t>62.3</w:t>
                  </w:r>
                </w:p>
              </w:tc>
              <w:tc>
                <w:tcPr>
                  <w:tcW w:w="1559" w:type="dxa"/>
                  <w:vAlign w:val="center"/>
                </w:tcPr>
                <w:p>
                  <w:pPr>
                    <w:keepNext w:val="0"/>
                    <w:keepLines w:val="0"/>
                    <w:widowControl/>
                    <w:suppressLineNumbers w:val="0"/>
                    <w:spacing w:before="100" w:beforeAutospacing="1" w:after="100" w:afterAutospacing="1"/>
                    <w:ind w:left="0" w:right="0"/>
                    <w:jc w:val="center"/>
                    <w:rPr>
                      <w:rFonts w:hint="default"/>
                      <w:color w:val="000000"/>
                    </w:rPr>
                  </w:pPr>
                  <w:r>
                    <w:rPr>
                      <w:rFonts w:hint="default"/>
                      <w:color w:val="000000"/>
                    </w:rPr>
                    <w:t>52.2</w:t>
                  </w:r>
                </w:p>
              </w:tc>
              <w:tc>
                <w:tcPr>
                  <w:tcW w:w="1810"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0" w:hRule="exact"/>
                <w:jc w:val="center"/>
              </w:trPr>
              <w:tc>
                <w:tcPr>
                  <w:tcW w:w="144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4</w:t>
                  </w:r>
                </w:p>
              </w:tc>
              <w:tc>
                <w:tcPr>
                  <w:tcW w:w="2409"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4#北厂界</w:t>
                  </w:r>
                </w:p>
              </w:tc>
              <w:tc>
                <w:tcPr>
                  <w:tcW w:w="1556"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color w:val="000000"/>
                    </w:rPr>
                    <w:t>63.4</w:t>
                  </w:r>
                </w:p>
              </w:tc>
              <w:tc>
                <w:tcPr>
                  <w:tcW w:w="1559" w:type="dxa"/>
                  <w:vAlign w:val="center"/>
                </w:tcPr>
                <w:p>
                  <w:pPr>
                    <w:keepNext w:val="0"/>
                    <w:keepLines w:val="0"/>
                    <w:widowControl/>
                    <w:suppressLineNumbers w:val="0"/>
                    <w:spacing w:before="100" w:beforeAutospacing="1" w:after="100" w:afterAutospacing="1"/>
                    <w:ind w:left="0" w:right="0"/>
                    <w:jc w:val="center"/>
                    <w:rPr>
                      <w:rFonts w:hint="default"/>
                      <w:color w:val="000000"/>
                    </w:rPr>
                  </w:pPr>
                  <w:r>
                    <w:rPr>
                      <w:rFonts w:hint="default"/>
                      <w:color w:val="000000"/>
                    </w:rPr>
                    <w:t>50.8</w:t>
                  </w:r>
                </w:p>
              </w:tc>
              <w:tc>
                <w:tcPr>
                  <w:tcW w:w="1810" w:type="dxa"/>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0" w:hRule="exact"/>
                <w:jc w:val="center"/>
              </w:trPr>
              <w:tc>
                <w:tcPr>
                  <w:tcW w:w="3858" w:type="dxa"/>
                  <w:gridSpan w:val="2"/>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《工业企业厂界环境噪声排放标准》（GB12348-2008）</w:t>
                  </w:r>
                </w:p>
              </w:tc>
              <w:tc>
                <w:tcPr>
                  <w:tcW w:w="4925" w:type="dxa"/>
                  <w:gridSpan w:val="3"/>
                  <w:vAlign w:val="center"/>
                </w:tcPr>
                <w:p>
                  <w:pPr>
                    <w:keepNext w:val="0"/>
                    <w:keepLines w:val="0"/>
                    <w:suppressLineNumbers w:val="0"/>
                    <w:autoSpaceDN w:val="0"/>
                    <w:spacing w:before="0" w:beforeAutospacing="0" w:after="0" w:afterAutospacing="0"/>
                    <w:ind w:left="0" w:right="0"/>
                    <w:jc w:val="center"/>
                    <w:rPr>
                      <w:rFonts w:hint="default"/>
                    </w:rPr>
                  </w:pPr>
                  <w:r>
                    <w:rPr>
                      <w:rFonts w:hint="default"/>
                    </w:rPr>
                    <w:t>昼间：65dB</w:t>
                  </w:r>
                </w:p>
              </w:tc>
            </w:tr>
          </w:tbl>
          <w:p>
            <w:pPr>
              <w:keepNext w:val="0"/>
              <w:keepLines w:val="0"/>
              <w:suppressLineNumbers w:val="0"/>
              <w:autoSpaceDN w:val="0"/>
              <w:spacing w:before="0" w:beforeAutospacing="0" w:after="0" w:afterAutospacing="0" w:line="360" w:lineRule="auto"/>
              <w:ind w:left="0" w:right="0" w:firstLine="480" w:firstLineChars="200"/>
              <w:rPr>
                <w:rFonts w:hint="default"/>
                <w:sz w:val="24"/>
              </w:rPr>
            </w:pPr>
            <w:r>
              <w:rPr>
                <w:rFonts w:hint="default"/>
                <w:sz w:val="24"/>
              </w:rPr>
              <w:t xml:space="preserve">由预测结果可知：采取隔声降噪措施后，项目营运期设备噪声经距离衰减后，昼间噪声贡献值均可以达到《工业企业厂界环境噪声排放标准》（GB12348-2008）中的3类标准要求。 </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4、固废影响分析</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本项目固体废弃物主要包括一般固体废物、生活垃圾和危险废物。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（1）一般固体废物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color w:val="000000"/>
                <w:sz w:val="24"/>
              </w:rPr>
              <w:t>项目维修过程中会产生废旧零部件，产生量约为1t/a，统一收集后外售至废品站。项目维修工序更新零部件会产生废旧包装盒等，产生量为0.2t/a，统一收集后外售至废品站。</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96" w:firstLineChars="200"/>
              <w:rPr>
                <w:rFonts w:hint="default"/>
                <w:spacing w:val="4"/>
                <w:sz w:val="24"/>
              </w:rPr>
            </w:pPr>
            <w:r>
              <w:rPr>
                <w:rFonts w:hint="default"/>
                <w:spacing w:val="4"/>
                <w:sz w:val="24"/>
                <w:szCs w:val="24"/>
              </w:rPr>
              <w:t>（2）</w:t>
            </w:r>
            <w:r>
              <w:rPr>
                <w:rFonts w:hint="default"/>
                <w:spacing w:val="4"/>
                <w:sz w:val="24"/>
              </w:rPr>
              <w:t>生活垃圾</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96" w:firstLineChars="200"/>
              <w:rPr>
                <w:rFonts w:hint="default"/>
                <w:sz w:val="24"/>
              </w:rPr>
            </w:pPr>
            <w:r>
              <w:rPr>
                <w:rFonts w:hint="default"/>
                <w:spacing w:val="4"/>
                <w:sz w:val="24"/>
              </w:rPr>
              <w:t>厂区共定员54人，</w:t>
            </w:r>
            <w:r>
              <w:rPr>
                <w:rFonts w:hint="default"/>
                <w:sz w:val="24"/>
              </w:rPr>
              <w:t xml:space="preserve">生活垃圾产生量按0.5kg/人·d，则生活垃圾产生量为27kg/d，全年产生9.855t，统一交由环卫部门处置。 </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（3）危险废物：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sz w:val="24"/>
              </w:rPr>
              <w:t>项目废有机溶剂桶产生量为2t/a，属于危险废物HW49，代码为900-041-49；飞机维修时产生的废机油以及沾染机油的废抹布、手套等，年产生量约为0.5t/a，属于危险废物HW08，代码为900-214-08</w:t>
            </w:r>
            <w:r>
              <w:rPr>
                <w:rFonts w:hint="eastAsia"/>
                <w:sz w:val="24"/>
              </w:rPr>
              <w:t>。</w:t>
            </w:r>
            <w:r>
              <w:rPr>
                <w:rFonts w:hint="default"/>
                <w:sz w:val="24"/>
              </w:rPr>
              <w:t>项目清洗废水经过滤棉预处理后排入机场污水处理厂，废过滤棉（含杂质）产生量为0.8t/a，属于危险废物HW08，代码为900-210-08</w:t>
            </w:r>
            <w:r>
              <w:rPr>
                <w:rFonts w:hint="eastAsia"/>
                <w:sz w:val="24"/>
              </w:rPr>
              <w:t>。</w:t>
            </w:r>
            <w:r>
              <w:rPr>
                <w:rFonts w:hint="default"/>
                <w:sz w:val="24"/>
              </w:rPr>
              <w:t>项目喷漆产生的漆雾采用干式过滤器进行处理，</w:t>
            </w:r>
            <w:r>
              <w:rPr>
                <w:rFonts w:hint="eastAsia"/>
                <w:sz w:val="24"/>
              </w:rPr>
              <w:t>滤芯</w:t>
            </w:r>
            <w:r>
              <w:rPr>
                <w:rFonts w:hint="default"/>
                <w:sz w:val="24"/>
              </w:rPr>
              <w:t>（含漆渣）要求定期更换，废</w:t>
            </w:r>
            <w:r>
              <w:rPr>
                <w:rFonts w:hint="eastAsia"/>
                <w:sz w:val="24"/>
              </w:rPr>
              <w:t>滤芯</w:t>
            </w:r>
            <w:r>
              <w:rPr>
                <w:rFonts w:hint="default"/>
                <w:sz w:val="24"/>
              </w:rPr>
              <w:t>（含漆渣）产生量为3.4992t/a</w:t>
            </w:r>
            <w:r>
              <w:rPr>
                <w:rFonts w:hint="eastAsia"/>
                <w:sz w:val="24"/>
              </w:rPr>
              <w:t>；</w:t>
            </w:r>
            <w:r>
              <w:rPr>
                <w:rFonts w:hint="default"/>
                <w:sz w:val="24"/>
              </w:rPr>
              <w:t>项目打磨过程采用</w:t>
            </w:r>
            <w:r>
              <w:rPr>
                <w:rFonts w:hint="eastAsia"/>
                <w:sz w:val="24"/>
              </w:rPr>
              <w:t>干式</w:t>
            </w:r>
            <w:r>
              <w:rPr>
                <w:rFonts w:hint="default"/>
                <w:sz w:val="24"/>
              </w:rPr>
              <w:t>过滤器进行过滤，滤芯要求定期更换清理</w:t>
            </w:r>
            <w:r>
              <w:rPr>
                <w:rFonts w:hint="eastAsia"/>
                <w:sz w:val="24"/>
              </w:rPr>
              <w:t>，</w:t>
            </w:r>
            <w:r>
              <w:rPr>
                <w:rFonts w:hint="default"/>
                <w:sz w:val="24"/>
              </w:rPr>
              <w:t>废滤芯产生量（含</w:t>
            </w:r>
            <w:r>
              <w:rPr>
                <w:rFonts w:hint="eastAsia"/>
                <w:sz w:val="24"/>
              </w:rPr>
              <w:t>漆</w:t>
            </w:r>
            <w:r>
              <w:rPr>
                <w:rFonts w:hint="default"/>
                <w:sz w:val="24"/>
              </w:rPr>
              <w:t>粉尘）为1.7t/a，</w:t>
            </w:r>
            <w:r>
              <w:rPr>
                <w:rFonts w:hint="eastAsia"/>
                <w:sz w:val="24"/>
              </w:rPr>
              <w:t>含漆渣废滤芯和含漆粉尘废滤芯均</w:t>
            </w:r>
            <w:r>
              <w:rPr>
                <w:rFonts w:hint="default"/>
                <w:sz w:val="24"/>
              </w:rPr>
              <w:t>属于危险废物HW12，代码为900-251-12</w:t>
            </w:r>
            <w:r>
              <w:rPr>
                <w:rFonts w:hint="eastAsia"/>
                <w:sz w:val="24"/>
              </w:rPr>
              <w:t>。</w:t>
            </w:r>
            <w:r>
              <w:rPr>
                <w:rFonts w:hint="default"/>
                <w:sz w:val="24"/>
              </w:rPr>
              <w:t>项目废活性炭产生量约14.2199t/a，属于危险废物HW49，代码为900-041-49。所有危险废物</w:t>
            </w:r>
            <w:r>
              <w:rPr>
                <w:rFonts w:hint="default"/>
                <w:color w:val="000000" w:themeColor="text1"/>
                <w:sz w:val="24"/>
                <w14:textFill>
                  <w14:solidFill>
                    <w14:schemeClr w14:val="tx1"/>
                  </w14:solidFill>
                </w14:textFill>
              </w:rPr>
              <w:t>要求按照《危险废物贮存污染控制标准》（GB18597-2001）及其修改单中相关规定进行临时储存，本项目</w:t>
            </w:r>
            <w:r>
              <w:rPr>
                <w:rFonts w:hint="default"/>
                <w:sz w:val="24"/>
              </w:rPr>
              <w:t>依托维修基地危废暂存设施暂存后，统一交由有资质单位处理。</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2" w:firstLineChars="200"/>
              <w:rPr>
                <w:rFonts w:hint="default"/>
                <w:sz w:val="24"/>
              </w:rPr>
            </w:pPr>
            <w:r>
              <w:rPr>
                <w:rFonts w:hint="default"/>
                <w:b/>
                <w:color w:val="000000" w:themeColor="text1"/>
                <w:sz w:val="24"/>
                <w14:textFill>
                  <w14:solidFill>
                    <w14:schemeClr w14:val="tx1"/>
                  </w14:solidFill>
                </w14:textFill>
              </w:rPr>
              <w:t>危废暂存间依托可行性分析：</w:t>
            </w:r>
          </w:p>
          <w:p>
            <w:pPr>
              <w:keepNext w:val="0"/>
              <w:keepLines w:val="0"/>
              <w:suppressLineNumbers w:val="0"/>
              <w:spacing w:before="0" w:beforeAutospacing="0" w:after="0" w:afterAutospacing="0" w:line="520" w:lineRule="exact"/>
              <w:ind w:left="0" w:right="0" w:firstLine="480" w:firstLineChars="200"/>
              <w:rPr>
                <w:rFonts w:hint="default"/>
                <w:b/>
                <w:color w:val="000000" w:themeColor="text1"/>
                <w:sz w:val="24"/>
                <w14:textFill>
                  <w14:solidFill>
                    <w14:schemeClr w14:val="tx1"/>
                  </w14:solidFill>
                </w14:textFill>
              </w:rPr>
            </w:pPr>
            <w:r>
              <w:rPr>
                <w:rFonts w:hint="default" w:ascii="Calibri" w:hAnsi="Calibri" w:eastAsia="Calibri" w:cs="Calibri"/>
                <w:color w:val="000000" w:themeColor="text1"/>
                <w:sz w:val="24"/>
                <w14:textFill>
                  <w14:solidFill>
                    <w14:schemeClr w14:val="tx1"/>
                  </w14:solidFill>
                </w14:textFill>
              </w:rPr>
              <w:t>①</w:t>
            </w:r>
            <w:r>
              <w:rPr>
                <w:rFonts w:hint="default"/>
                <w:color w:val="000000" w:themeColor="text1"/>
                <w:sz w:val="24"/>
                <w14:textFill>
                  <w14:solidFill>
                    <w14:schemeClr w14:val="tx1"/>
                  </w14:solidFill>
                </w14:textFill>
              </w:rPr>
              <w:t>危险废物贮存设施(仓库式)的设计原则</w:t>
            </w:r>
          </w:p>
          <w:p>
            <w:pPr>
              <w:keepNext w:val="0"/>
              <w:keepLines w:val="0"/>
              <w:suppressLineNumbers w:val="0"/>
              <w:spacing w:before="0" w:beforeAutospacing="0" w:after="0" w:afterAutospacing="0" w:line="520" w:lineRule="exact"/>
              <w:ind w:left="0" w:right="0" w:firstLine="480" w:firstLineChars="200"/>
              <w:rPr>
                <w:rFonts w:hint="default"/>
                <w:b/>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A、地面与裙脚要用坚固、防渗的材料建造，建筑材料必须与危险废物相容。</w:t>
            </w:r>
          </w:p>
          <w:p>
            <w:pPr>
              <w:keepNext w:val="0"/>
              <w:keepLines w:val="0"/>
              <w:suppressLineNumbers w:val="0"/>
              <w:spacing w:before="0" w:beforeAutospacing="0" w:after="0" w:afterAutospacing="0" w:line="520" w:lineRule="exact"/>
              <w:ind w:left="0" w:right="0" w:firstLine="480" w:firstLineChars="200"/>
              <w:rPr>
                <w:rFonts w:hint="default"/>
                <w:b/>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B、必须有泄漏液体收集装置、气体导出口及气体净化装置。</w:t>
            </w:r>
          </w:p>
          <w:p>
            <w:pPr>
              <w:keepNext w:val="0"/>
              <w:keepLines w:val="0"/>
              <w:suppressLineNumbers w:val="0"/>
              <w:spacing w:before="0" w:beforeAutospacing="0" w:after="0" w:afterAutospacing="0" w:line="520" w:lineRule="exact"/>
              <w:ind w:left="0" w:right="0" w:firstLine="480" w:firstLineChars="200"/>
              <w:rPr>
                <w:rFonts w:hint="default"/>
                <w:b/>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C、设施内要有安全照明设施和观察窗口。</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D、用以存放装载液体、半固体危险废物容器的地方，必须有耐腐蚀的硬化地面，且表面无裂隙。</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60" w:firstLineChars="200"/>
              <w:rPr>
                <w:rFonts w:hint="default"/>
                <w:color w:val="000000" w:themeColor="text1"/>
                <w:sz w:val="24"/>
                <w14:textFill>
                  <w14:solidFill>
                    <w14:schemeClr w14:val="tx1"/>
                  </w14:solidFill>
                </w14:textFill>
              </w:rPr>
            </w:pPr>
            <w:r>
              <w:rPr>
                <w:rFonts w:hint="default"/>
                <w:color w:val="000000"/>
                <w:kern w:val="0"/>
                <w:sz w:val="23"/>
                <w:szCs w:val="23"/>
              </w:rPr>
              <w:t>E、应设计堵截泄漏的裙脚，地面与裙脚所围建的容积不低于堵截最大容器的最大储量或总储量的五分之一。</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F、不相容的危险废物必须分开存放，并设有隔离间隔断。</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ascii="Calibri" w:hAnsi="Calibri" w:eastAsia="Calibri" w:cs="Calibri"/>
                <w:sz w:val="24"/>
              </w:rPr>
              <w:t>②</w:t>
            </w:r>
            <w:r>
              <w:rPr>
                <w:rFonts w:hint="default"/>
                <w:sz w:val="24"/>
              </w:rPr>
              <w:t>危险废物的堆放</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A、基础必须防渗，防渗层为至少1m厚粘土层（渗透系数≤10-7cm/s），或2mm厚高密度聚乙烯，或至少2mm厚的其它人工材料，渗透系数≤10-10cm/s；</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B、堆放危险废物的高度应根据地面承载能力确定；</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C、衬里放在一个基础或底座上；</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D、衬里要能够覆盖危险废物或其溶出物可能涉及到的范围；</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E、衬里材料与堆放危险废物相容；</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F、在衬里上设计、建造浸出液收集清除系统；</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G、应设计建造径流疏导系统，保证能防止25年一遇的暴雨不会流到危险废物堆里；</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H、危险废物堆内设计雨水收集池，并能收集25年一遇的暴雨24小时降水量；</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I、危险废物堆要防风、防雨、防晒；</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G、产生量大的危险废物可以散装方式堆放贮存在按上述要求设计的废物堆里；</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K、不相容的危险废物不能堆放在一起；</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L、总贮存量不超过300kg(L)的危险废物要放入符合标准的容器内，加上标签，容器放入坚固的柜或箱中，柜或箱应设多个直径不少于30mm的排气孔。不相容危险废物要分别存放或存放在不渗透间隔分开的区域内，每个部分都应有防漏裙脚或储漏盘，防漏裙脚或储漏盘的材料要与危险废物相容。</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ascii="Calibri" w:hAnsi="Calibri" w:eastAsia="Calibri" w:cs="Calibri"/>
                <w:color w:val="000000" w:themeColor="text1"/>
                <w:sz w:val="24"/>
                <w14:textFill>
                  <w14:solidFill>
                    <w14:schemeClr w14:val="tx1"/>
                  </w14:solidFill>
                </w14:textFill>
              </w:rPr>
              <w:t>③</w:t>
            </w:r>
            <w:r>
              <w:rPr>
                <w:rFonts w:hint="default"/>
                <w:color w:val="000000" w:themeColor="text1"/>
                <w:sz w:val="24"/>
                <w14:textFill>
                  <w14:solidFill>
                    <w14:schemeClr w14:val="tx1"/>
                  </w14:solidFill>
                </w14:textFill>
              </w:rPr>
              <w:t>现有危废暂存间概况</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维修基地现有危废暂存间位于维修基地的西侧大门旁，用于暂存整个维修基地的危险废物。该危废暂存间占地约50m</w:t>
            </w:r>
            <w:r>
              <w:rPr>
                <w:rFonts w:hint="default"/>
                <w:color w:val="000000" w:themeColor="text1"/>
                <w:sz w:val="24"/>
                <w:vertAlign w:val="superscript"/>
                <w14:textFill>
                  <w14:solidFill>
                    <w14:schemeClr w14:val="tx1"/>
                  </w14:solidFill>
                </w14:textFill>
              </w:rPr>
              <w:t>2</w:t>
            </w:r>
            <w:r>
              <w:rPr>
                <w:rFonts w:hint="default"/>
                <w:color w:val="000000" w:themeColor="text1"/>
                <w:sz w:val="24"/>
                <w14:textFill>
                  <w14:solidFill>
                    <w14:schemeClr w14:val="tx1"/>
                  </w14:solidFill>
                </w14:textFill>
              </w:rPr>
              <w:t>，主体结构为砖混结构，轻量化彩钢屋顶，地面为混凝土地面，已签订危废处置协议。现有危废暂存间在以下问题需整改：</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A、地面仅用混凝土硬化，无其他防渗措施；</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auto"/>
                <w:sz w:val="24"/>
              </w:rPr>
            </w:pPr>
            <w:r>
              <w:rPr>
                <w:rFonts w:hint="default"/>
                <w:color w:val="auto"/>
                <w:sz w:val="24"/>
              </w:rPr>
              <w:t>B、地面无导流槽，无防渗裙角等。</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ascii="Calibri" w:hAnsi="Calibri" w:eastAsia="Calibri" w:cs="Calibri"/>
                <w:sz w:val="24"/>
              </w:rPr>
              <w:t>④</w:t>
            </w:r>
            <w:r>
              <w:rPr>
                <w:rFonts w:hint="default"/>
                <w:sz w:val="24"/>
              </w:rPr>
              <w:t>整改措施</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A、基础防渗，建议防渗层为2mm厚高密度聚乙烯，或至少2mm厚的其它人工材料，渗透系数≤10</w:t>
            </w:r>
            <w:r>
              <w:rPr>
                <w:rFonts w:hint="default"/>
                <w:sz w:val="24"/>
                <w:vertAlign w:val="superscript"/>
              </w:rPr>
              <w:t>-10</w:t>
            </w:r>
            <w:r>
              <w:rPr>
                <w:rFonts w:hint="default"/>
                <w:sz w:val="24"/>
              </w:rPr>
              <w:t>cm/s；材料必须与危险废物相容；</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B、危险废物储存场所做到“五防”（即防风、防雨、防晒、防渗漏、防流失），同时要做到专人管理，制度健全；分类存放，设置警示标志；</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C、应设计堵截泄漏的裙脚，地面与裙脚所围建的容积不低于堵截最大容器的最大储量或总储量的五分之一；</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D、不相容的危险废物必须分开存放，并设有隔离间隔断；</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E、设置符合要求的专用危废贮存场所和贮存容器。严禁与其他一般性工业固废混合存放；</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F、其余依照《危险废物贮存污染控制标准》（GB18597-2001）及修改单的要求进行更细致整改。</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现有危废暂存间整改达标后，本项目可利用现有的危险废物暂存间，用于危险废物的临时堆存，不同危险废物贮存装置明显标识。定期对所贮存的危险废物包装容器及贮存设施进行检查，发现破损，应及时采取措施清理更换。环评要求危险废物交由有危险废物处理资质的单位定期处理。同时应严格按照《危险废物转移联单管理办法》的相关要求建立危险废物转移联单制度，保证危废得到安全合理处置。危废不外排，对周围环境影响很小。</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sz w:val="24"/>
              </w:rPr>
            </w:pPr>
            <w:r>
              <w:rPr>
                <w:rFonts w:hint="default"/>
                <w:sz w:val="24"/>
              </w:rPr>
              <w:t>综上所述，本项目产生的各类固废均得到合理的处理处置，对周围环境影响较小。</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5、土壤环境影响分析</w:t>
            </w:r>
          </w:p>
          <w:p>
            <w:pPr>
              <w:keepNext w:val="0"/>
              <w:keepLines w:val="0"/>
              <w:widowControl/>
              <w:suppressLineNumbers w:val="0"/>
              <w:autoSpaceDN w:val="0"/>
              <w:spacing w:before="50" w:beforeAutospacing="0" w:after="0" w:afterAutospacing="0" w:line="520" w:lineRule="exact"/>
              <w:ind w:left="0" w:right="0" w:firstLine="480" w:firstLineChars="200"/>
              <w:rPr>
                <w:rFonts w:hint="default"/>
                <w:kern w:val="0"/>
                <w:sz w:val="24"/>
              </w:rPr>
            </w:pPr>
            <w:r>
              <w:rPr>
                <w:rFonts w:hint="default"/>
                <w:kern w:val="0"/>
                <w:sz w:val="24"/>
              </w:rPr>
              <w:t>根据工程分析，项目在运营期将产生废水、废气、噪声和固体废物，属于污染影响型项目。根据附录A，本项目属于使用有机涂层，为I类项目。项目占地面积4790m</w:t>
            </w:r>
            <w:r>
              <w:rPr>
                <w:rFonts w:hint="default"/>
                <w:kern w:val="0"/>
                <w:sz w:val="24"/>
                <w:vertAlign w:val="superscript"/>
              </w:rPr>
              <w:t>2</w:t>
            </w:r>
            <w:r>
              <w:rPr>
                <w:rFonts w:hint="default"/>
                <w:kern w:val="0"/>
                <w:sz w:val="24"/>
              </w:rPr>
              <w:t>，为小型占地。本项目产生的污染主要为喷漆及烘干废气经排气筒排放后可通过大气沉降到土壤。根据估算模型计算结果，排气筒最大落地浓度对应下风向距离为115m。根据土地利用规划图，项目下风向范围内用地类型为建设用地，项目敏感程度可判定为不敏感。项目土壤环境影响评价等级为二级。</w:t>
            </w:r>
          </w:p>
          <w:p>
            <w:pPr>
              <w:pStyle w:val="139"/>
              <w:keepNext w:val="0"/>
              <w:keepLines w:val="0"/>
              <w:suppressLineNumbers w:val="0"/>
              <w:spacing w:before="0" w:beforeAutospacing="0" w:after="0" w:afterAutospacing="0" w:line="520" w:lineRule="exact"/>
              <w:ind w:left="0" w:right="0" w:firstLineChars="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本项目所在地为建设用地，项目区土壤理化特性调查见下表。</w:t>
            </w:r>
          </w:p>
          <w:p>
            <w:pPr>
              <w:pStyle w:val="92"/>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表41   土壤理化特性调查表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81"/>
              <w:gridCol w:w="2410"/>
              <w:gridCol w:w="1180"/>
              <w:gridCol w:w="41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671"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点号</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1#厂界外上风向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671"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经纬度</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E108°46′11.11″   N34°26′55.40″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671"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层次</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现场记录</w:t>
                  </w: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颜色</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灰棕</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结构</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深层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质地</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团粒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砂砾含量</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其他异物</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少量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实验室测定</w:t>
                  </w: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pH值</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阳离子交换量</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10.1cmol/kg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氧化还原电位</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386mV</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土壤容重</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1.44g/cm</w:t>
                  </w:r>
                  <w:r>
                    <w:rPr>
                      <w:rFonts w:hint="default"/>
                      <w:color w:val="000000" w:themeColor="text1"/>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359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孔隙度</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47.1%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31"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2410" w:type="dxa"/>
                  <w:vMerge w:val="restart"/>
                  <w:tcBorders>
                    <w:right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饱和导水率</w:t>
                  </w:r>
                </w:p>
              </w:tc>
              <w:tc>
                <w:tcPr>
                  <w:tcW w:w="1180" w:type="dxa"/>
                  <w:tcBorders>
                    <w:left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w:t>
                  </w:r>
                  <w:r>
                    <w:rPr>
                      <w:rFonts w:hint="default"/>
                      <w:color w:val="000000" w:themeColor="text1"/>
                      <w:vertAlign w:val="subscript"/>
                      <w14:textFill>
                        <w14:solidFill>
                          <w14:schemeClr w14:val="tx1"/>
                        </w14:solidFill>
                      </w14:textFill>
                    </w:rPr>
                    <w:t>V</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7.63×10</w:t>
                  </w:r>
                  <w:r>
                    <w:rPr>
                      <w:rFonts w:hint="default"/>
                      <w:color w:val="000000" w:themeColor="text1"/>
                      <w:vertAlign w:val="superscript"/>
                      <w14:textFill>
                        <w14:solidFill>
                          <w14:schemeClr w14:val="tx1"/>
                        </w14:solidFill>
                      </w14:textFill>
                    </w:rPr>
                    <w:t>-6</w:t>
                  </w:r>
                  <w:r>
                    <w:rPr>
                      <w:rFonts w:hint="default"/>
                      <w:color w:val="000000" w:themeColor="text1"/>
                      <w14:textFill>
                        <w14:solidFill>
                          <w14:schemeClr w14:val="tx1"/>
                        </w14:solidFill>
                      </w14:textFill>
                    </w:rPr>
                    <w:t>cm/s</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31" w:hRule="atLeast"/>
                <w:jc w:val="center"/>
              </w:trPr>
              <w:tc>
                <w:tcPr>
                  <w:tcW w:w="1081" w:type="dxa"/>
                  <w:vMerge w:val="continue"/>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2410" w:type="dxa"/>
                  <w:vMerge w:val="continue"/>
                  <w:tcBorders>
                    <w:right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180" w:type="dxa"/>
                  <w:tcBorders>
                    <w:left w:val="single" w:color="000000"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K</w:t>
                  </w:r>
                  <w:r>
                    <w:rPr>
                      <w:rFonts w:hint="default"/>
                      <w:color w:val="000000" w:themeColor="text1"/>
                      <w:vertAlign w:val="subscript"/>
                      <w14:textFill>
                        <w14:solidFill>
                          <w14:schemeClr w14:val="tx1"/>
                        </w14:solidFill>
                      </w14:textFill>
                    </w:rPr>
                    <w:t>H</w:t>
                  </w:r>
                </w:p>
              </w:tc>
              <w:tc>
                <w:tcPr>
                  <w:tcW w:w="411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9.07×10</w:t>
                  </w:r>
                  <w:r>
                    <w:rPr>
                      <w:rFonts w:hint="default"/>
                      <w:color w:val="000000" w:themeColor="text1"/>
                      <w:vertAlign w:val="superscript"/>
                      <w14:textFill>
                        <w14:solidFill>
                          <w14:schemeClr w14:val="tx1"/>
                        </w14:solidFill>
                      </w14:textFill>
                    </w:rPr>
                    <w:t>-6</w:t>
                  </w:r>
                  <w:r>
                    <w:rPr>
                      <w:rFonts w:hint="default"/>
                      <w:color w:val="000000" w:themeColor="text1"/>
                      <w14:textFill>
                        <w14:solidFill>
                          <w14:schemeClr w14:val="tx1"/>
                        </w14:solidFill>
                      </w14:textFill>
                    </w:rPr>
                    <w:t xml:space="preserve"> cm/s</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（2）预测与评价：</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单位质量土壤中某种物质的增量可用下式计算：</w:t>
            </w:r>
          </w:p>
          <w:p>
            <w:pPr>
              <w:keepNext w:val="0"/>
              <w:keepLines w:val="0"/>
              <w:suppressLineNumbers w:val="0"/>
              <w:spacing w:before="0" w:beforeAutospacing="0" w:after="0" w:afterAutospacing="0"/>
              <w:ind w:left="0" w:right="0" w:firstLine="480" w:firstLineChars="20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drawing>
                <wp:inline distT="0" distB="0" distL="0" distR="0">
                  <wp:extent cx="2705100" cy="3111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2"/>
                          <a:srcRect l="6402" t="6014" r="7329" b="9942"/>
                          <a:stretch>
                            <a:fillRect/>
                          </a:stretch>
                        </pic:blipFill>
                        <pic:spPr>
                          <a:xfrm>
                            <a:off x="0" y="0"/>
                            <a:ext cx="2750172" cy="316893"/>
                          </a:xfrm>
                          <a:prstGeom prst="rect">
                            <a:avLst/>
                          </a:prstGeom>
                          <a:ln>
                            <a:noFill/>
                          </a:ln>
                        </pic:spPr>
                      </pic:pic>
                    </a:graphicData>
                  </a:graphic>
                </wp:inline>
              </w:drawing>
            </w:r>
            <w:r>
              <w:rPr>
                <w:rFonts w:hint="default"/>
                <w:color w:val="000000" w:themeColor="text1"/>
                <w:sz w:val="24"/>
                <w:szCs w:val="24"/>
                <w14:textFill>
                  <w14:solidFill>
                    <w14:schemeClr w14:val="tx1"/>
                  </w14:solidFill>
                </w14:textFill>
              </w:rPr>
              <w:t xml:space="preserve"> </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式中：</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mc:AlternateContent>
                <mc:Choice Requires="wps">
                  <w:drawing>
                    <wp:inline distT="0" distB="0" distL="0" distR="0">
                      <wp:extent cx="200660" cy="200660"/>
                      <wp:effectExtent l="0" t="0" r="0" b="0"/>
                      <wp:docPr id="7" name="矩形 7" descr="//var/folders/t_/dd0r4s5s1hl3xk3p6qgw4bxh0000gp/T/com.kingsoft.wpsoffice.mac/wps-guhiroshi/ksohtml/wpsskFnCa.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0660" cy="20066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var/folders/t_/dd0r4s5s1hl3xk3p6qgw4bxh0000gp/T/com.kingsoft.wpsoffice.mac/wps-guhiroshi/ksohtml/wpsskFnCa.png" style="height:15.8pt;width:15.8pt;" filled="f" stroked="f" coordsize="21600,21600" o:gfxdata="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37TQ60wAAAAMBAAAPAAAAAAAAAAEAIAAAACIAAABkcnMvZG93&#10;bnJldi54bWxQSwECFAAUAAAACACHTuJA/RtqXj4CAAA6BAAADgAAAAAAAAABACAAAAAiAQAAZHJz&#10;L2Uyb0RvYy54bWxQSwUGAAAAAAYABgBZAQAA0gUAAAAA&#10;">
                      <v:fill on="f" focussize="0,0"/>
                      <v:stroke on="f"/>
                      <v:imagedata o:title=""/>
                      <o:lock v:ext="edit" aspectratio="t"/>
                      <w10:wrap type="none"/>
                      <w10:anchorlock/>
                    </v:rect>
                  </w:pict>
                </mc:Fallback>
              </mc:AlternateContent>
            </w:r>
            <w:r>
              <w:rPr>
                <w:rFonts w:hint="default"/>
                <w:color w:val="000000" w:themeColor="text1"/>
                <w:sz w:val="24"/>
                <w:szCs w:val="24"/>
                <w14:textFill>
                  <w14:solidFill>
                    <w14:schemeClr w14:val="tx1"/>
                  </w14:solidFill>
                </w14:textFill>
              </w:rPr>
              <w:t>S——单位质量表层土壤中某种物质的增量，g/kg；</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 xml:space="preserve">       表层上壤中游离酸或游离碱浓度增量，mmol/kg；</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Is——预测评价范围内单位年份表层土壤中某种物质的输入量，g；</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Ls——预测评价范围内单位年份表层土壤中某种物质经淋溶排出的量，g；</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Rs——预测评价范围内单位年份表层上壤中某种物质经径流排出的量，g；</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i/>
                <w:iCs/>
                <w:color w:val="000000" w:themeColor="text1"/>
                <w:sz w:val="24"/>
                <w:szCs w:val="24"/>
                <w14:textFill>
                  <w14:solidFill>
                    <w14:schemeClr w14:val="tx1"/>
                  </w14:solidFill>
                </w14:textFill>
              </w:rPr>
              <w:t>ρ</w:t>
            </w:r>
            <w:r>
              <w:rPr>
                <w:rFonts w:hint="default"/>
                <w:i/>
                <w:iCs/>
                <w:color w:val="000000" w:themeColor="text1"/>
                <w:sz w:val="24"/>
                <w:szCs w:val="24"/>
                <w:vertAlign w:val="subscript"/>
                <w14:textFill>
                  <w14:solidFill>
                    <w14:schemeClr w14:val="tx1"/>
                  </w14:solidFill>
                </w14:textFill>
              </w:rPr>
              <w:t>b</w:t>
            </w:r>
            <w:r>
              <w:rPr>
                <w:rFonts w:hint="default"/>
                <w:color w:val="000000" w:themeColor="text1"/>
                <w:sz w:val="24"/>
                <w:szCs w:val="24"/>
                <w14:textFill>
                  <w14:solidFill>
                    <w14:schemeClr w14:val="tx1"/>
                  </w14:solidFill>
                </w14:textFill>
              </w:rPr>
              <w:t>——表层土壤容重，kg/m</w:t>
            </w:r>
            <w:r>
              <w:rPr>
                <w:rFonts w:hint="default"/>
                <w:color w:val="000000" w:themeColor="text1"/>
                <w:sz w:val="24"/>
                <w:szCs w:val="24"/>
                <w:vertAlign w:val="superscript"/>
                <w14:textFill>
                  <w14:solidFill>
                    <w14:schemeClr w14:val="tx1"/>
                  </w14:solidFill>
                </w14:textFill>
              </w:rPr>
              <w:t>3</w:t>
            </w:r>
            <w:r>
              <w:rPr>
                <w:rFonts w:hint="default"/>
                <w:color w:val="000000" w:themeColor="text1"/>
                <w:sz w:val="24"/>
                <w:szCs w:val="24"/>
                <w14:textFill>
                  <w14:solidFill>
                    <w14:schemeClr w14:val="tx1"/>
                  </w14:solidFill>
                </w14:textFill>
              </w:rPr>
              <w:t>；取 1440 ；</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A——预测评价范围，m</w:t>
            </w:r>
            <w:r>
              <w:rPr>
                <w:rFonts w:hint="default"/>
                <w:color w:val="000000" w:themeColor="text1"/>
                <w:sz w:val="24"/>
                <w:szCs w:val="24"/>
                <w:vertAlign w:val="superscript"/>
                <w14:textFill>
                  <w14:solidFill>
                    <w14:schemeClr w14:val="tx1"/>
                  </w14:solidFill>
                </w14:textFill>
              </w:rPr>
              <w:t>2</w:t>
            </w:r>
            <w:r>
              <w:rPr>
                <w:rFonts w:hint="default"/>
                <w:color w:val="000000" w:themeColor="text1"/>
                <w:sz w:val="24"/>
                <w:szCs w:val="24"/>
                <w14:textFill>
                  <w14:solidFill>
                    <w14:schemeClr w14:val="tx1"/>
                  </w14:solidFill>
                </w14:textFill>
              </w:rPr>
              <w:t>；</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D——表层土壤深度，一般取0.2m，可根据实际情况适当调整；</w:t>
            </w:r>
          </w:p>
          <w:p>
            <w:pPr>
              <w:keepNext w:val="0"/>
              <w:keepLines w:val="0"/>
              <w:suppressLineNumbers w:val="0"/>
              <w:spacing w:before="0" w:beforeAutospacing="0" w:after="0" w:afterAutospacing="0" w:line="520" w:lineRule="exact"/>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n——持续年份，a，取20年。</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b）单位质量土壤中某种物质的预测值可根据其增量叠加现状值进行计算，如下式：</w:t>
            </w:r>
          </w:p>
          <w:p>
            <w:pPr>
              <w:keepNext w:val="0"/>
              <w:keepLines w:val="0"/>
              <w:suppressLineNumbers w:val="0"/>
              <w:spacing w:before="0" w:beforeAutospacing="0" w:after="0" w:afterAutospacing="0"/>
              <w:ind w:left="0" w:right="0" w:firstLine="480" w:firstLineChars="20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drawing>
                <wp:inline distT="0" distB="0" distL="0" distR="0">
                  <wp:extent cx="1580515" cy="3886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3"/>
                          <a:srcRect l="10873" t="2311" r="22323" b="632"/>
                          <a:stretch>
                            <a:fillRect/>
                          </a:stretch>
                        </pic:blipFill>
                        <pic:spPr>
                          <a:xfrm>
                            <a:off x="0" y="0"/>
                            <a:ext cx="1648212" cy="405548"/>
                          </a:xfrm>
                          <a:prstGeom prst="rect">
                            <a:avLst/>
                          </a:prstGeom>
                          <a:ln>
                            <a:noFill/>
                          </a:ln>
                        </pic:spPr>
                      </pic:pic>
                    </a:graphicData>
                  </a:graphic>
                </wp:inline>
              </w:drawing>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式中：Sb——单位质量土壤中某种物质的现状值，g/kg；</w:t>
            </w:r>
          </w:p>
          <w:p>
            <w:pPr>
              <w:keepNext w:val="0"/>
              <w:keepLines w:val="0"/>
              <w:suppressLineNumbers w:val="0"/>
              <w:spacing w:before="0" w:beforeAutospacing="0" w:after="0" w:afterAutospacing="0" w:line="520" w:lineRule="exact"/>
              <w:ind w:left="0" w:right="0" w:firstLine="1200" w:firstLineChars="5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S——单位质量土壤中某种物质的预测值，g/kg。</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14:textFill>
                  <w14:solidFill>
                    <w14:schemeClr w14:val="tx1"/>
                  </w14:solidFill>
                </w14:textFill>
              </w:rPr>
              <w:t>根据工程分析，项目污染物中最大排放浓度为非甲烷总烃9.03mg/m</w:t>
            </w:r>
            <w:r>
              <w:rPr>
                <w:rFonts w:hint="default" w:ascii="Times New Roman" w:hAnsi="Times New Roman"/>
                <w:color w:val="000000" w:themeColor="text1"/>
                <w:kern w:val="2"/>
                <w:vertAlign w:val="superscript"/>
                <w14:textFill>
                  <w14:solidFill>
                    <w14:schemeClr w14:val="tx1"/>
                  </w14:solidFill>
                </w14:textFill>
              </w:rPr>
              <w:t>3</w:t>
            </w:r>
            <w:r>
              <w:rPr>
                <w:rFonts w:hint="default" w:ascii="Times New Roman" w:hAnsi="Times New Roman"/>
                <w:color w:val="000000" w:themeColor="text1"/>
                <w:kern w:val="2"/>
                <w14:textFill>
                  <w14:solidFill>
                    <w14:schemeClr w14:val="tx1"/>
                  </w14:solidFill>
                </w14:textFill>
              </w:rPr>
              <w:t>。项目土壤评价范围为占地范围外200m，其面积预计为230790m</w:t>
            </w:r>
            <w:r>
              <w:rPr>
                <w:rFonts w:hint="default" w:ascii="Times New Roman" w:hAnsi="Times New Roman"/>
                <w:color w:val="000000" w:themeColor="text1"/>
                <w:kern w:val="2"/>
                <w:vertAlign w:val="superscript"/>
                <w14:textFill>
                  <w14:solidFill>
                    <w14:schemeClr w14:val="tx1"/>
                  </w14:solidFill>
                </w14:textFill>
              </w:rPr>
              <w:t>2</w:t>
            </w:r>
            <w:r>
              <w:rPr>
                <w:rFonts w:hint="default" w:ascii="Times New Roman" w:hAnsi="Times New Roman"/>
                <w:color w:val="000000" w:themeColor="text1"/>
                <w:kern w:val="2"/>
                <w14:textFill>
                  <w14:solidFill>
                    <w14:schemeClr w14:val="tx1"/>
                  </w14:solidFill>
                </w14:textFill>
              </w:rPr>
              <w:t>，深度取0.2m，则Is为416.81g。根据导则，涉及大气沉降影响的可不考虑输出量。项目土壤容重1440kg/m</w:t>
            </w:r>
            <w:r>
              <w:rPr>
                <w:rFonts w:hint="default" w:ascii="Times New Roman" w:hAnsi="Times New Roman"/>
                <w:color w:val="000000" w:themeColor="text1"/>
                <w:kern w:val="2"/>
                <w:vertAlign w:val="superscript"/>
                <w14:textFill>
                  <w14:solidFill>
                    <w14:schemeClr w14:val="tx1"/>
                  </w14:solidFill>
                </w14:textFill>
              </w:rPr>
              <w:t>3</w:t>
            </w:r>
            <w:r>
              <w:rPr>
                <w:rFonts w:hint="default" w:ascii="Times New Roman" w:hAnsi="Times New Roman"/>
                <w:color w:val="000000" w:themeColor="text1"/>
                <w:kern w:val="2"/>
                <w14:textFill>
                  <w14:solidFill>
                    <w14:schemeClr w14:val="tx1"/>
                  </w14:solidFill>
                </w14:textFill>
              </w:rPr>
              <w:t>，持续年限按20年计。则</w:t>
            </w:r>
            <w:r>
              <w:rPr>
                <w:rFonts w:hint="default" w:ascii="MS Mincho" w:hAnsi="MS Mincho" w:eastAsia="MS Mincho" w:cs="MS Mincho"/>
                <w:color w:val="000000" w:themeColor="text1"/>
                <w:kern w:val="2"/>
                <w14:textFill>
                  <w14:solidFill>
                    <w14:schemeClr w14:val="tx1"/>
                  </w14:solidFill>
                </w14:textFill>
              </w:rPr>
              <w:t>△</w:t>
            </w:r>
            <w:r>
              <w:rPr>
                <w:rFonts w:hint="default" w:ascii="Times New Roman" w:hAnsi="Times New Roman"/>
                <w:color w:val="000000" w:themeColor="text1"/>
                <w:kern w:val="2"/>
                <w14:textFill>
                  <w14:solidFill>
                    <w14:schemeClr w14:val="tx1"/>
                  </w14:solidFill>
                </w14:textFill>
              </w:rPr>
              <w:t>S为1.26×10</w:t>
            </w:r>
            <w:r>
              <w:rPr>
                <w:rFonts w:hint="default" w:ascii="Times New Roman" w:hAnsi="Times New Roman"/>
                <w:color w:val="000000" w:themeColor="text1"/>
                <w:kern w:val="2"/>
                <w:vertAlign w:val="superscript"/>
                <w14:textFill>
                  <w14:solidFill>
                    <w14:schemeClr w14:val="tx1"/>
                  </w14:solidFill>
                </w14:textFill>
              </w:rPr>
              <w:t>-4</w:t>
            </w:r>
            <w:r>
              <w:rPr>
                <w:rFonts w:hint="default" w:ascii="Times New Roman" w:hAnsi="Times New Roman"/>
                <w:color w:val="000000" w:themeColor="text1"/>
                <w:kern w:val="2"/>
                <w14:textFill>
                  <w14:solidFill>
                    <w14:schemeClr w14:val="tx1"/>
                  </w14:solidFill>
                </w14:textFill>
              </w:rPr>
              <w:t>g/kg。则项目厂区内及周边土壤单位质量土壤中非甲烷总烃的贡献值为1.26×10</w:t>
            </w:r>
            <w:r>
              <w:rPr>
                <w:rFonts w:hint="default" w:ascii="Times New Roman" w:hAnsi="Times New Roman"/>
                <w:color w:val="000000" w:themeColor="text1"/>
                <w:kern w:val="2"/>
                <w:vertAlign w:val="superscript"/>
                <w14:textFill>
                  <w14:solidFill>
                    <w14:schemeClr w14:val="tx1"/>
                  </w14:solidFill>
                </w14:textFill>
              </w:rPr>
              <w:t>-4</w:t>
            </w:r>
            <w:r>
              <w:rPr>
                <w:rFonts w:hint="default" w:ascii="Times New Roman" w:hAnsi="Times New Roman"/>
                <w:color w:val="000000" w:themeColor="text1"/>
                <w:kern w:val="2"/>
                <w14:textFill>
                  <w14:solidFill>
                    <w14:schemeClr w14:val="tx1"/>
                  </w14:solidFill>
                </w14:textFill>
              </w:rPr>
              <w:t>g/kg，产生量较小，因此项目大气沉降对土壤环境的影响可接受。</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（3） 源头控制措施</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14:textFill>
                  <w14:solidFill>
                    <w14:schemeClr w14:val="tx1"/>
                  </w14:solidFill>
                </w14:textFill>
              </w:rPr>
              <w:t>评价要求项目运营后采取以下源头控制措施：</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Calibri" w:hAnsi="Calibri" w:eastAsia="Calibri" w:cs="Calibri"/>
                <w:color w:val="000000" w:themeColor="text1"/>
                <w14:textFill>
                  <w14:solidFill>
                    <w14:schemeClr w14:val="tx1"/>
                  </w14:solidFill>
                </w14:textFill>
              </w:rPr>
              <w:t>①</w:t>
            </w:r>
            <w:r>
              <w:rPr>
                <w:rFonts w:hint="default" w:ascii="Times New Roman" w:hAnsi="Times New Roman"/>
                <w:color w:val="000000" w:themeColor="text1"/>
                <w:kern w:val="2"/>
                <w14:textFill>
                  <w14:solidFill>
                    <w14:schemeClr w14:val="tx1"/>
                  </w14:solidFill>
                </w14:textFill>
              </w:rPr>
              <w:t>定期维护废气处理装置，定期更换活性炭，确保其处理效率，在厂区配备备用发电机，防止停电状态废气不正常排放。</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Calibri" w:hAnsi="Calibri" w:eastAsia="Calibri" w:cs="Calibri"/>
              </w:rPr>
              <w:t>②</w:t>
            </w:r>
            <w:r>
              <w:rPr>
                <w:rFonts w:hint="default" w:ascii="Times New Roman" w:hAnsi="Times New Roman"/>
                <w:color w:val="000000" w:themeColor="text1"/>
                <w:kern w:val="2"/>
                <w14:textFill>
                  <w14:solidFill>
                    <w14:schemeClr w14:val="tx1"/>
                  </w14:solidFill>
                </w14:textFill>
              </w:rPr>
              <w:t>加强对危废废物的管理，如废活性炭，禁止随意堆放，要求采用包装桶收集后，放置在危废暂存间，委托资质单位处理。</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（4）过程防控措施</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14:textFill>
                  <w14:solidFill>
                    <w14:schemeClr w14:val="tx1"/>
                  </w14:solidFill>
                </w14:textFill>
              </w:rPr>
              <w:t>项目涉及大气沉降影响，由于本项目厂区内地面全部硬化，要求在厂区周边空地采取绿化措施，种植月季等对有机废气有较强吸附能力的植物。严格落实厂区防渗措施，防止土壤环境的污染。</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（5）跟踪监测</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14:textFill>
                  <w14:solidFill>
                    <w14:schemeClr w14:val="tx1"/>
                  </w14:solidFill>
                </w14:textFill>
              </w:rPr>
              <w:t>要求企业建立跟踪监测制度，按照要求定期进行土壤环境监测，以便及时发现问题，采取措施。要求5年内开展1次土壤监测，同时向社会公开的信息内容。项目跟踪监测土壤设置1个监测点，监测计划表见表42。</w:t>
            </w:r>
          </w:p>
          <w:p>
            <w:pPr>
              <w:pStyle w:val="34"/>
              <w:keepNext w:val="0"/>
              <w:keepLines w:val="0"/>
              <w:widowControl w:val="0"/>
              <w:suppressLineNumbers w:val="0"/>
              <w:autoSpaceDE w:val="0"/>
              <w:autoSpaceDN w:val="0"/>
              <w:adjustRightInd w:val="0"/>
              <w:spacing w:before="0" w:beforeAutospacing="0" w:after="0" w:afterAutospacing="0"/>
              <w:ind w:left="0" w:right="0" w:firstLine="210"/>
              <w:jc w:val="center"/>
              <w:rPr>
                <w:rFonts w:hint="default" w:ascii="Times New Roman" w:hAnsi="Times New Roman"/>
                <w:b/>
                <w:bCs/>
                <w:color w:val="000000" w:themeColor="text1"/>
                <w14:textFill>
                  <w14:solidFill>
                    <w14:schemeClr w14:val="tx1"/>
                  </w14:solidFill>
                </w14:textFill>
              </w:rPr>
            </w:pPr>
            <w:r>
              <w:rPr>
                <w:rFonts w:hint="default" w:ascii="Times New Roman" w:hAnsi="Times New Roman"/>
                <w:b/>
                <w:bCs/>
                <w:color w:val="000000" w:themeColor="text1"/>
                <w14:textFill>
                  <w14:solidFill>
                    <w14:schemeClr w14:val="tx1"/>
                  </w14:solidFill>
                </w14:textFill>
              </w:rPr>
              <w:t>表42  项目土壤跟踪监测计划表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34"/>
              <w:gridCol w:w="2322"/>
              <w:gridCol w:w="1374"/>
              <w:gridCol w:w="2087"/>
              <w:gridCol w:w="186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46"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监测点位</w:t>
                  </w:r>
                </w:p>
              </w:tc>
              <w:tc>
                <w:tcPr>
                  <w:tcW w:w="132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位置</w:t>
                  </w:r>
                </w:p>
              </w:tc>
              <w:tc>
                <w:tcPr>
                  <w:tcW w:w="78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样点类型</w:t>
                  </w:r>
                </w:p>
              </w:tc>
              <w:tc>
                <w:tcPr>
                  <w:tcW w:w="1188"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土壤监测因子</w:t>
                  </w:r>
                </w:p>
              </w:tc>
              <w:tc>
                <w:tcPr>
                  <w:tcW w:w="106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46"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132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厂界主导风向下风向</w:t>
                  </w:r>
                </w:p>
              </w:tc>
              <w:tc>
                <w:tcPr>
                  <w:tcW w:w="78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表层样点</w:t>
                  </w:r>
                </w:p>
              </w:tc>
              <w:tc>
                <w:tcPr>
                  <w:tcW w:w="1188"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乙苯、甲苯、间二甲苯+对二甲苯、邻二甲苯</w:t>
                  </w:r>
                </w:p>
              </w:tc>
              <w:tc>
                <w:tcPr>
                  <w:tcW w:w="1062"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项目厂址范围外，200m范围内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000" w:type="pct"/>
                  <w:gridSpan w:val="5"/>
                  <w:vAlign w:val="center"/>
                </w:tcPr>
                <w:p>
                  <w:pPr>
                    <w:keepNext w:val="0"/>
                    <w:keepLines w:val="0"/>
                    <w:suppressLineNumbers w:val="0"/>
                    <w:snapToGrid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备注：表层样应在0~0.2m取样；</w:t>
                  </w:r>
                </w:p>
                <w:p>
                  <w:pPr>
                    <w:keepNext w:val="0"/>
                    <w:keepLines w:val="0"/>
                    <w:suppressLineNumbers w:val="0"/>
                    <w:snapToGrid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柱状样在0~0.5m、0.5~1.5m、1.5~3m分别取样，3m以下每3m取1个样，可根据基础埋深、土体构型适当调整。</w:t>
                  </w:r>
                </w:p>
              </w:tc>
            </w:tr>
          </w:tbl>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（7）结论</w:t>
            </w:r>
          </w:p>
          <w:p>
            <w:pPr>
              <w:pStyle w:val="34"/>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14:textFill>
                  <w14:solidFill>
                    <w14:schemeClr w14:val="tx1"/>
                  </w14:solidFill>
                </w14:textFill>
              </w:rPr>
              <w:t>经环境识别，本项目对土壤环境的影响主要为大气沉降，要求厂区周边的空地加强绿化，定期检修维护环保设备，项目危废暂存间做好防渗处理，同时落实跟踪监测。从土壤环境影响的角度，项目建设可行。</w:t>
            </w:r>
          </w:p>
          <w:p>
            <w:pPr>
              <w:pStyle w:val="34"/>
              <w:keepNext w:val="0"/>
              <w:keepLines w:val="0"/>
              <w:widowControl w:val="0"/>
              <w:suppressLineNumbers w:val="0"/>
              <w:autoSpaceDE w:val="0"/>
              <w:autoSpaceDN w:val="0"/>
              <w:adjustRightInd w:val="0"/>
              <w:spacing w:before="0" w:beforeAutospacing="0" w:after="0" w:afterAutospacing="0"/>
              <w:ind w:left="0" w:right="0" w:firstLine="210"/>
              <w:jc w:val="center"/>
              <w:rPr>
                <w:rFonts w:hint="default" w:ascii="Times New Roman" w:hAnsi="Times New Roman"/>
                <w:b/>
                <w:bCs/>
                <w:color w:val="000000" w:themeColor="text1"/>
                <w14:textFill>
                  <w14:solidFill>
                    <w14:schemeClr w14:val="tx1"/>
                  </w14:solidFill>
                </w14:textFill>
              </w:rPr>
            </w:pPr>
            <w:r>
              <w:rPr>
                <w:rFonts w:hint="default" w:ascii="Times New Roman" w:hAnsi="Times New Roman"/>
                <w:b/>
                <w:bCs/>
                <w:color w:val="000000" w:themeColor="text1"/>
                <w14:textFill>
                  <w14:solidFill>
                    <w14:schemeClr w14:val="tx1"/>
                  </w14:solidFill>
                </w14:textFill>
              </w:rPr>
              <w:t>表43  土壤环境影响评价自查表</w:t>
            </w:r>
          </w:p>
          <w:tbl>
            <w:tblPr>
              <w:tblStyle w:val="38"/>
              <w:tblW w:w="8783"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463"/>
              <w:gridCol w:w="1572"/>
              <w:gridCol w:w="1175"/>
              <w:gridCol w:w="1194"/>
              <w:gridCol w:w="1335"/>
              <w:gridCol w:w="1971"/>
              <w:gridCol w:w="107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2035" w:type="dxa"/>
                  <w:gridSpan w:val="2"/>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工作内容</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完成情况</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影响识别</w:t>
                  </w: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影响类型</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污染影响型√；生态影响型□；两种兼有□</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4"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土地利用类型</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建设用地√；农用地□；未利用地□</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土地利用类型图</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占地规模</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（0.479）hm</w:t>
                  </w:r>
                  <w:r>
                    <w:rPr>
                      <w:rFonts w:hint="default" w:ascii="Times New Roman" w:hAnsi="Times New Roman"/>
                      <w:color w:val="000000" w:themeColor="text1"/>
                      <w:kern w:val="2"/>
                      <w:position w:val="6"/>
                      <w:sz w:val="15"/>
                      <w:szCs w:val="15"/>
                      <w14:textFill>
                        <w14:solidFill>
                          <w14:schemeClr w14:val="tx1"/>
                        </w14:solidFill>
                      </w14:textFill>
                    </w:rPr>
                    <w:t>2</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敏感目标信息</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敏感目标（  / ）、方位（   / ）、距离（   /  ）</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影响途径</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大气沉降</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；地面漫流□；垂直入渗□；地下水位□；其他（  /  ）</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全部污染物</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45项基本因子</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特征因子</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乙苯、甲苯、间二甲苯+对二甲苯、邻二甲苯</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所属土壤环境影响</w:t>
                  </w:r>
                </w:p>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评价项目类别</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MS Mincho" w:hAnsi="MS Mincho" w:eastAsia="MS Mincho" w:cs="MS Mincho"/>
                      <w:color w:val="000000" w:themeColor="text1"/>
                      <w:kern w:val="2"/>
                      <w:sz w:val="21"/>
                      <w:szCs w:val="21"/>
                      <w14:textFill>
                        <w14:solidFill>
                          <w14:schemeClr w14:val="tx1"/>
                        </w14:solidFill>
                      </w14:textFill>
                    </w:rPr>
                    <w:t>Ⅰ</w:t>
                  </w:r>
                  <w:r>
                    <w:rPr>
                      <w:rFonts w:hint="default" w:ascii="Times New Roman" w:hAnsi="Times New Roman"/>
                      <w:color w:val="000000" w:themeColor="text1"/>
                      <w:kern w:val="2"/>
                      <w:sz w:val="21"/>
                      <w:szCs w:val="21"/>
                      <w14:textFill>
                        <w14:solidFill>
                          <w14:schemeClr w14:val="tx1"/>
                        </w14:solidFill>
                      </w14:textFill>
                    </w:rPr>
                    <w:t>类√；</w:t>
                  </w:r>
                  <w:r>
                    <w:rPr>
                      <w:rFonts w:hint="default" w:ascii="MS Mincho" w:hAnsi="MS Mincho" w:eastAsia="MS Mincho" w:cs="MS Mincho"/>
                      <w:color w:val="000000" w:themeColor="text1"/>
                      <w:kern w:val="2"/>
                      <w:sz w:val="21"/>
                      <w:szCs w:val="21"/>
                      <w14:textFill>
                        <w14:solidFill>
                          <w14:schemeClr w14:val="tx1"/>
                        </w14:solidFill>
                      </w14:textFill>
                    </w:rPr>
                    <w:t>Ⅱ</w:t>
                  </w:r>
                  <w:r>
                    <w:rPr>
                      <w:rFonts w:hint="default" w:ascii="Times New Roman" w:hAnsi="Times New Roman"/>
                      <w:color w:val="000000" w:themeColor="text1"/>
                      <w:kern w:val="2"/>
                      <w:sz w:val="21"/>
                      <w:szCs w:val="21"/>
                      <w14:textFill>
                        <w14:solidFill>
                          <w14:schemeClr w14:val="tx1"/>
                        </w14:solidFill>
                      </w14:textFill>
                    </w:rPr>
                    <w:t>类□；</w:t>
                  </w:r>
                  <w:r>
                    <w:rPr>
                      <w:rFonts w:hint="default" w:ascii="MS Mincho" w:hAnsi="MS Mincho" w:eastAsia="MS Mincho" w:cs="MS Mincho"/>
                      <w:color w:val="000000" w:themeColor="text1"/>
                      <w:kern w:val="2"/>
                      <w:sz w:val="21"/>
                      <w:szCs w:val="21"/>
                      <w14:textFill>
                        <w14:solidFill>
                          <w14:schemeClr w14:val="tx1"/>
                        </w14:solidFill>
                      </w14:textFill>
                    </w:rPr>
                    <w:t>Ⅲ</w:t>
                  </w:r>
                  <w:r>
                    <w:rPr>
                      <w:rFonts w:hint="default" w:ascii="Times New Roman" w:hAnsi="Times New Roman"/>
                      <w:color w:val="000000" w:themeColor="text1"/>
                      <w:kern w:val="2"/>
                      <w:sz w:val="21"/>
                      <w:szCs w:val="21"/>
                      <w14:textFill>
                        <w14:solidFill>
                          <w14:schemeClr w14:val="tx1"/>
                        </w14:solidFill>
                      </w14:textFill>
                    </w:rPr>
                    <w:t>类□；</w:t>
                  </w:r>
                  <w:r>
                    <w:rPr>
                      <w:rFonts w:hint="default" w:ascii="MS Mincho" w:hAnsi="MS Mincho" w:eastAsia="MS Mincho" w:cs="MS Mincho"/>
                      <w:color w:val="000000" w:themeColor="text1"/>
                      <w:kern w:val="2"/>
                      <w:sz w:val="21"/>
                      <w:szCs w:val="21"/>
                      <w14:textFill>
                        <w14:solidFill>
                          <w14:schemeClr w14:val="tx1"/>
                        </w14:solidFill>
                      </w14:textFill>
                    </w:rPr>
                    <w:t>Ⅳ</w:t>
                  </w:r>
                  <w:r>
                    <w:rPr>
                      <w:rFonts w:hint="default" w:ascii="Times New Roman" w:hAnsi="Times New Roman"/>
                      <w:color w:val="000000" w:themeColor="text1"/>
                      <w:kern w:val="2"/>
                      <w:sz w:val="21"/>
                      <w:szCs w:val="21"/>
                      <w14:textFill>
                        <w14:solidFill>
                          <w14:schemeClr w14:val="tx1"/>
                        </w14:solidFill>
                      </w14:textFill>
                    </w:rPr>
                    <w:t>类□</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敏感程度</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敏感□；较敏感□；不敏感√</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2035" w:type="dxa"/>
                  <w:gridSpan w:val="2"/>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评价工作等级</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一级□；二级√；三级□</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现状调查内容</w:t>
                  </w: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资料收集</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a）</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；b）</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；c）</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；d）</w:t>
                  </w:r>
                  <w:r>
                    <w:rPr>
                      <w:rFonts w:hint="default" w:ascii="Times New Roman" w:hAnsi="Times New Roman"/>
                      <w:color w:val="000000" w:themeColor="text1"/>
                      <w:sz w:val="21"/>
                      <w:szCs w:val="21"/>
                      <w14:textFill>
                        <w14:solidFill>
                          <w14:schemeClr w14:val="tx1"/>
                        </w14:solidFill>
                      </w14:textFill>
                    </w:rPr>
                    <w:t>√</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理化特性</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颜色、结构、质地、砂粒、其他异物、pH、阳离子交换量、</w:t>
                  </w:r>
                  <w:r>
                    <w:rPr>
                      <w:rFonts w:hint="default" w:ascii="Times New Roman" w:hAnsi="Times New Roman"/>
                      <w:color w:val="000000" w:themeColor="text1"/>
                      <w:sz w:val="21"/>
                      <w:szCs w:val="21"/>
                      <w14:textFill>
                        <w14:solidFill>
                          <w14:schemeClr w14:val="tx1"/>
                        </w14:solidFill>
                      </w14:textFill>
                    </w:rPr>
                    <w:t>氧化还原电位、土壤容重、孔隙度、饱和导水率</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同附录 C</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现状监测点位</w:t>
                  </w:r>
                </w:p>
              </w:tc>
              <w:tc>
                <w:tcPr>
                  <w:tcW w:w="117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c>
                <w:tcPr>
                  <w:tcW w:w="1194"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占地范围内</w:t>
                  </w:r>
                </w:p>
              </w:tc>
              <w:tc>
                <w:tcPr>
                  <w:tcW w:w="133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占地范围外</w:t>
                  </w:r>
                </w:p>
              </w:tc>
              <w:tc>
                <w:tcPr>
                  <w:tcW w:w="1971"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深度</w:t>
                  </w:r>
                </w:p>
              </w:tc>
              <w:tc>
                <w:tcPr>
                  <w:tcW w:w="107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点位布置图</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17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表层样点数</w:t>
                  </w:r>
                </w:p>
              </w:tc>
              <w:tc>
                <w:tcPr>
                  <w:tcW w:w="1194"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0</w:t>
                  </w:r>
                </w:p>
              </w:tc>
              <w:tc>
                <w:tcPr>
                  <w:tcW w:w="133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3</w:t>
                  </w:r>
                </w:p>
              </w:tc>
              <w:tc>
                <w:tcPr>
                  <w:tcW w:w="1971"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0.2m</w:t>
                  </w:r>
                </w:p>
              </w:tc>
              <w:tc>
                <w:tcPr>
                  <w:tcW w:w="107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4"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17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c>
                <w:tcPr>
                  <w:tcW w:w="1194"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c>
                <w:tcPr>
                  <w:tcW w:w="133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c>
                <w:tcPr>
                  <w:tcW w:w="1971"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c>
                <w:tcPr>
                  <w:tcW w:w="107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现状监测因子</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建设用地45项</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现状评</w:t>
                  </w:r>
                </w:p>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价</w:t>
                  </w: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评价因子</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建设用地45项</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评价标准</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GB 15618□；GB 36600√；表D.1□；表 D.2□；其他（）</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94"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现状评价结论</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满足《土壤环境质量 建设用地土壤污染风险管控标准》（GB36600-2018）中第二类用地筛选值标准要求。</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46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影响预测</w:t>
                  </w: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预测因子</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预测方法</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附录</w:t>
                  </w:r>
                  <w:r>
                    <w:rPr>
                      <w:rFonts w:hint="default" w:ascii="Times New Roman" w:hAnsi="Times New Roman"/>
                      <w:color w:val="000000" w:themeColor="text1"/>
                      <w:spacing w:val="-46"/>
                      <w:kern w:val="2"/>
                      <w:sz w:val="21"/>
                      <w:szCs w:val="21"/>
                      <w14:textFill>
                        <w14:solidFill>
                          <w14:schemeClr w14:val="tx1"/>
                        </w14:solidFill>
                      </w14:textFill>
                    </w:rPr>
                    <w:t> </w:t>
                  </w:r>
                  <w:r>
                    <w:rPr>
                      <w:rFonts w:hint="default" w:ascii="Times New Roman" w:hAnsi="Times New Roman"/>
                      <w:color w:val="000000" w:themeColor="text1"/>
                      <w:kern w:val="2"/>
                      <w:sz w:val="21"/>
                      <w:szCs w:val="21"/>
                      <w14:textFill>
                        <w14:solidFill>
                          <w14:schemeClr w14:val="tx1"/>
                        </w14:solidFill>
                      </w14:textFill>
                    </w:rPr>
                    <w:t>E√；附录</w:t>
                  </w:r>
                  <w:r>
                    <w:rPr>
                      <w:rFonts w:hint="default" w:ascii="Times New Roman" w:hAnsi="Times New Roman"/>
                      <w:color w:val="000000" w:themeColor="text1"/>
                      <w:spacing w:val="-45"/>
                      <w:kern w:val="2"/>
                      <w:sz w:val="21"/>
                      <w:szCs w:val="21"/>
                      <w14:textFill>
                        <w14:solidFill>
                          <w14:schemeClr w14:val="tx1"/>
                        </w14:solidFill>
                      </w14:textFill>
                    </w:rPr>
                    <w:t> </w:t>
                  </w:r>
                  <w:r>
                    <w:rPr>
                      <w:rFonts w:hint="default" w:ascii="Times New Roman" w:hAnsi="Times New Roman"/>
                      <w:color w:val="000000" w:themeColor="text1"/>
                      <w:kern w:val="2"/>
                      <w:sz w:val="21"/>
                      <w:szCs w:val="21"/>
                      <w14:textFill>
                        <w14:solidFill>
                          <w14:schemeClr w14:val="tx1"/>
                        </w14:solidFill>
                      </w14:textFill>
                    </w:rPr>
                    <w:t>F□；其他（</w:t>
                  </w:r>
                  <w:r>
                    <w:rPr>
                      <w:rFonts w:hint="default" w:ascii="Times New Roman" w:hAnsi="Times New Roman"/>
                      <w:color w:val="000000" w:themeColor="text1"/>
                      <w:kern w:val="2"/>
                      <w:sz w:val="21"/>
                      <w:szCs w:val="21"/>
                      <w14:textFill>
                        <w14:solidFill>
                          <w14:schemeClr w14:val="tx1"/>
                        </w14:solidFill>
                      </w14:textFill>
                    </w:rPr>
                    <w:tab/>
                  </w:r>
                  <w:r>
                    <w:rPr>
                      <w:rFonts w:hint="default" w:ascii="Times New Roman" w:hAnsi="Times New Roman"/>
                      <w:color w:val="000000" w:themeColor="text1"/>
                      <w:kern w:val="2"/>
                      <w:sz w:val="21"/>
                      <w:szCs w:val="21"/>
                      <w14:textFill>
                        <w14:solidFill>
                          <w14:schemeClr w14:val="tx1"/>
                        </w14:solidFill>
                      </w14:textFill>
                    </w:rPr>
                    <w:t>）</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预测分析内容</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影响范围（厂界外200m）</w:t>
                  </w:r>
                </w:p>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影响程度（小）</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4"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预测结论</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达标结论：a）</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；b）</w:t>
                  </w:r>
                  <w:r>
                    <w:rPr>
                      <w:rFonts w:hint="default" w:ascii="Times New Roman" w:hAnsi="Times New Roman"/>
                      <w:color w:val="000000" w:themeColor="text1"/>
                      <w:sz w:val="21"/>
                      <w:szCs w:val="21"/>
                      <w14:textFill>
                        <w14:solidFill>
                          <w14:schemeClr w14:val="tx1"/>
                        </w14:solidFill>
                      </w14:textFill>
                    </w:rPr>
                    <w:t>√</w:t>
                  </w:r>
                  <w:r>
                    <w:rPr>
                      <w:rFonts w:hint="default" w:ascii="Times New Roman" w:hAnsi="Times New Roman"/>
                      <w:color w:val="000000" w:themeColor="text1"/>
                      <w:kern w:val="2"/>
                      <w:sz w:val="21"/>
                      <w:szCs w:val="21"/>
                      <w14:textFill>
                        <w14:solidFill>
                          <w14:schemeClr w14:val="tx1"/>
                        </w14:solidFill>
                      </w14:textFill>
                    </w:rPr>
                    <w:t>；c）</w:t>
                  </w:r>
                  <w:r>
                    <w:rPr>
                      <w:rFonts w:hint="default" w:ascii="Times New Roman" w:hAnsi="Times New Roman"/>
                      <w:color w:val="000000" w:themeColor="text1"/>
                      <w:sz w:val="21"/>
                      <w:szCs w:val="21"/>
                      <w14:textFill>
                        <w14:solidFill>
                          <w14:schemeClr w14:val="tx1"/>
                        </w14:solidFill>
                      </w14:textFill>
                    </w:rPr>
                    <w:t>√</w:t>
                  </w:r>
                </w:p>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不达标结论：a）□；b）□</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防治措</w:t>
                  </w:r>
                </w:p>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施</w:t>
                  </w: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防控措施</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土壤环境质量现状保障√；源头控制√；过程防控√；其他（   ）</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Merge w:val="restart"/>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跟踪监测</w:t>
                  </w:r>
                </w:p>
              </w:tc>
              <w:tc>
                <w:tcPr>
                  <w:tcW w:w="117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监测点数</w:t>
                  </w:r>
                </w:p>
              </w:tc>
              <w:tc>
                <w:tcPr>
                  <w:tcW w:w="2529" w:type="dxa"/>
                  <w:gridSpan w:val="2"/>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监测指标</w:t>
                  </w:r>
                </w:p>
              </w:tc>
              <w:tc>
                <w:tcPr>
                  <w:tcW w:w="1971"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监测频次</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175"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1</w:t>
                  </w:r>
                </w:p>
              </w:tc>
              <w:tc>
                <w:tcPr>
                  <w:tcW w:w="2529" w:type="dxa"/>
                  <w:gridSpan w:val="2"/>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乙苯、甲苯、间二甲苯+对二甲苯、邻二甲苯</w:t>
                  </w:r>
                </w:p>
              </w:tc>
              <w:tc>
                <w:tcPr>
                  <w:tcW w:w="1971"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5年内开展1次</w:t>
                  </w:r>
                </w:p>
              </w:tc>
              <w:tc>
                <w:tcPr>
                  <w:tcW w:w="1073" w:type="dxa"/>
                  <w:vMerge w:val="restart"/>
                  <w:vAlign w:val="center"/>
                </w:tcPr>
                <w:p>
                  <w:pPr>
                    <w:keepNext w:val="0"/>
                    <w:keepLines w:val="0"/>
                    <w:suppressLineNumbers w:val="0"/>
                    <w:spacing w:before="0" w:beforeAutospacing="0" w:after="0" w:afterAutospacing="0"/>
                    <w:ind w:left="0" w:right="0"/>
                    <w:rPr>
                      <w:rFonts w:hint="default"/>
                      <w:color w:val="000000" w:themeColor="text1"/>
                      <w:sz w:val="20"/>
                      <w:szCs w:val="20"/>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23" w:hRule="atLeast"/>
                <w:jc w:val="center"/>
              </w:trPr>
              <w:tc>
                <w:tcPr>
                  <w:tcW w:w="46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c>
                <w:tcPr>
                  <w:tcW w:w="1572"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信息公开指标</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w:t>
                  </w:r>
                </w:p>
              </w:tc>
              <w:tc>
                <w:tcPr>
                  <w:tcW w:w="1073" w:type="dxa"/>
                  <w:vMerge w:val="continue"/>
                  <w:vAlign w:val="center"/>
                </w:tcPr>
                <w:p>
                  <w:pPr>
                    <w:keepNext w:val="0"/>
                    <w:keepLines w:val="0"/>
                    <w:suppressLineNumbers w:val="0"/>
                    <w:spacing w:before="0" w:beforeAutospacing="0" w:after="0" w:afterAutospacing="0"/>
                    <w:ind w:left="0" w:right="0"/>
                    <w:rPr>
                      <w:rFonts w:hint="default"/>
                      <w:color w:val="000000" w:themeColor="text1"/>
                      <w:sz w:val="20"/>
                      <w:szCs w:val="20"/>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2035" w:type="dxa"/>
                  <w:gridSpan w:val="2"/>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评价结论</w:t>
                  </w:r>
                </w:p>
              </w:tc>
              <w:tc>
                <w:tcPr>
                  <w:tcW w:w="5675" w:type="dxa"/>
                  <w:gridSpan w:val="4"/>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项目运行对周围土壤环境影响较小。从土壤环境影响的角度，项目建设可行。</w:t>
                  </w:r>
                </w:p>
              </w:tc>
              <w:tc>
                <w:tcPr>
                  <w:tcW w:w="1073" w:type="dxa"/>
                  <w:vAlign w:val="center"/>
                </w:tcPr>
                <w:p>
                  <w:pPr>
                    <w:pStyle w:val="34"/>
                    <w:keepNext w:val="0"/>
                    <w:keepLines w:val="0"/>
                    <w:widowControl w:val="0"/>
                    <w:suppressLineNumbers w:val="0"/>
                    <w:spacing w:before="0" w:beforeAutospacing="0" w:after="0" w:afterAutospacing="0"/>
                    <w:ind w:left="0" w:right="0"/>
                    <w:jc w:val="center"/>
                    <w:rPr>
                      <w:rFonts w:hint="default" w:ascii="Times New Roman" w:hAnsi="Times New Roman"/>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8783" w:type="dxa"/>
                  <w:gridSpan w:val="7"/>
                  <w:vAlign w:val="center"/>
                </w:tcPr>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注 1：“□”为勾选项，可√；“（ ）”为内容填写项；“备注”为其他补充内容。</w:t>
                  </w:r>
                </w:p>
                <w:p>
                  <w:pPr>
                    <w:pStyle w:val="34"/>
                    <w:keepNext w:val="0"/>
                    <w:keepLines w:val="0"/>
                    <w:widowControl w:val="0"/>
                    <w:suppressLineNumbers w:val="0"/>
                    <w:spacing w:before="0" w:beforeAutospacing="0" w:after="0" w:afterAutospacing="0"/>
                    <w:ind w:left="0" w:right="0"/>
                    <w:jc w:val="both"/>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注 2：需要分别开展土壤环境影响评级工作的，分别填写自查表。</w:t>
                  </w:r>
                </w:p>
              </w:tc>
            </w:tr>
          </w:tbl>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color w:val="000000" w:themeColor="text1"/>
                <w:sz w:val="24"/>
                <w:szCs w:val="20"/>
                <w14:textFill>
                  <w14:solidFill>
                    <w14:schemeClr w14:val="tx1"/>
                  </w14:solidFill>
                </w14:textFill>
              </w:rPr>
            </w:pPr>
            <w:r>
              <w:rPr>
                <w:rFonts w:hint="default" w:ascii="Times New Roman" w:hAnsi="Times New Roman"/>
                <w:b/>
                <w:color w:val="000000" w:themeColor="text1"/>
                <w:sz w:val="24"/>
                <w:szCs w:val="20"/>
                <w14:textFill>
                  <w14:solidFill>
                    <w14:schemeClr w14:val="tx1"/>
                  </w14:solidFill>
                </w14:textFill>
              </w:rPr>
              <w:t>6、环境风险分析</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（1）评价依据</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根据《建设项目环境风险评价技术导则》（HJ 169-2018）要求，对于涉及有毒有害和易燃易爆危险物质的生产、使用、储存（包括使用管线输运）的建设项目可能发生的突发性事故（不包括人为破坏及自然灾害引发的事故）应进行环境风险评价。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根据建设项目危险物质数量和分布情况、生产工艺特点，本项目年最大油漆和稀释剂的最大存储量为1.375t，依照相关要求，视为健康危险急性毒害物质，推荐临界量为5t。机油最大存储量为0.2t，临界量为2500t。</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根据上述调查，结合《建设项目环境风险评价技术导则》（HJ169-2018）附录B，拟建项目涉及的危险物质为生产原料（油漆、稀释剂）和机油，存储区存在量根据最大量计算。项目危险物质的存在量见表44。</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表44  项目危险物质数量及分布一览表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73"/>
              <w:gridCol w:w="2693"/>
              <w:gridCol w:w="1832"/>
              <w:gridCol w:w="1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73"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生产系统/装置</w:t>
                  </w:r>
                </w:p>
              </w:tc>
              <w:tc>
                <w:tcPr>
                  <w:tcW w:w="2693"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危险物质</w:t>
                  </w:r>
                </w:p>
              </w:tc>
              <w:tc>
                <w:tcPr>
                  <w:tcW w:w="1832"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存在量t</w:t>
                  </w:r>
                </w:p>
              </w:tc>
              <w:tc>
                <w:tcPr>
                  <w:tcW w:w="1685"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73"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原料库</w:t>
                  </w:r>
                </w:p>
              </w:tc>
              <w:tc>
                <w:tcPr>
                  <w:tcW w:w="2693"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油漆、稀释剂</w:t>
                  </w:r>
                </w:p>
              </w:tc>
              <w:tc>
                <w:tcPr>
                  <w:tcW w:w="1832"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1.375t</w:t>
                  </w:r>
                </w:p>
              </w:tc>
              <w:tc>
                <w:tcPr>
                  <w:tcW w:w="1685"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临界量5t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73"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原料库</w:t>
                  </w:r>
                </w:p>
              </w:tc>
              <w:tc>
                <w:tcPr>
                  <w:tcW w:w="2693"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机油</w:t>
                  </w:r>
                </w:p>
              </w:tc>
              <w:tc>
                <w:tcPr>
                  <w:tcW w:w="1832"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0.2t</w:t>
                  </w:r>
                </w:p>
              </w:tc>
              <w:tc>
                <w:tcPr>
                  <w:tcW w:w="1685"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临界量2500t</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根据《建设项目环境风险评价技术导则》（HJ169-2018）附录C，按下式计算物质总量与其临界量的比值（Q）：</w:t>
            </w:r>
          </w:p>
          <w:p>
            <w:pPr>
              <w:keepNext w:val="0"/>
              <w:keepLines w:val="0"/>
              <w:suppressLineNumbers w:val="0"/>
              <w:spacing w:before="0" w:beforeAutospacing="0" w:after="0" w:afterAutospacing="0" w:line="36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pict>
                <v:shape id="_x0000_i1031" o:spt="75" type="#_x0000_t75" style="height:32.4pt;width:97.2pt;" filled="f" o:preferrelative="t" stroked="f" coordsize="21600,21600" equationxml="&lt;">
                  <v:path/>
                  <v:fill on="f" focussize="0,0"/>
                  <v:stroke on="f" joinstyle="miter"/>
                  <v:imagedata r:id="rId34" chromakey="#FFFFFF" o:title=""/>
                  <o:lock v:ext="edit" aspectratio="t"/>
                  <w10:wrap type="none"/>
                  <w10:anchorlock/>
                </v:shape>
              </w:pic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式中：q1,q2,…qn—每种危险物质的最大存在量，t；</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Q1,Q2,…Qn—每种危险物质的临界量，t。</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当Q＜1时，该项目环境风险潜势为</w:t>
            </w:r>
            <w:r>
              <w:rPr>
                <w:rFonts w:hint="default" w:ascii="MS Mincho" w:hAnsi="MS Mincho" w:eastAsia="MS Mincho" w:cs="MS Mincho"/>
                <w:color w:val="000000" w:themeColor="text1"/>
                <w:sz w:val="24"/>
                <w:szCs w:val="22"/>
                <w14:textFill>
                  <w14:solidFill>
                    <w14:schemeClr w14:val="tx1"/>
                  </w14:solidFill>
                </w14:textFill>
              </w:rPr>
              <w:t>Ⅰ</w:t>
            </w:r>
            <w:r>
              <w:rPr>
                <w:rFonts w:hint="default"/>
                <w:color w:val="000000" w:themeColor="text1"/>
                <w:sz w:val="24"/>
                <w:szCs w:val="22"/>
                <w14:textFill>
                  <w14:solidFill>
                    <w14:schemeClr w14:val="tx1"/>
                  </w14:solidFill>
                </w14:textFill>
              </w:rPr>
              <w:t>。</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当Q≥1时，将Q值划分为：（1）1≤Q＜10；（2）10≤Q＜100；（3）Q≥100。</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拟建项目危险物质数量与临界量比值（Q）计算结果见表45。</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表45   项目Q值确定表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51"/>
              <w:gridCol w:w="2045"/>
              <w:gridCol w:w="1170"/>
              <w:gridCol w:w="2078"/>
              <w:gridCol w:w="1279"/>
              <w:gridCol w:w="166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1"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序号</w:t>
                  </w:r>
                </w:p>
              </w:tc>
              <w:tc>
                <w:tcPr>
                  <w:tcW w:w="2045"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危险物质名称</w:t>
                  </w:r>
                </w:p>
              </w:tc>
              <w:tc>
                <w:tcPr>
                  <w:tcW w:w="1170"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CAS号</w:t>
                  </w:r>
                </w:p>
              </w:tc>
              <w:tc>
                <w:tcPr>
                  <w:tcW w:w="2078"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最大存在总量（t）</w:t>
                  </w:r>
                </w:p>
              </w:tc>
              <w:tc>
                <w:tcPr>
                  <w:tcW w:w="1279"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临界量（t）</w:t>
                  </w:r>
                </w:p>
              </w:tc>
              <w:tc>
                <w:tcPr>
                  <w:tcW w:w="1660" w:type="dxa"/>
                  <w:vAlign w:val="center"/>
                </w:tcPr>
                <w:p>
                  <w:pPr>
                    <w:pStyle w:val="99"/>
                    <w:keepNext w:val="0"/>
                    <w:keepLines w:val="0"/>
                    <w:suppressLineNumbers w:val="0"/>
                    <w:spacing w:before="0" w:beforeAutospacing="0" w:after="0" w:afterAutospacing="0"/>
                    <w:ind w:right="0"/>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该种危险物质Q值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1"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w:t>
                  </w:r>
                </w:p>
              </w:tc>
              <w:tc>
                <w:tcPr>
                  <w:tcW w:w="2045"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油漆、稀释剂</w:t>
                  </w:r>
                </w:p>
              </w:tc>
              <w:tc>
                <w:tcPr>
                  <w:tcW w:w="1170"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w:t>
                  </w:r>
                </w:p>
              </w:tc>
              <w:tc>
                <w:tcPr>
                  <w:tcW w:w="2078"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1.375</w:t>
                  </w:r>
                </w:p>
              </w:tc>
              <w:tc>
                <w:tcPr>
                  <w:tcW w:w="1279"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w:t>
                  </w:r>
                </w:p>
              </w:tc>
              <w:tc>
                <w:tcPr>
                  <w:tcW w:w="1660"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0.275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51"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w:t>
                  </w:r>
                </w:p>
              </w:tc>
              <w:tc>
                <w:tcPr>
                  <w:tcW w:w="2045"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机油</w:t>
                  </w:r>
                </w:p>
              </w:tc>
              <w:tc>
                <w:tcPr>
                  <w:tcW w:w="1170"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w:t>
                  </w:r>
                </w:p>
              </w:tc>
              <w:tc>
                <w:tcPr>
                  <w:tcW w:w="2078"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0.2</w:t>
                  </w:r>
                </w:p>
              </w:tc>
              <w:tc>
                <w:tcPr>
                  <w:tcW w:w="1279"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2500</w:t>
                  </w:r>
                </w:p>
              </w:tc>
              <w:tc>
                <w:tcPr>
                  <w:tcW w:w="1660" w:type="dxa"/>
                  <w:vAlign w:val="center"/>
                </w:tcPr>
                <w:p>
                  <w:pPr>
                    <w:pStyle w:val="99"/>
                    <w:keepNext w:val="0"/>
                    <w:keepLines w:val="0"/>
                    <w:suppressLineNumbers w:val="0"/>
                    <w:spacing w:before="0" w:beforeAutospacing="0" w:after="0" w:afterAutospacing="0"/>
                    <w:ind w:right="0"/>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0.00008</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由上表可知，Q=0.27508，应划分为Q＜1，该项目环境风险潜势为</w:t>
            </w:r>
            <w:r>
              <w:rPr>
                <w:rFonts w:hint="default" w:ascii="MS Mincho" w:hAnsi="MS Mincho" w:eastAsia="MS Mincho" w:cs="MS Mincho"/>
                <w:color w:val="000000" w:themeColor="text1"/>
                <w:sz w:val="24"/>
                <w:szCs w:val="22"/>
                <w14:textFill>
                  <w14:solidFill>
                    <w14:schemeClr w14:val="tx1"/>
                  </w14:solidFill>
                </w14:textFill>
              </w:rPr>
              <w:t>Ⅰ</w:t>
            </w:r>
            <w:r>
              <w:rPr>
                <w:rFonts w:hint="default"/>
                <w:color w:val="000000" w:themeColor="text1"/>
                <w:sz w:val="24"/>
                <w:szCs w:val="22"/>
                <w14:textFill>
                  <w14:solidFill>
                    <w14:schemeClr w14:val="tx1"/>
                  </w14:solidFill>
                </w14:textFill>
              </w:rPr>
              <w:t>，根据《建设项目环境风险评价技术导则》（HJ169-2018），项目不设评价等级，仅做简单分析。</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（2）环境敏感目标概况</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简单分析不设评价范围，项目周边的环境敏感目标主要为项目北侧的岳家村，与本项目厂界的最近距离为1164m，约360人，对敏感目标的影响甚微。</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（3）环境风险识别</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项目涉及的环境风险物质为</w:t>
            </w:r>
            <w:r>
              <w:rPr>
                <w:rFonts w:hint="default"/>
                <w:color w:val="000000" w:themeColor="text1"/>
                <w:sz w:val="24"/>
                <w14:textFill>
                  <w14:solidFill>
                    <w14:schemeClr w14:val="tx1"/>
                  </w14:solidFill>
                </w14:textFill>
              </w:rPr>
              <w:t>油漆、稀释剂及机油，其危险、危害特性见表46-48。</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表46  油漆危险、危害特性</w:t>
            </w:r>
          </w:p>
          <w:tbl>
            <w:tblPr>
              <w:tblStyle w:val="3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785"/>
              <w:gridCol w:w="3670"/>
              <w:gridCol w:w="432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标识</w:t>
                  </w:r>
                </w:p>
              </w:tc>
              <w:tc>
                <w:tcPr>
                  <w:tcW w:w="2089"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中文名：油漆</w:t>
                  </w:r>
                </w:p>
              </w:tc>
              <w:tc>
                <w:tcPr>
                  <w:tcW w:w="2463"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英文名</w:t>
                  </w:r>
                  <w:r>
                    <w:rPr>
                      <w:rFonts w:hint="default"/>
                      <w:color w:val="000000" w:themeColor="text1"/>
                      <w:lang w:val="en-GB"/>
                      <w14:textFill>
                        <w14:solidFill>
                          <w14:schemeClr w14:val="tx1"/>
                        </w14:solidFill>
                      </w14:textFill>
                    </w:rPr>
                    <w:t>：</w:t>
                  </w:r>
                  <w:r>
                    <w:rPr>
                      <w:rFonts w:hint="default"/>
                      <w:color w:val="000000" w:themeColor="text1"/>
                      <w14:textFill>
                        <w14:solidFill>
                          <w14:schemeClr w14:val="tx1"/>
                        </w14:solidFill>
                      </w14:textFill>
                    </w:rPr>
                    <w:t>primer</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restar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危险</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特性</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危险性类别：第3.3类高闪点液体</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continue"/>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本品遇明火、高热易引起燃烧；其蒸汽与空气形成爆炸性混合物，遇明火、高热能引起燃烧爆炸。与氧化剂、酸、碱、硫磺发生强烈反应，会引起燃烧和爆炸。粉末与空气能形成爆炸性混合物，易被明火点燃引起爆炸。蒸汽比空气重，能在较低处扩散到相当远的地方，遇火源易引着回燃。若遇高热，盛装本品的容器内压增大，有开裂和爆炸危险。</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continue"/>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燃烧(分解)产物：燃烧时有烟雾，并产生一氧化碳、二氧化碳等。</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continue"/>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灭火方法：</w:t>
                  </w:r>
                  <w:r>
                    <w:rPr>
                      <w:rFonts w:hint="default"/>
                      <w:color w:val="000000" w:themeColor="text1"/>
                      <w14:textFill>
                        <w14:solidFill>
                          <w14:schemeClr w14:val="tx1"/>
                        </w14:solidFill>
                      </w14:textFill>
                    </w:rPr>
                    <w:t>消防人员必须佩戴正压式呼吸器，穿全身消防防护服，尽量在上风处灭火，可用干粉、干砂灭火，禁止使用水、泡沫及二氧化碳灭火。</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健康</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危害</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侵入途径：吸入、食入、经皮吸收。</w:t>
                  </w:r>
                  <w:r>
                    <w:rPr>
                      <w:rFonts w:hint="default"/>
                      <w:color w:val="000000" w:themeColor="text1"/>
                      <w:kern w:val="0"/>
                      <w14:textFill>
                        <w14:solidFill>
                          <w14:schemeClr w14:val="tx1"/>
                        </w14:solidFill>
                      </w14:textFill>
                    </w:rPr>
                    <w:br w:type="textWrapping"/>
                  </w:r>
                  <w:r>
                    <w:rPr>
                      <w:rFonts w:hint="default"/>
                      <w:color w:val="000000" w:themeColor="text1"/>
                      <w:kern w:val="0"/>
                      <w14:textFill>
                        <w14:solidFill>
                          <w14:schemeClr w14:val="tx1"/>
                        </w14:solidFill>
                      </w14:textFill>
                    </w:rPr>
                    <w:t>健康危害：接触或使用本品对人体有害。其蒸汽对眼、粘膜、上呼吸道、皮肤有刺激作用，对中枢神经有麻醉作用，长期接触或短期内吸入高浓度蒸汽可有头晕、头痛、恶心、呕吐、食欲不振、胸闷、四肢无力、眼灼痛及皮肤干燥、皲裂及皮肤病等症状。长期吸入高浓度涂料粉尘，可出现消瘦、极易疲劳、呼吸困难、咳嗽等症状。能造成急性中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危害</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本品对环境有害，主要体现在对大气的污染。</w:t>
                  </w:r>
                </w:p>
              </w:tc>
            </w:tr>
          </w:tbl>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表47   稀释剂危险、危害特性</w:t>
            </w:r>
          </w:p>
          <w:tbl>
            <w:tblPr>
              <w:tblStyle w:val="38"/>
              <w:tblW w:w="8783"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824"/>
              <w:gridCol w:w="3453"/>
              <w:gridCol w:w="450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标识</w:t>
                  </w:r>
                </w:p>
              </w:tc>
              <w:tc>
                <w:tcPr>
                  <w:tcW w:w="3453" w:type="dxa"/>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中文名：稀释剂</w:t>
                  </w:r>
                </w:p>
              </w:tc>
              <w:tc>
                <w:tcPr>
                  <w:tcW w:w="4506" w:type="dxa"/>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英文名</w:t>
                  </w:r>
                  <w:r>
                    <w:rPr>
                      <w:rFonts w:hint="default" w:hAnsi="Times New Roman" w:cs="Times New Roman"/>
                      <w:bCs/>
                      <w:color w:val="000000" w:themeColor="text1"/>
                      <w:sz w:val="21"/>
                      <w:szCs w:val="21"/>
                      <w:lang w:val="en-GB"/>
                      <w14:textFill>
                        <w14:solidFill>
                          <w14:schemeClr w14:val="tx1"/>
                        </w14:solidFill>
                      </w14:textFill>
                    </w:rPr>
                    <w:t>：</w:t>
                  </w:r>
                  <w:r>
                    <w:rPr>
                      <w:rFonts w:hint="default" w:hAnsi="Times New Roman" w:cs="Times New Roman"/>
                      <w:bCs/>
                      <w:color w:val="000000" w:themeColor="text1"/>
                      <w:sz w:val="21"/>
                      <w:szCs w:val="21"/>
                      <w14:textFill>
                        <w14:solidFill>
                          <w14:schemeClr w14:val="tx1"/>
                        </w14:solidFill>
                      </w14:textFill>
                    </w:rPr>
                    <w:t>Thinner</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Merge w:val="restart"/>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危险特性</w:t>
                  </w: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危险性类别：第3.2类中闪点液体</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Merge w:val="continue"/>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left"/>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易燃、有害；遇明火、高热易引起燃烧；其蒸汽与空气形成爆炸性混合物，遇明火、高热能引起燃烧爆炸。蒸汽比空气重，能在较低处扩散到相当远的地方，遇火源易引着回燃。若遇高热，盛装本品的容器内压增大，有开裂和爆炸危险。</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Merge w:val="continue"/>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燃烧(分解)产物：一氧化碳、二氧化碳</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Merge w:val="continue"/>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left"/>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灭火方法：消防人员必须佩戴正压式呼吸器，穿全身消防防护服，尽量在上风处灭火，可用泡沫、二氧化碳、干粉及干砂灭火，禁止使用水灭火。</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健康危害</w:t>
                  </w: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left"/>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侵入途径：吸入、食入、经皮吸收。</w:t>
                  </w:r>
                  <w:r>
                    <w:rPr>
                      <w:rFonts w:hint="default" w:hAnsi="Times New Roman" w:cs="Times New Roman"/>
                      <w:bCs/>
                      <w:color w:val="000000" w:themeColor="text1"/>
                      <w:sz w:val="21"/>
                      <w:szCs w:val="21"/>
                      <w14:textFill>
                        <w14:solidFill>
                          <w14:schemeClr w14:val="tx1"/>
                        </w14:solidFill>
                      </w14:textFill>
                    </w:rPr>
                    <w:br w:type="textWrapping"/>
                  </w:r>
                  <w:r>
                    <w:rPr>
                      <w:rFonts w:hint="default" w:hAnsi="Times New Roman" w:cs="Times New Roman"/>
                      <w:bCs/>
                      <w:color w:val="000000" w:themeColor="text1"/>
                      <w:sz w:val="21"/>
                      <w:szCs w:val="21"/>
                      <w14:textFill>
                        <w14:solidFill>
                          <w14:schemeClr w14:val="tx1"/>
                        </w14:solidFill>
                      </w14:textFill>
                    </w:rPr>
                    <w:t>健康危害：接触或使用本品对人体有害。其蒸汽对眼、粘膜、上呼吸道、皮肤有刺激作用，对中枢神经有麻醉作用，长期接触或短期内吸入高浓度蒸汽可有头晕、头痛、恶心、呕吐、食欲不振、胸闷、四肢无力、眼灼痛及皮肤干燥、皲裂及皮肤病等症状。能造成急性中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24" w:type="dxa"/>
                  <w:vAlign w:val="center"/>
                </w:tcPr>
                <w:p>
                  <w:pPr>
                    <w:pStyle w:val="137"/>
                    <w:keepNext w:val="0"/>
                    <w:keepLines w:val="0"/>
                    <w:suppressLineNumbers w:val="0"/>
                    <w:adjustRightInd w:val="0"/>
                    <w:spacing w:before="0" w:beforeAutospacing="0" w:after="0" w:afterAutospacing="0" w:line="240" w:lineRule="auto"/>
                    <w:ind w:left="0" w:leftChars="-1" w:right="0" w:hanging="2" w:hangingChars="1"/>
                    <w:jc w:val="center"/>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环境危害</w:t>
                  </w:r>
                </w:p>
              </w:tc>
              <w:tc>
                <w:tcPr>
                  <w:tcW w:w="7959" w:type="dxa"/>
                  <w:gridSpan w:val="2"/>
                  <w:vAlign w:val="center"/>
                </w:tcPr>
                <w:p>
                  <w:pPr>
                    <w:pStyle w:val="137"/>
                    <w:keepNext w:val="0"/>
                    <w:keepLines w:val="0"/>
                    <w:suppressLineNumbers w:val="0"/>
                    <w:adjustRightInd w:val="0"/>
                    <w:spacing w:before="0" w:beforeAutospacing="0" w:after="0" w:afterAutospacing="0" w:line="240" w:lineRule="auto"/>
                    <w:ind w:left="0" w:leftChars="-1" w:right="0" w:hanging="2" w:hangingChars="1"/>
                    <w:textAlignment w:val="center"/>
                    <w:rPr>
                      <w:rFonts w:hint="default" w:hAnsi="Times New Roman" w:cs="Times New Roman"/>
                      <w:bCs/>
                      <w:color w:val="000000" w:themeColor="text1"/>
                      <w:sz w:val="21"/>
                      <w:szCs w:val="21"/>
                      <w14:textFill>
                        <w14:solidFill>
                          <w14:schemeClr w14:val="tx1"/>
                        </w14:solidFill>
                      </w14:textFill>
                    </w:rPr>
                  </w:pPr>
                  <w:r>
                    <w:rPr>
                      <w:rFonts w:hint="default" w:hAnsi="Times New Roman" w:cs="Times New Roman"/>
                      <w:bCs/>
                      <w:color w:val="000000" w:themeColor="text1"/>
                      <w:sz w:val="21"/>
                      <w:szCs w:val="21"/>
                      <w14:textFill>
                        <w14:solidFill>
                          <w14:schemeClr w14:val="tx1"/>
                        </w14:solidFill>
                      </w14:textFill>
                    </w:rPr>
                    <w:t>本品对环境有害，主要体现在对大气的污染。</w:t>
                  </w:r>
                </w:p>
              </w:tc>
            </w:tr>
          </w:tbl>
          <w:p>
            <w:pPr>
              <w:pStyle w:val="92"/>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2"/>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表48   油类物质危险、危害特性</w:t>
            </w:r>
          </w:p>
          <w:tbl>
            <w:tblPr>
              <w:tblStyle w:val="3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785"/>
              <w:gridCol w:w="3670"/>
              <w:gridCol w:w="432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标识</w:t>
                  </w:r>
                </w:p>
              </w:tc>
              <w:tc>
                <w:tcPr>
                  <w:tcW w:w="2089"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中文名：油类物质 </w:t>
                  </w:r>
                </w:p>
              </w:tc>
              <w:tc>
                <w:tcPr>
                  <w:tcW w:w="2463"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英文名：</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restar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危险</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特性</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危险性类别：易燃有毒</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40" w:hRule="atLeast"/>
                <w:jc w:val="center"/>
              </w:trPr>
              <w:tc>
                <w:tcPr>
                  <w:tcW w:w="447" w:type="pct"/>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其蒸气与空气可形成爆炸性混合物，遇明火、高热极易燃烧爆炸。与氧化剂能发生强烈反应。其蒸气比空气重，能在较低处扩散到相当远的地方，遇火源会着火回燃。</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处理措施：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运至废物处理场所处置</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健康</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危害</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急性中毒：对中枢神经系统有麻醉作用。轻度中毒症状有头晕、头痛、恶心、呕吐、步态不稳、共济失调。高浓度吸入出现中毒性脑病。液体吸入呼吸道可引起吸入性肺炎。溅入眼内可致角膜溃疡、穿孔，甚至失明。皮肤接触致急性接触性皮炎，甚至灼伤。慢性中毒：神经衰弱综合征、植物神经功能紊乱、周围神经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47" w:type="pct"/>
                  <w:vAlign w:val="center"/>
                </w:tcPr>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w:t>
                  </w:r>
                </w:p>
                <w:p>
                  <w:pPr>
                    <w:keepNext w:val="0"/>
                    <w:keepLines w:val="0"/>
                    <w:widowControl/>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危害</w:t>
                  </w:r>
                </w:p>
              </w:tc>
              <w:tc>
                <w:tcPr>
                  <w:tcW w:w="4553" w:type="pct"/>
                  <w:gridSpan w:val="2"/>
                  <w:vAlign w:val="center"/>
                </w:tcPr>
                <w:p>
                  <w:pPr>
                    <w:keepNext w:val="0"/>
                    <w:keepLines w:val="0"/>
                    <w:widowControl/>
                    <w:suppressLineNumbers w:val="0"/>
                    <w:spacing w:before="0" w:beforeAutospacing="0" w:after="0" w:afterAutospacing="0"/>
                    <w:ind w:left="0" w:right="0"/>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本品对环境有害，主要体现在对大气的污染。</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（4）风险防范措施及应急要求：</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物料库内的油漆、稀释剂、机油的存储遵循《危险化学品安全管理条例》；厂区内严禁吸烟和明火，杜绝火源。油漆使用和贮存场所附近要安全用电，加强防爆。</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（5）分析结论</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厂区内严禁吸烟和明火，杜绝火源，同时项目配备有足够的灭火器材，对员工有专门的安全教育。 评价认为项目发生事故主要是燃烧，燃烧产生的废气后对环境的影响很小，通过加强管理其环境风险是可控的。</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表49   建设项目环境风险简单分析内容表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291"/>
              <w:gridCol w:w="1388"/>
              <w:gridCol w:w="1709"/>
              <w:gridCol w:w="1465"/>
              <w:gridCol w:w="14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建设项目名称</w:t>
                  </w:r>
                </w:p>
              </w:tc>
              <w:tc>
                <w:tcPr>
                  <w:tcW w:w="7320"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东方航空技术有限公司西北分公司1号机库改造项目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建设地点</w:t>
                  </w:r>
                </w:p>
              </w:tc>
              <w:tc>
                <w:tcPr>
                  <w:tcW w:w="1291"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（陕西）省</w:t>
                  </w:r>
                </w:p>
              </w:tc>
              <w:tc>
                <w:tcPr>
                  <w:tcW w:w="138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（西安）市</w:t>
                  </w:r>
                </w:p>
              </w:tc>
              <w:tc>
                <w:tcPr>
                  <w:tcW w:w="1709"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（西咸新区）区</w:t>
                  </w:r>
                </w:p>
              </w:tc>
              <w:tc>
                <w:tcPr>
                  <w:tcW w:w="146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（/）县</w:t>
                  </w:r>
                </w:p>
              </w:tc>
              <w:tc>
                <w:tcPr>
                  <w:tcW w:w="146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地理坐标</w:t>
                  </w:r>
                </w:p>
              </w:tc>
              <w:tc>
                <w:tcPr>
                  <w:tcW w:w="1291"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经度</w:t>
                  </w:r>
                </w:p>
              </w:tc>
              <w:tc>
                <w:tcPr>
                  <w:tcW w:w="1388"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108.769315</w:t>
                  </w:r>
                </w:p>
              </w:tc>
              <w:tc>
                <w:tcPr>
                  <w:tcW w:w="1709"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纬度</w:t>
                  </w:r>
                </w:p>
              </w:tc>
              <w:tc>
                <w:tcPr>
                  <w:tcW w:w="2932"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34.448153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主要危险物质及分布</w:t>
                  </w:r>
                </w:p>
              </w:tc>
              <w:tc>
                <w:tcPr>
                  <w:tcW w:w="7320"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油漆和稀释剂，最大存储量为1.375t，机油最大存储量为0.2t，存放至原料库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3"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环境影响途径及危害后果（大气、地表水、地下水等）</w:t>
                  </w:r>
                </w:p>
              </w:tc>
              <w:tc>
                <w:tcPr>
                  <w:tcW w:w="7320" w:type="dxa"/>
                  <w:gridSpan w:val="5"/>
                  <w:vAlign w:val="center"/>
                </w:tcPr>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燃烧爆炸会产生有毒气体，吸入有毒气体会产生呼吸道刺激作用。 </w:t>
                  </w:r>
                </w:p>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大气影响：燃烧产生的废气会影响大气环境。 </w:t>
                  </w:r>
                </w:p>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地表水地下水影响：会对地表水、地下水造成影响。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风险防范措施要求</w:t>
                  </w:r>
                </w:p>
              </w:tc>
              <w:tc>
                <w:tcPr>
                  <w:tcW w:w="7320"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保持存储区通风，远离火种；配备灭火器材；加强人员安全教育，规范操作。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146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填表说明（列出项目相关信息及评价说明）</w:t>
                  </w:r>
                </w:p>
              </w:tc>
              <w:tc>
                <w:tcPr>
                  <w:tcW w:w="7320" w:type="dxa"/>
                  <w:gridSpan w:val="5"/>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评价认为项目发生的事故主要是燃烧爆炸，燃烧爆炸后对环境的影响很小，其造成的影响主要是人身安全事故及大气环境影响，对地表水和地下水等环境产生较小影响，通过加强管理其环境风险是可控的。</w:t>
                  </w:r>
                </w:p>
              </w:tc>
            </w:tr>
          </w:tbl>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2"/>
                <w14:textFill>
                  <w14:solidFill>
                    <w14:schemeClr w14:val="tx1"/>
                  </w14:solidFill>
                </w14:textFill>
              </w:rPr>
            </w:pPr>
            <w:r>
              <w:rPr>
                <w:rFonts w:hint="default"/>
                <w:color w:val="000000" w:themeColor="text1"/>
                <w:sz w:val="24"/>
                <w:szCs w:val="22"/>
                <w14:textFill>
                  <w14:solidFill>
                    <w14:schemeClr w14:val="tx1"/>
                  </w14:solidFill>
                </w14:textFill>
              </w:rPr>
              <w:t>项目环境风险评价自查表见表50。</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表50  项目环境风险评价自查表</w:t>
            </w:r>
          </w:p>
          <w:tbl>
            <w:tblPr>
              <w:tblStyle w:val="39"/>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716"/>
              <w:gridCol w:w="1315"/>
              <w:gridCol w:w="1611"/>
              <w:gridCol w:w="172"/>
              <w:gridCol w:w="569"/>
              <w:gridCol w:w="418"/>
              <w:gridCol w:w="292"/>
              <w:gridCol w:w="1000"/>
              <w:gridCol w:w="657"/>
              <w:gridCol w:w="733"/>
              <w:gridCol w:w="6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工作内容</w:t>
                  </w:r>
                </w:p>
              </w:tc>
              <w:tc>
                <w:tcPr>
                  <w:tcW w:w="7463" w:type="dxa"/>
                  <w:gridSpan w:val="10"/>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完成情况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04"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风险调查</w:t>
                  </w:r>
                </w:p>
              </w:tc>
              <w:tc>
                <w:tcPr>
                  <w:tcW w:w="71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危险物质</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名称</w:t>
                  </w:r>
                </w:p>
              </w:tc>
              <w:tc>
                <w:tcPr>
                  <w:tcW w:w="1611"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油漆、稀释剂</w:t>
                  </w:r>
                </w:p>
              </w:tc>
              <w:tc>
                <w:tcPr>
                  <w:tcW w:w="741"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机油</w:t>
                  </w:r>
                </w:p>
              </w:tc>
              <w:tc>
                <w:tcPr>
                  <w:tcW w:w="71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000"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5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3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存在总量/t</w:t>
                  </w:r>
                </w:p>
              </w:tc>
              <w:tc>
                <w:tcPr>
                  <w:tcW w:w="1611"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1.375</w:t>
                  </w:r>
                </w:p>
              </w:tc>
              <w:tc>
                <w:tcPr>
                  <w:tcW w:w="741"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p>
              </w:tc>
              <w:tc>
                <w:tcPr>
                  <w:tcW w:w="71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000"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57"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33"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9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环境敏感性</w:t>
                  </w:r>
                </w:p>
              </w:tc>
              <w:tc>
                <w:tcPr>
                  <w:tcW w:w="131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w:t>
                  </w:r>
                </w:p>
              </w:tc>
              <w:tc>
                <w:tcPr>
                  <w:tcW w:w="3062"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500m范围内人口数</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人</w:t>
                  </w:r>
                </w:p>
              </w:tc>
              <w:tc>
                <w:tcPr>
                  <w:tcW w:w="3086"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5km范围内人口数</w:t>
                  </w:r>
                  <w:r>
                    <w:rPr>
                      <w:rFonts w:hint="default"/>
                      <w:color w:val="000000" w:themeColor="text1"/>
                      <w:u w:val="single"/>
                      <w14:textFill>
                        <w14:solidFill>
                          <w14:schemeClr w14:val="tx1"/>
                        </w14:solidFill>
                      </w14:textFill>
                    </w:rPr>
                    <w:t xml:space="preserve">  6300  </w:t>
                  </w:r>
                  <w:r>
                    <w:rPr>
                      <w:rFonts w:hint="default"/>
                      <w:color w:val="000000" w:themeColor="text1"/>
                      <w14:textFill>
                        <w14:solidFill>
                          <w14:schemeClr w14:val="tx1"/>
                        </w14:solidFill>
                      </w14:textFill>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4719" w:type="dxa"/>
                  <w:gridSpan w:val="7"/>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每公里管段周边200m范围内人口数（最大）</w:t>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地表水功能敏感性</w:t>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F1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F2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F3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环境敏感目标分级</w:t>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S1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S2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S3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地下水</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地下水功能敏感性</w:t>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G1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G2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G3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包气带防污性能</w:t>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D1 </w:t>
                  </w:r>
                  <w:r>
                    <w:rPr>
                      <w:rFonts w:hint="default"/>
                      <w:color w:val="000000" w:themeColor="text1"/>
                      <w14:textFill>
                        <w14:solidFill>
                          <w14:schemeClr w14:val="tx1"/>
                        </w14:solidFill>
                      </w14:textFill>
                    </w:rPr>
                    <w:sym w:font="Wingdings 2" w:char="0052"/>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D2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D3 </w:t>
                  </w:r>
                  <w:r>
                    <w:rPr>
                      <w:rFonts w:hint="default"/>
                      <w:color w:val="000000" w:themeColor="text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物质及工艺系统危险性</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Q值</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Q＜1</w:t>
                  </w:r>
                  <w:r>
                    <w:rPr>
                      <w:rFonts w:hint="default"/>
                      <w:color w:val="000000" w:themeColor="text1"/>
                      <w14:textFill>
                        <w14:solidFill>
                          <w14:schemeClr w14:val="tx1"/>
                        </w14:solidFill>
                      </w14:textFill>
                    </w:rPr>
                    <w:sym w:font="Wingdings 2" w:char="0052"/>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1≤Q＜10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10≤Q＜100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Q＞100 </w:t>
                  </w:r>
                  <w:r>
                    <w:rPr>
                      <w:rFonts w:hint="default"/>
                      <w:color w:val="000000" w:themeColor="text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M值</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M1 </w:t>
                  </w:r>
                  <w:r>
                    <w:rPr>
                      <w:rFonts w:hint="default"/>
                      <w:color w:val="000000" w:themeColor="text1"/>
                      <w14:textFill>
                        <w14:solidFill>
                          <w14:schemeClr w14:val="tx1"/>
                        </w14:solidFill>
                      </w14:textFill>
                    </w:rPr>
                    <w:sym w:font="Wingdings 2" w:char="00A3"/>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M2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M3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M4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P值</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P1 </w:t>
                  </w:r>
                  <w:r>
                    <w:rPr>
                      <w:rFonts w:hint="default"/>
                      <w:color w:val="000000" w:themeColor="text1"/>
                      <w14:textFill>
                        <w14:solidFill>
                          <w14:schemeClr w14:val="tx1"/>
                        </w14:solidFill>
                      </w14:textFill>
                    </w:rPr>
                    <w:sym w:font="Wingdings 2" w:char="00A3"/>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P2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P3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P4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环境敏感程度</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E1 </w:t>
                  </w:r>
                  <w:r>
                    <w:rPr>
                      <w:rFonts w:hint="default"/>
                      <w:color w:val="000000" w:themeColor="text1"/>
                      <w14:textFill>
                        <w14:solidFill>
                          <w14:schemeClr w14:val="tx1"/>
                        </w14:solidFill>
                      </w14:textFill>
                    </w:rPr>
                    <w:sym w:font="Wingdings 2" w:char="00A3"/>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E2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E1 </w:t>
                  </w:r>
                  <w:r>
                    <w:rPr>
                      <w:rFonts w:hint="default"/>
                      <w:color w:val="000000" w:themeColor="text1"/>
                      <w14:textFill>
                        <w14:solidFill>
                          <w14:schemeClr w14:val="tx1"/>
                        </w14:solidFill>
                      </w14:textFill>
                    </w:rPr>
                    <w:sym w:font="Wingdings 2" w:char="00A3"/>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E2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地下水</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E1 </w:t>
                  </w:r>
                  <w:r>
                    <w:rPr>
                      <w:rFonts w:hint="default"/>
                      <w:color w:val="000000" w:themeColor="text1"/>
                      <w14:textFill>
                        <w14:solidFill>
                          <w14:schemeClr w14:val="tx1"/>
                        </w14:solidFill>
                      </w14:textFill>
                    </w:rPr>
                    <w:sym w:font="Wingdings 2" w:char="00A3"/>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E2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E3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环境风险潜势</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IV</w:t>
                  </w:r>
                  <w:r>
                    <w:rPr>
                      <w:rFonts w:hint="default"/>
                      <w:color w:val="000000" w:themeColor="text1"/>
                      <w:vertAlign w:val="superscript"/>
                      <w14:textFill>
                        <w14:solidFill>
                          <w14:schemeClr w14:val="tx1"/>
                        </w14:solidFill>
                      </w14:textFill>
                    </w:rPr>
                    <w:t>+</w:t>
                  </w:r>
                  <w:r>
                    <w:rPr>
                      <w:rFonts w:hint="default"/>
                      <w:color w:val="000000" w:themeColor="text1"/>
                      <w14:textFill>
                        <w14:solidFill>
                          <w14:schemeClr w14:val="tx1"/>
                        </w14:solidFill>
                      </w14:textFill>
                    </w:rPr>
                    <w:t xml:space="preserve"> </w:t>
                  </w:r>
                  <w:r>
                    <w:rPr>
                      <w:rFonts w:hint="default"/>
                      <w:color w:val="000000" w:themeColor="text1"/>
                      <w14:textFill>
                        <w14:solidFill>
                          <w14:schemeClr w14:val="tx1"/>
                        </w14:solidFill>
                      </w14:textFill>
                    </w:rPr>
                    <w:sym w:font="Wingdings 2" w:char="00A3"/>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IV </w:t>
                  </w:r>
                  <w:r>
                    <w:rPr>
                      <w:rFonts w:hint="default"/>
                      <w:color w:val="000000" w:themeColor="text1"/>
                      <w14:textFill>
                        <w14:solidFill>
                          <w14:schemeClr w14:val="tx1"/>
                        </w14:solidFill>
                      </w14:textFill>
                    </w:rPr>
                    <w:sym w:font="Wingdings 2" w:char="00A3"/>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III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II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I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评价等级</w:t>
                  </w:r>
                </w:p>
              </w:tc>
              <w:tc>
                <w:tcPr>
                  <w:tcW w:w="3098"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一级 </w:t>
                  </w:r>
                  <w:r>
                    <w:rPr>
                      <w:rFonts w:hint="default"/>
                      <w:color w:val="000000" w:themeColor="text1"/>
                      <w14:textFill>
                        <w14:solidFill>
                          <w14:schemeClr w14:val="tx1"/>
                        </w14:solidFill>
                      </w14:textFill>
                    </w:rPr>
                    <w:sym w:font="Wingdings 2" w:char="00A3"/>
                  </w:r>
                </w:p>
              </w:tc>
              <w:tc>
                <w:tcPr>
                  <w:tcW w:w="1279"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二级 </w:t>
                  </w:r>
                  <w:r>
                    <w:rPr>
                      <w:rFonts w:hint="default"/>
                      <w:color w:val="000000" w:themeColor="text1"/>
                      <w14:textFill>
                        <w14:solidFill>
                          <w14:schemeClr w14:val="tx1"/>
                        </w14:solidFill>
                      </w14:textFill>
                    </w:rPr>
                    <w:sym w:font="Wingdings 2" w:char="00A3"/>
                  </w:r>
                </w:p>
              </w:tc>
              <w:tc>
                <w:tcPr>
                  <w:tcW w:w="1657"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三级 </w:t>
                  </w:r>
                  <w:r>
                    <w:rPr>
                      <w:rFonts w:hint="default"/>
                      <w:color w:val="000000" w:themeColor="text1"/>
                      <w14:textFill>
                        <w14:solidFill>
                          <w14:schemeClr w14:val="tx1"/>
                        </w14:solidFill>
                      </w14:textFill>
                    </w:rPr>
                    <w:sym w:font="Wingdings 2" w:char="00A3"/>
                  </w:r>
                </w:p>
              </w:tc>
              <w:tc>
                <w:tcPr>
                  <w:tcW w:w="1429"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简单分析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restart"/>
                  <w:textDirection w:val="tbRlV"/>
                  <w:vAlign w:val="center"/>
                </w:tcPr>
                <w:p>
                  <w:pPr>
                    <w:keepNext w:val="0"/>
                    <w:keepLines w:val="0"/>
                    <w:suppressLineNumbers w:val="0"/>
                    <w:spacing w:before="0" w:beforeAutospacing="0" w:after="0" w:afterAutospacing="0"/>
                    <w:ind w:left="113" w:right="113"/>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风 险 识 别</w:t>
                  </w:r>
                </w:p>
              </w:tc>
              <w:tc>
                <w:tcPr>
                  <w:tcW w:w="71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物质危险性</w:t>
                  </w:r>
                </w:p>
              </w:tc>
              <w:tc>
                <w:tcPr>
                  <w:tcW w:w="4085"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有毒有害 </w:t>
                  </w:r>
                  <w:r>
                    <w:rPr>
                      <w:rFonts w:hint="default"/>
                      <w:color w:val="000000" w:themeColor="text1"/>
                      <w14:textFill>
                        <w14:solidFill>
                          <w14:schemeClr w14:val="tx1"/>
                        </w14:solidFill>
                      </w14:textFill>
                    </w:rPr>
                    <w:sym w:font="Wingdings 2" w:char="00A3"/>
                  </w:r>
                </w:p>
              </w:tc>
              <w:tc>
                <w:tcPr>
                  <w:tcW w:w="3378" w:type="dxa"/>
                  <w:gridSpan w:val="5"/>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易燃易爆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环境风险类型</w:t>
                  </w:r>
                </w:p>
              </w:tc>
              <w:tc>
                <w:tcPr>
                  <w:tcW w:w="3098"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泄漏 </w:t>
                  </w:r>
                  <w:r>
                    <w:rPr>
                      <w:rFonts w:hint="default"/>
                      <w:color w:val="000000" w:themeColor="text1"/>
                      <w14:textFill>
                        <w14:solidFill>
                          <w14:schemeClr w14:val="tx1"/>
                        </w14:solidFill>
                      </w14:textFill>
                    </w:rPr>
                    <w:sym w:font="Wingdings 2" w:char="00A3"/>
                  </w:r>
                </w:p>
              </w:tc>
              <w:tc>
                <w:tcPr>
                  <w:tcW w:w="4365" w:type="dxa"/>
                  <w:gridSpan w:val="7"/>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火灾、爆炸引发伴生/次生污染物排放 </w:t>
                  </w:r>
                  <w:r>
                    <w:rPr>
                      <w:rFonts w:hint="default"/>
                      <w:color w:val="000000" w:themeColor="text1"/>
                      <w14:textFill>
                        <w14:solidFill>
                          <w14:schemeClr w14:val="tx1"/>
                        </w14:solidFill>
                      </w14:textFill>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影响途径</w:t>
                  </w:r>
                </w:p>
              </w:tc>
              <w:tc>
                <w:tcPr>
                  <w:tcW w:w="3098"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大气 </w:t>
                  </w:r>
                  <w:r>
                    <w:rPr>
                      <w:rFonts w:hint="default"/>
                      <w:color w:val="000000" w:themeColor="text1"/>
                      <w14:textFill>
                        <w14:solidFill>
                          <w14:schemeClr w14:val="tx1"/>
                        </w14:solidFill>
                      </w14:textFill>
                    </w:rPr>
                    <w:sym w:font="Wingdings 2" w:char="0052"/>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地表水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地下水 </w:t>
                  </w:r>
                  <w:r>
                    <w:rPr>
                      <w:rFonts w:hint="default"/>
                      <w:color w:val="000000" w:themeColor="text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事故情形分析</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源强设定方法</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计算法 </w:t>
                  </w:r>
                  <w:r>
                    <w:rPr>
                      <w:rFonts w:hint="default"/>
                      <w:color w:val="000000" w:themeColor="text1"/>
                      <w14:textFill>
                        <w14:solidFill>
                          <w14:schemeClr w14:val="tx1"/>
                        </w14:solidFill>
                      </w14:textFill>
                    </w:rPr>
                    <w:sym w:font="Wingdings 2" w:char="00A3"/>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经验估算法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其他估算法 </w:t>
                  </w:r>
                  <w:r>
                    <w:rPr>
                      <w:rFonts w:hint="default"/>
                      <w:color w:val="000000" w:themeColor="text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restart"/>
                  <w:textDirection w:val="tbRlV"/>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风 险 预 测 与 评 价</w:t>
                  </w:r>
                </w:p>
              </w:tc>
              <w:tc>
                <w:tcPr>
                  <w:tcW w:w="71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w:t>
                  </w:r>
                </w:p>
              </w:tc>
              <w:tc>
                <w:tcPr>
                  <w:tcW w:w="131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预测模型</w:t>
                  </w:r>
                </w:p>
              </w:tc>
              <w:tc>
                <w:tcPr>
                  <w:tcW w:w="1783"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SLAB </w:t>
                  </w:r>
                  <w:r>
                    <w:rPr>
                      <w:rFonts w:hint="default"/>
                      <w:color w:val="000000" w:themeColor="text1"/>
                      <w14:textFill>
                        <w14:solidFill>
                          <w14:schemeClr w14:val="tx1"/>
                        </w14:solidFill>
                      </w14:textFill>
                    </w:rPr>
                    <w:sym w:font="Wingdings 2" w:char="00A3"/>
                  </w:r>
                </w:p>
              </w:tc>
              <w:tc>
                <w:tcPr>
                  <w:tcW w:w="2279" w:type="dxa"/>
                  <w:gridSpan w:val="4"/>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AFTOX </w:t>
                  </w:r>
                  <w:r>
                    <w:rPr>
                      <w:rFonts w:hint="default"/>
                      <w:color w:val="000000" w:themeColor="text1"/>
                      <w14:textFill>
                        <w14:solidFill>
                          <w14:schemeClr w14:val="tx1"/>
                        </w14:solidFill>
                      </w14:textFill>
                    </w:rPr>
                    <w:sym w:font="Wingdings 2" w:char="00A3"/>
                  </w:r>
                </w:p>
              </w:tc>
              <w:tc>
                <w:tcPr>
                  <w:tcW w:w="2086" w:type="dxa"/>
                  <w:gridSpan w:val="3"/>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其他 </w:t>
                  </w:r>
                  <w:r>
                    <w:rPr>
                      <w:rFonts w:hint="default"/>
                      <w:color w:val="000000" w:themeColor="text1"/>
                      <w14:textFill>
                        <w14:solidFill>
                          <w14:schemeClr w14:val="tx1"/>
                        </w14:solidFill>
                      </w14:textFill>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预测结果</w:t>
                  </w:r>
                </w:p>
              </w:tc>
              <w:tc>
                <w:tcPr>
                  <w:tcW w:w="6148" w:type="dxa"/>
                  <w:gridSpan w:val="9"/>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大气毒性终点浓度-1 最大影响范围</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15"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148" w:type="dxa"/>
                  <w:gridSpan w:val="9"/>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大气毒性终点浓度-2 最大影响范围</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地表水</w:t>
                  </w:r>
                </w:p>
              </w:tc>
              <w:tc>
                <w:tcPr>
                  <w:tcW w:w="7463" w:type="dxa"/>
                  <w:gridSpan w:val="10"/>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最近环境敏感目标</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，到达时间</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地下水</w:t>
                  </w:r>
                </w:p>
              </w:tc>
              <w:tc>
                <w:tcPr>
                  <w:tcW w:w="7463" w:type="dxa"/>
                  <w:gridSpan w:val="10"/>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下游厂区边界到达时间</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16"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7463" w:type="dxa"/>
                  <w:gridSpan w:val="10"/>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最近环境敏感目标</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，到达时间</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重点风险防范措施</w:t>
                  </w:r>
                </w:p>
              </w:tc>
              <w:tc>
                <w:tcPr>
                  <w:tcW w:w="7463" w:type="dxa"/>
                  <w:gridSpan w:val="10"/>
                  <w:vAlign w:val="center"/>
                </w:tcPr>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 原料库内的油漆、稀释剂及机油的存储遵循《危险化学品安全管理条例》；厂区内严禁吸烟和明火，杜绝火源。油漆使用和贮存场所附近要安全用电，加强防爆。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评价结论与建议</w:t>
                  </w:r>
                </w:p>
              </w:tc>
              <w:tc>
                <w:tcPr>
                  <w:tcW w:w="7463" w:type="dxa"/>
                  <w:gridSpan w:val="10"/>
                  <w:vAlign w:val="center"/>
                </w:tcPr>
                <w:p>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 xml:space="preserve"> 机库内严禁吸烟和明火，杜绝火源，同时项目配备有足够的灭火器材，对员工有专门的安全教育。 评价认为项目发生事故主要是燃烧，燃烧产生的废气后对环境的影响很小，通过加强管理其环境风险是可控的。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783" w:type="dxa"/>
                  <w:gridSpan w:val="1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注：“</w:t>
                  </w:r>
                  <w:r>
                    <w:rPr>
                      <w:rFonts w:hint="default"/>
                      <w:color w:val="000000" w:themeColor="text1"/>
                      <w14:textFill>
                        <w14:solidFill>
                          <w14:schemeClr w14:val="tx1"/>
                        </w14:solidFill>
                      </w14:textFill>
                    </w:rPr>
                    <w:sym w:font="Wingdings 2" w:char="00A3"/>
                  </w:r>
                  <w:r>
                    <w:rPr>
                      <w:rFonts w:hint="default"/>
                      <w:color w:val="000000" w:themeColor="text1"/>
                      <w14:textFill>
                        <w14:solidFill>
                          <w14:schemeClr w14:val="tx1"/>
                        </w14:solidFill>
                      </w14:textFill>
                    </w:rPr>
                    <w:t>”为勾选项，“</w:t>
                  </w:r>
                  <w:r>
                    <w:rPr>
                      <w:rFonts w:hint="default"/>
                      <w:color w:val="000000" w:themeColor="text1"/>
                      <w:u w:val="single"/>
                      <w14:textFill>
                        <w14:solidFill>
                          <w14:schemeClr w14:val="tx1"/>
                        </w14:solidFill>
                      </w14:textFill>
                    </w:rPr>
                    <w:t xml:space="preserve">   </w:t>
                  </w:r>
                  <w:r>
                    <w:rPr>
                      <w:rFonts w:hint="default"/>
                      <w:color w:val="000000" w:themeColor="text1"/>
                      <w14:textFill>
                        <w14:solidFill>
                          <w14:schemeClr w14:val="tx1"/>
                        </w14:solidFill>
                      </w14:textFill>
                    </w:rPr>
                    <w:t>”为填写项</w:t>
                  </w:r>
                </w:p>
              </w:tc>
            </w:tr>
          </w:tbl>
          <w:p>
            <w:pPr>
              <w:keepNext w:val="0"/>
              <w:keepLines w:val="0"/>
              <w:suppressLineNumbers w:val="0"/>
              <w:spacing w:before="0" w:beforeAutospacing="0" w:after="0" w:afterAutospacing="0" w:line="520" w:lineRule="exact"/>
              <w:ind w:left="0" w:right="0"/>
              <w:rPr>
                <w:rFonts w:hint="default" w:eastAsia="黑体"/>
                <w:szCs w:val="28"/>
              </w:rPr>
            </w:pPr>
            <w:r>
              <w:rPr>
                <w:rFonts w:hint="default" w:eastAsia="黑体"/>
                <w:szCs w:val="28"/>
              </w:rPr>
              <w:t xml:space="preserve">   三、技改项目“以新带老”及“三本账”</w:t>
            </w:r>
          </w:p>
          <w:p>
            <w:pPr>
              <w:keepNext w:val="0"/>
              <w:keepLines w:val="0"/>
              <w:suppressLineNumbers w:val="0"/>
              <w:spacing w:before="0" w:beforeAutospacing="0" w:after="0" w:afterAutospacing="0" w:line="520" w:lineRule="exact"/>
              <w:ind w:left="0" w:right="0" w:firstLine="482"/>
              <w:rPr>
                <w:rFonts w:hint="default"/>
                <w:sz w:val="24"/>
                <w:szCs w:val="24"/>
              </w:rPr>
            </w:pPr>
            <w:r>
              <w:rPr>
                <w:rFonts w:hint="default"/>
                <w:sz w:val="24"/>
                <w:szCs w:val="24"/>
              </w:rPr>
              <w:t>本项目技改前后完成后“三本账”见表</w:t>
            </w:r>
            <w:r>
              <w:rPr>
                <w:rFonts w:hint="eastAsia"/>
                <w:sz w:val="24"/>
                <w:szCs w:val="24"/>
              </w:rPr>
              <w:t>51</w:t>
            </w:r>
            <w:r>
              <w:rPr>
                <w:rFonts w:hint="default"/>
                <w:sz w:val="24"/>
                <w:szCs w:val="24"/>
              </w:rPr>
              <w:t>。</w:t>
            </w:r>
          </w:p>
          <w:p>
            <w:pPr>
              <w:keepNext w:val="0"/>
              <w:keepLines w:val="0"/>
              <w:suppressLineNumbers w:val="0"/>
              <w:adjustRightInd w:val="0"/>
              <w:snapToGrid w:val="0"/>
              <w:spacing w:before="0" w:beforeAutospacing="0" w:after="0" w:afterAutospacing="0"/>
              <w:ind w:left="0" w:right="0"/>
              <w:jc w:val="center"/>
              <w:rPr>
                <w:rFonts w:hint="default" w:eastAsia="黑体"/>
                <w:color w:val="000000" w:themeColor="text1"/>
                <w:sz w:val="24"/>
                <w14:textFill>
                  <w14:solidFill>
                    <w14:schemeClr w14:val="tx1"/>
                  </w14:solidFill>
                </w14:textFill>
              </w:rPr>
            </w:pPr>
            <w:r>
              <w:rPr>
                <w:rFonts w:hint="default" w:eastAsia="黑体"/>
                <w:color w:val="000000" w:themeColor="text1"/>
                <w:sz w:val="24"/>
                <w14:textFill>
                  <w14:solidFill>
                    <w14:schemeClr w14:val="tx1"/>
                  </w14:solidFill>
                </w14:textFill>
              </w:rPr>
              <w:t>表51   改扩建项目完成后“三本账”  单位t/a</w:t>
            </w:r>
          </w:p>
          <w:tbl>
            <w:tblPr>
              <w:tblStyle w:val="38"/>
              <w:tblW w:w="878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20"/>
              <w:gridCol w:w="1846"/>
              <w:gridCol w:w="1391"/>
              <w:gridCol w:w="1179"/>
              <w:gridCol w:w="1128"/>
              <w:gridCol w:w="1314"/>
              <w:gridCol w:w="120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20"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项目</w:t>
                  </w: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污染物</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现有工程排放量</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“以新带老”削减量</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改建项目排放量</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b/>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改扩建后排放量</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b/>
                      <w:color w:val="000000" w:themeColor="text1"/>
                      <w:kern w:val="0"/>
                      <w:lang w:bidi="ar"/>
                      <w14:textFill>
                        <w14:solidFill>
                          <w14:schemeClr w14:val="tx1"/>
                        </w14:solidFill>
                      </w14:textFill>
                    </w:rPr>
                    <w:t>污染物排放增减量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720" w:type="dxa"/>
                  <w:vMerge w:val="restart"/>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废气</w:t>
                  </w: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颗粒物</w:t>
                  </w:r>
                </w:p>
              </w:tc>
              <w:tc>
                <w:tcPr>
                  <w:tcW w:w="1391"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0.4576</w:t>
                  </w:r>
                </w:p>
              </w:tc>
              <w:tc>
                <w:tcPr>
                  <w:tcW w:w="1314"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0.4576</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+0.4576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720" w:type="dxa"/>
                  <w:vMerge w:val="continue"/>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非甲烷总烃</w:t>
                  </w:r>
                </w:p>
              </w:tc>
              <w:tc>
                <w:tcPr>
                  <w:tcW w:w="1391"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1.2785</w:t>
                  </w:r>
                </w:p>
              </w:tc>
              <w:tc>
                <w:tcPr>
                  <w:tcW w:w="1314" w:type="dxa"/>
                  <w:tcMar>
                    <w:top w:w="15" w:type="dxa"/>
                    <w:left w:w="15" w:type="dxa"/>
                    <w:bottom w:w="15" w:type="dxa"/>
                    <w:right w:w="15" w:type="dxa"/>
                  </w:tcMar>
                  <w:vAlign w:val="center"/>
                </w:tcPr>
                <w:p>
                  <w:pPr>
                    <w:keepNext w:val="0"/>
                    <w:keepLines w:val="0"/>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1.2785</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+1.2785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0.0367</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0.0367</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+0.0367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eastAsia=".Apple Color Emoji UI"/>
                      <w:color w:val="000000" w:themeColor="text1"/>
                      <w:kern w:val="0"/>
                      <w:lang w:bidi="ar"/>
                      <w14:textFill>
                        <w14:solidFill>
                          <w14:schemeClr w14:val="tx1"/>
                        </w14:solidFill>
                      </w14:textFill>
                    </w:rPr>
                  </w:pPr>
                  <w:r>
                    <w:rPr>
                      <w:rFonts w:hint="default" w:eastAsia=".Apple Color Emoji UI"/>
                      <w:color w:val="000000" w:themeColor="text1"/>
                      <w:kern w:val="0"/>
                      <w:lang w:bidi="ar"/>
                      <w14:textFill>
                        <w14:solidFill>
                          <w14:schemeClr w14:val="tx1"/>
                        </w14:solidFill>
                      </w14:textFill>
                    </w:rPr>
                    <w:t>二甲苯</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0.073</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0.073</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1" w:hRule="atLeast"/>
                <w:jc w:val="center"/>
              </w:trPr>
              <w:tc>
                <w:tcPr>
                  <w:tcW w:w="720" w:type="dxa"/>
                  <w:vMerge w:val="restart"/>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废水</w:t>
                  </w: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废水量</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687.18</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687.18</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+687.18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COD</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0.233</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0.233</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+0.233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BOD</w:t>
                  </w:r>
                  <w:r>
                    <w:rPr>
                      <w:rFonts w:hint="default"/>
                      <w:color w:val="000000" w:themeColor="text1"/>
                      <w:kern w:val="0"/>
                      <w:vertAlign w:val="subscript"/>
                      <w:lang w:bidi="ar"/>
                      <w14:textFill>
                        <w14:solidFill>
                          <w14:schemeClr w14:val="tx1"/>
                        </w14:solidFill>
                      </w14:textFill>
                    </w:rPr>
                    <w:t>5</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0.133</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0.133</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+0.133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SS</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0.0581</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0.0581</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+0.0581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NH</w:t>
                  </w:r>
                  <w:r>
                    <w:rPr>
                      <w:rFonts w:hint="default"/>
                      <w:color w:val="000000" w:themeColor="text1"/>
                      <w:kern w:val="0"/>
                      <w:vertAlign w:val="subscript"/>
                      <w:lang w:bidi="ar"/>
                      <w14:textFill>
                        <w14:solidFill>
                          <w14:schemeClr w14:val="tx1"/>
                        </w14:solidFill>
                      </w14:textFill>
                    </w:rPr>
                    <w:t>3</w:t>
                  </w:r>
                  <w:r>
                    <w:rPr>
                      <w:rFonts w:hint="default"/>
                      <w:color w:val="000000" w:themeColor="text1"/>
                      <w:kern w:val="0"/>
                      <w:lang w:bidi="ar"/>
                      <w14:textFill>
                        <w14:solidFill>
                          <w14:schemeClr w14:val="tx1"/>
                        </w14:solidFill>
                      </w14:textFill>
                    </w:rPr>
                    <w:t>-N</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0.0149</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0.0149</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+0.0149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TN</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0.022</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0.022</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+0.022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TP</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0.0048</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0.0048</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LAS</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0.0034</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0.0034</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+0.0034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石油类</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0.0023</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0.0023</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+0.0023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720" w:type="dxa"/>
                  <w:vMerge w:val="restart"/>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14:textFill>
                        <w14:solidFill>
                          <w14:schemeClr w14:val="tx1"/>
                        </w14:solidFill>
                      </w14:textFill>
                    </w:rPr>
                  </w:pPr>
                  <w:r>
                    <w:rPr>
                      <w:rFonts w:hint="default"/>
                      <w:color w:val="000000" w:themeColor="text1"/>
                      <w:kern w:val="0"/>
                      <w:lang w:bidi="ar"/>
                      <w14:textFill>
                        <w14:solidFill>
                          <w14:schemeClr w14:val="tx1"/>
                        </w14:solidFill>
                      </w14:textFill>
                    </w:rPr>
                    <w:t>固废</w:t>
                  </w: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废旧零部件</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1</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1</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废旧包装盒</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0.2</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0.2</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9.855</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9.855</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+9.855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废有机溶剂桶</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2</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2</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废机油、含有手套、抹布</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0.5</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0.5</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废过滤棉（含杂质）</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0.8</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0.8</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w:t>
                  </w:r>
                  <w:r>
                    <w:rPr>
                      <w:rFonts w:hint="eastAsia"/>
                      <w:color w:val="000000" w:themeColor="text1"/>
                      <w14:textFill>
                        <w14:solidFill>
                          <w14:schemeClr w14:val="tx1"/>
                        </w14:solidFill>
                      </w14:textFill>
                    </w:rPr>
                    <w:t>滤芯</w:t>
                  </w:r>
                  <w:r>
                    <w:rPr>
                      <w:rFonts w:hint="default"/>
                      <w:color w:val="000000" w:themeColor="text1"/>
                      <w14:textFill>
                        <w14:solidFill>
                          <w14:schemeClr w14:val="tx1"/>
                        </w14:solidFill>
                      </w14:textFill>
                    </w:rPr>
                    <w:t>（含漆雾）</w:t>
                  </w:r>
                  <w:r>
                    <w:rPr>
                      <w:rFonts w:hint="eastAsia"/>
                      <w:color w:val="000000" w:themeColor="text1"/>
                      <w14:textFill>
                        <w14:solidFill>
                          <w14:schemeClr w14:val="tx1"/>
                        </w14:solidFill>
                      </w14:textFill>
                    </w:rPr>
                    <w:t>、废滤芯（含漆粉尘）</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eastAsia"/>
                      <w:color w:val="000000" w:themeColor="text1"/>
                      <w14:textFill>
                        <w14:solidFill>
                          <w14:schemeClr w14:val="tx1"/>
                        </w14:solidFill>
                      </w14:textFill>
                    </w:rPr>
                    <w:t>5.8</w:t>
                  </w:r>
                  <w:r>
                    <w:rPr>
                      <w:rFonts w:hint="default"/>
                      <w:color w:val="000000" w:themeColor="text1"/>
                      <w14:textFill>
                        <w14:solidFill>
                          <w14:schemeClr w14:val="tx1"/>
                        </w14:solidFill>
                      </w14:textFill>
                    </w:rPr>
                    <w:t>04</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eastAsia"/>
                      <w:color w:val="000000" w:themeColor="text1"/>
                      <w14:textFill>
                        <w14:solidFill>
                          <w14:schemeClr w14:val="tx1"/>
                        </w14:solidFill>
                      </w14:textFill>
                    </w:rPr>
                    <w:t>5.8</w:t>
                  </w:r>
                  <w:r>
                    <w:rPr>
                      <w:rFonts w:hint="default"/>
                      <w:color w:val="000000" w:themeColor="text1"/>
                      <w14:textFill>
                        <w14:solidFill>
                          <w14:schemeClr w14:val="tx1"/>
                        </w14:solidFill>
                      </w14:textFill>
                    </w:rPr>
                    <w:t>04</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5.8</w:t>
                  </w:r>
                  <w:r>
                    <w:rPr>
                      <w:rFonts w:hint="default"/>
                      <w:color w:val="000000" w:themeColor="text1"/>
                      <w14:textFill>
                        <w14:solidFill>
                          <w14:schemeClr w14:val="tx1"/>
                        </w14:solidFill>
                      </w14:textFill>
                    </w:rPr>
                    <w:t>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720" w:type="dxa"/>
                  <w:vMerge w:val="continue"/>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1846" w:type="dxa"/>
                  <w:tcMar>
                    <w:top w:w="15" w:type="dxa"/>
                    <w:left w:w="15" w:type="dxa"/>
                    <w:bottom w:w="15" w:type="dxa"/>
                    <w:right w:w="15" w:type="dxa"/>
                  </w:tcMar>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废活性炭</w:t>
                  </w:r>
                </w:p>
              </w:tc>
              <w:tc>
                <w:tcPr>
                  <w:tcW w:w="1391"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79"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kern w:val="0"/>
                      <w:lang w:bidi="ar"/>
                      <w14:textFill>
                        <w14:solidFill>
                          <w14:schemeClr w14:val="tx1"/>
                        </w14:solidFill>
                      </w14:textFill>
                    </w:rPr>
                    <w:t>0</w:t>
                  </w:r>
                </w:p>
              </w:tc>
              <w:tc>
                <w:tcPr>
                  <w:tcW w:w="1128"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15.96</w:t>
                  </w:r>
                </w:p>
              </w:tc>
              <w:tc>
                <w:tcPr>
                  <w:tcW w:w="1314"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15.96</w:t>
                  </w:r>
                </w:p>
              </w:tc>
              <w:tc>
                <w:tcPr>
                  <w:tcW w:w="1205" w:type="dxa"/>
                  <w:tcMar>
                    <w:top w:w="15" w:type="dxa"/>
                    <w:left w:w="15" w:type="dxa"/>
                    <w:bottom w:w="15" w:type="dxa"/>
                    <w:right w:w="15" w:type="dxa"/>
                  </w:tcMar>
                  <w:vAlign w:val="center"/>
                </w:tcPr>
                <w:p>
                  <w:pPr>
                    <w:keepNext w:val="0"/>
                    <w:keepLines w:val="0"/>
                    <w:widowControl/>
                    <w:suppressLineNumbers w:val="0"/>
                    <w:spacing w:before="0" w:beforeAutospacing="0" w:after="0" w:afterAutospacing="0" w:line="320" w:lineRule="exact"/>
                    <w:ind w:left="0" w:right="0"/>
                    <w:jc w:val="center"/>
                    <w:textAlignment w:val="center"/>
                    <w:rPr>
                      <w:rFonts w:hint="default"/>
                      <w:color w:val="000000" w:themeColor="text1"/>
                      <w:kern w:val="0"/>
                      <w:lang w:bidi="ar"/>
                      <w14:textFill>
                        <w14:solidFill>
                          <w14:schemeClr w14:val="tx1"/>
                        </w14:solidFill>
                      </w14:textFill>
                    </w:rPr>
                  </w:pPr>
                  <w:r>
                    <w:rPr>
                      <w:rFonts w:hint="default"/>
                      <w:color w:val="000000" w:themeColor="text1"/>
                      <w14:textFill>
                        <w14:solidFill>
                          <w14:schemeClr w14:val="tx1"/>
                        </w14:solidFill>
                      </w14:textFill>
                    </w:rPr>
                    <w:t>+15.96</w:t>
                  </w:r>
                </w:p>
              </w:tc>
            </w:tr>
          </w:tbl>
          <w:p>
            <w:pPr>
              <w:keepNext w:val="0"/>
              <w:keepLines w:val="0"/>
              <w:suppressLineNumbers w:val="0"/>
              <w:spacing w:before="0" w:beforeAutospacing="0" w:after="0" w:afterAutospacing="0" w:line="520" w:lineRule="exact"/>
              <w:ind w:left="0" w:right="0"/>
              <w:rPr>
                <w:rFonts w:hint="default" w:eastAsia="黑体"/>
                <w:szCs w:val="28"/>
              </w:rPr>
            </w:pPr>
            <w:r>
              <w:rPr>
                <w:rFonts w:hint="default" w:eastAsia="黑体"/>
                <w:szCs w:val="28"/>
              </w:rPr>
              <w:t xml:space="preserve">   四、环境管理与监测计划</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1、环境管理</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环境管理与监控室企业管理中的重要环节，在企业中，建立健全环保机构，加强环境管理工作，开展厂内环境监测、监督，并把环保工作纳入生产管理，对于减少企业污染物排放，促进资源的合理利用与回收，对提供经济效益和环境效益有着重要的意义。</w:t>
            </w:r>
          </w:p>
          <w:p>
            <w:pPr>
              <w:keepNext w:val="0"/>
              <w:keepLines w:val="0"/>
              <w:suppressLineNumbers w:val="0"/>
              <w:spacing w:before="0" w:beforeAutospacing="0" w:after="0" w:afterAutospacing="0" w:line="460" w:lineRule="exact"/>
              <w:ind w:left="0" w:right="0" w:firstLine="480" w:firstLineChars="200"/>
              <w:rPr>
                <w:rFonts w:hint="default"/>
                <w:sz w:val="24"/>
              </w:rPr>
            </w:pPr>
            <w:r>
              <w:rPr>
                <w:rFonts w:hint="default"/>
                <w:sz w:val="24"/>
              </w:rPr>
              <w:t>（1）建立健全环境管理制度，并责任分配到人；</w:t>
            </w:r>
          </w:p>
          <w:p>
            <w:pPr>
              <w:keepNext w:val="0"/>
              <w:keepLines w:val="0"/>
              <w:suppressLineNumbers w:val="0"/>
              <w:spacing w:before="0" w:beforeAutospacing="0" w:after="0" w:afterAutospacing="0" w:line="460" w:lineRule="exact"/>
              <w:ind w:left="0" w:right="0" w:firstLine="480" w:firstLineChars="200"/>
              <w:rPr>
                <w:rFonts w:hint="default"/>
                <w:sz w:val="24"/>
              </w:rPr>
            </w:pPr>
            <w:r>
              <w:rPr>
                <w:rFonts w:hint="default"/>
                <w:sz w:val="24"/>
              </w:rPr>
              <w:t>（2）确保环保设施正常运行，建立污染物浓度和排放总量双项控制制度；</w:t>
            </w:r>
          </w:p>
          <w:p>
            <w:pPr>
              <w:keepNext w:val="0"/>
              <w:keepLines w:val="0"/>
              <w:suppressLineNumbers w:val="0"/>
              <w:spacing w:before="0" w:beforeAutospacing="0" w:after="0" w:afterAutospacing="0" w:line="460" w:lineRule="exact"/>
              <w:ind w:left="0" w:right="0" w:firstLine="480" w:firstLineChars="200"/>
              <w:rPr>
                <w:rFonts w:hint="default"/>
                <w:sz w:val="24"/>
              </w:rPr>
            </w:pPr>
            <w:r>
              <w:rPr>
                <w:rFonts w:hint="default"/>
                <w:sz w:val="24"/>
              </w:rPr>
              <w:t>（3）实行常规环境监测及数据反馈制度，建立监测数据库，掌握各项目环保设施的运行情况；</w:t>
            </w:r>
          </w:p>
          <w:p>
            <w:pPr>
              <w:keepNext w:val="0"/>
              <w:keepLines w:val="0"/>
              <w:suppressLineNumbers w:val="0"/>
              <w:spacing w:before="0" w:beforeAutospacing="0" w:after="0" w:afterAutospacing="0" w:line="460" w:lineRule="exact"/>
              <w:ind w:left="0" w:right="0" w:firstLine="480" w:firstLineChars="200"/>
              <w:rPr>
                <w:rFonts w:hint="default"/>
                <w:sz w:val="24"/>
              </w:rPr>
            </w:pPr>
            <w:r>
              <w:rPr>
                <w:rFonts w:hint="default"/>
                <w:sz w:val="24"/>
              </w:rPr>
              <w:t>（4）做好污染事故的调查、应急处理及上报工作；</w:t>
            </w:r>
          </w:p>
          <w:p>
            <w:pPr>
              <w:keepNext w:val="0"/>
              <w:keepLines w:val="0"/>
              <w:suppressLineNumbers w:val="0"/>
              <w:spacing w:before="0" w:beforeAutospacing="0" w:after="0" w:afterAutospacing="0" w:line="460" w:lineRule="exact"/>
              <w:ind w:left="0" w:right="0" w:firstLine="480" w:firstLineChars="200"/>
              <w:rPr>
                <w:rFonts w:hint="default"/>
                <w:sz w:val="24"/>
              </w:rPr>
            </w:pPr>
            <w:r>
              <w:rPr>
                <w:rFonts w:hint="default"/>
                <w:sz w:val="24"/>
              </w:rPr>
              <w:t>（5）加强员工环保宣传教育、提高环保技术。</w:t>
            </w:r>
          </w:p>
          <w:p>
            <w:pPr>
              <w:pStyle w:val="3"/>
              <w:keepNext w:val="0"/>
              <w:keepLines w:val="0"/>
              <w:suppressLineNumbers w:val="0"/>
              <w:spacing w:before="0" w:beforeAutospacing="0" w:after="0" w:afterAutospacing="0" w:line="520" w:lineRule="exact"/>
              <w:ind w:left="0" w:leftChars="0" w:right="0" w:firstLine="480"/>
              <w:jc w:val="left"/>
              <w:rPr>
                <w:rFonts w:hint="default" w:ascii="Times New Roman" w:hAnsi="Times New Roman"/>
                <w:b/>
                <w:sz w:val="24"/>
                <w:szCs w:val="20"/>
              </w:rPr>
            </w:pPr>
            <w:r>
              <w:rPr>
                <w:rFonts w:hint="default" w:ascii="Times New Roman" w:hAnsi="Times New Roman"/>
                <w:b/>
                <w:sz w:val="24"/>
                <w:szCs w:val="20"/>
              </w:rPr>
              <w:t>2、环境监测计划</w:t>
            </w:r>
          </w:p>
          <w:p>
            <w:pPr>
              <w:keepNext w:val="0"/>
              <w:keepLines w:val="0"/>
              <w:suppressLineNumbers w:val="0"/>
              <w:spacing w:before="0" w:beforeAutospacing="0" w:after="0" w:afterAutospacing="0" w:line="480" w:lineRule="exact"/>
              <w:ind w:left="0" w:right="0" w:firstLine="588" w:firstLineChars="245"/>
              <w:rPr>
                <w:rFonts w:hint="default"/>
                <w:sz w:val="24"/>
              </w:rPr>
            </w:pPr>
            <w:r>
              <w:rPr>
                <w:rFonts w:hint="default"/>
                <w:sz w:val="24"/>
              </w:rPr>
              <w:t>营运期的污染源监测具体见下表。</w:t>
            </w:r>
          </w:p>
          <w:p>
            <w:pPr>
              <w:keepNext w:val="0"/>
              <w:keepLines w:val="0"/>
              <w:suppressLineNumbers w:val="0"/>
              <w:spacing w:before="0" w:beforeAutospacing="0" w:after="0" w:afterAutospacing="0"/>
              <w:ind w:left="0" w:right="0" w:firstLine="480" w:firstLineChars="200"/>
              <w:jc w:val="center"/>
              <w:rPr>
                <w:rFonts w:hint="default" w:eastAsia="黑体"/>
                <w:color w:val="000000"/>
                <w:sz w:val="24"/>
              </w:rPr>
            </w:pPr>
            <w:r>
              <w:rPr>
                <w:rFonts w:hint="default" w:eastAsia="黑体"/>
                <w:color w:val="000000"/>
                <w:sz w:val="24"/>
              </w:rPr>
              <w:t>表</w:t>
            </w:r>
            <w:r>
              <w:rPr>
                <w:rFonts w:hint="eastAsia" w:eastAsia="黑体"/>
                <w:color w:val="000000"/>
                <w:sz w:val="24"/>
              </w:rPr>
              <w:t>52</w:t>
            </w:r>
            <w:r>
              <w:rPr>
                <w:rFonts w:hint="default" w:eastAsia="黑体"/>
                <w:color w:val="000000"/>
                <w:sz w:val="24"/>
              </w:rPr>
              <w:t xml:space="preserve">   营运期污染源监测一览表</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1"/>
              <w:gridCol w:w="672"/>
              <w:gridCol w:w="2118"/>
              <w:gridCol w:w="4664"/>
              <w:gridCol w:w="7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序号</w:t>
                  </w:r>
                </w:p>
              </w:tc>
              <w:tc>
                <w:tcPr>
                  <w:tcW w:w="672"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类别</w:t>
                  </w:r>
                </w:p>
              </w:tc>
              <w:tc>
                <w:tcPr>
                  <w:tcW w:w="2118"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监测点名称</w:t>
                  </w:r>
                </w:p>
              </w:tc>
              <w:tc>
                <w:tcPr>
                  <w:tcW w:w="4664"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监测项目</w:t>
                  </w:r>
                </w:p>
              </w:tc>
              <w:tc>
                <w:tcPr>
                  <w:tcW w:w="728"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vMerge w:val="restart"/>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1</w:t>
                  </w:r>
                </w:p>
              </w:tc>
              <w:tc>
                <w:tcPr>
                  <w:tcW w:w="672" w:type="dxa"/>
                  <w:vMerge w:val="restart"/>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废气</w:t>
                  </w:r>
                </w:p>
              </w:tc>
              <w:tc>
                <w:tcPr>
                  <w:tcW w:w="2118" w:type="dxa"/>
                  <w:vAlign w:val="center"/>
                </w:tcPr>
                <w:p>
                  <w:pPr>
                    <w:pStyle w:val="9"/>
                    <w:keepNext w:val="0"/>
                    <w:keepLines w:val="0"/>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排气筒</w:t>
                  </w:r>
                  <w:r>
                    <w:rPr>
                      <w:rFonts w:hint="eastAsia"/>
                      <w:sz w:val="21"/>
                      <w:szCs w:val="21"/>
                    </w:rPr>
                    <w:t>（P1、P2）</w:t>
                  </w:r>
                </w:p>
              </w:tc>
              <w:tc>
                <w:tcPr>
                  <w:tcW w:w="4664"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非甲烷总烃、甲苯、二甲苯、乙苯、颗粒物</w:t>
                  </w:r>
                </w:p>
              </w:tc>
              <w:tc>
                <w:tcPr>
                  <w:tcW w:w="728"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2次/年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vMerge w:val="continue"/>
                  <w:vAlign w:val="center"/>
                </w:tcPr>
                <w:p>
                  <w:pPr>
                    <w:keepNext w:val="0"/>
                    <w:keepLines w:val="0"/>
                    <w:widowControl/>
                    <w:suppressLineNumbers w:val="0"/>
                    <w:spacing w:before="0" w:beforeAutospacing="0" w:after="0" w:afterAutospacing="0"/>
                    <w:ind w:left="0" w:right="0"/>
                    <w:jc w:val="center"/>
                    <w:rPr>
                      <w:rFonts w:hint="default"/>
                      <w:kern w:val="0"/>
                    </w:rPr>
                  </w:pPr>
                </w:p>
              </w:tc>
              <w:tc>
                <w:tcPr>
                  <w:tcW w:w="672" w:type="dxa"/>
                  <w:vMerge w:val="continue"/>
                  <w:vAlign w:val="center"/>
                </w:tcPr>
                <w:p>
                  <w:pPr>
                    <w:keepNext w:val="0"/>
                    <w:keepLines w:val="0"/>
                    <w:suppressLineNumbers w:val="0"/>
                    <w:spacing w:before="0" w:beforeAutospacing="0" w:after="0" w:afterAutospacing="0"/>
                    <w:ind w:left="0" w:right="0"/>
                    <w:jc w:val="center"/>
                    <w:rPr>
                      <w:rFonts w:hint="default"/>
                      <w:kern w:val="0"/>
                    </w:rPr>
                  </w:pPr>
                </w:p>
              </w:tc>
              <w:tc>
                <w:tcPr>
                  <w:tcW w:w="2118" w:type="dxa"/>
                  <w:vAlign w:val="center"/>
                </w:tcPr>
                <w:p>
                  <w:pPr>
                    <w:pStyle w:val="9"/>
                    <w:keepNext w:val="0"/>
                    <w:keepLines w:val="0"/>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厂界上风向1个</w:t>
                  </w:r>
                </w:p>
                <w:p>
                  <w:pPr>
                    <w:pStyle w:val="9"/>
                    <w:keepNext w:val="0"/>
                    <w:keepLines w:val="0"/>
                    <w:suppressLineNumbers w:val="0"/>
                    <w:adjustRightInd w:val="0"/>
                    <w:snapToGrid w:val="0"/>
                    <w:spacing w:before="0" w:beforeAutospacing="0" w:after="0" w:afterAutospacing="0"/>
                    <w:ind w:left="0" w:right="0"/>
                    <w:jc w:val="center"/>
                    <w:rPr>
                      <w:rFonts w:hint="default"/>
                      <w:kern w:val="0"/>
                      <w:sz w:val="21"/>
                      <w:szCs w:val="21"/>
                    </w:rPr>
                  </w:pPr>
                  <w:r>
                    <w:rPr>
                      <w:rFonts w:hint="default"/>
                      <w:sz w:val="21"/>
                      <w:szCs w:val="21"/>
                    </w:rPr>
                    <w:t>厂界下风向3个</w:t>
                  </w:r>
                </w:p>
              </w:tc>
              <w:tc>
                <w:tcPr>
                  <w:tcW w:w="4664"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非甲烷总烃、甲苯、二甲苯、乙苯、颗粒物</w:t>
                  </w:r>
                </w:p>
              </w:tc>
              <w:tc>
                <w:tcPr>
                  <w:tcW w:w="728" w:type="dxa"/>
                  <w:vMerge w:val="continue"/>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0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2</w:t>
                  </w:r>
                </w:p>
              </w:tc>
              <w:tc>
                <w:tcPr>
                  <w:tcW w:w="672"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废水</w:t>
                  </w:r>
                </w:p>
              </w:tc>
              <w:tc>
                <w:tcPr>
                  <w:tcW w:w="2118" w:type="dxa"/>
                  <w:vAlign w:val="center"/>
                </w:tcPr>
                <w:p>
                  <w:pPr>
                    <w:keepNext w:val="0"/>
                    <w:keepLines w:val="0"/>
                    <w:suppressLineNumbers w:val="0"/>
                    <w:spacing w:before="0" w:beforeAutospacing="0" w:after="0" w:afterAutospacing="0"/>
                    <w:ind w:left="0" w:right="0"/>
                    <w:jc w:val="center"/>
                    <w:rPr>
                      <w:rFonts w:hint="default"/>
                      <w:kern w:val="0"/>
                    </w:rPr>
                  </w:pPr>
                  <w:r>
                    <w:rPr>
                      <w:rFonts w:hint="default"/>
                      <w:kern w:val="0"/>
                    </w:rPr>
                    <w:t>生产废水排水口</w:t>
                  </w:r>
                </w:p>
              </w:tc>
              <w:tc>
                <w:tcPr>
                  <w:tcW w:w="4664" w:type="dxa"/>
                  <w:vAlign w:val="center"/>
                </w:tcPr>
                <w:p>
                  <w:pPr>
                    <w:keepNext w:val="0"/>
                    <w:keepLines w:val="0"/>
                    <w:suppressLineNumbers w:val="0"/>
                    <w:spacing w:before="0" w:beforeAutospacing="0" w:after="0" w:afterAutospacing="0"/>
                    <w:ind w:left="0" w:right="0"/>
                    <w:jc w:val="center"/>
                    <w:rPr>
                      <w:rFonts w:hint="default"/>
                      <w:color w:val="FF0000"/>
                    </w:rPr>
                  </w:pPr>
                  <w:r>
                    <w:rPr>
                      <w:rFonts w:hint="default"/>
                      <w:color w:val="000000" w:themeColor="text1"/>
                      <w14:textFill>
                        <w14:solidFill>
                          <w14:schemeClr w14:val="tx1"/>
                        </w14:solidFill>
                      </w14:textFill>
                    </w:rPr>
                    <w:t>COD、BOD</w:t>
                  </w:r>
                  <w:r>
                    <w:rPr>
                      <w:rFonts w:hint="default"/>
                      <w:color w:val="000000" w:themeColor="text1"/>
                      <w:vertAlign w:val="subscript"/>
                      <w14:textFill>
                        <w14:solidFill>
                          <w14:schemeClr w14:val="tx1"/>
                        </w14:solidFill>
                      </w14:textFill>
                    </w:rPr>
                    <w:t>5</w:t>
                  </w:r>
                  <w:r>
                    <w:rPr>
                      <w:rFonts w:hint="default"/>
                      <w:color w:val="000000" w:themeColor="text1"/>
                      <w14:textFill>
                        <w14:solidFill>
                          <w14:schemeClr w14:val="tx1"/>
                        </w14:solidFill>
                      </w14:textFill>
                    </w:rPr>
                    <w:t>、SS、NH</w:t>
                  </w:r>
                  <w:r>
                    <w:rPr>
                      <w:rFonts w:hint="default"/>
                      <w:color w:val="000000" w:themeColor="text1"/>
                      <w:vertAlign w:val="subscript"/>
                      <w14:textFill>
                        <w14:solidFill>
                          <w14:schemeClr w14:val="tx1"/>
                        </w14:solidFill>
                      </w14:textFill>
                    </w:rPr>
                    <w:t>3</w:t>
                  </w:r>
                  <w:r>
                    <w:rPr>
                      <w:rFonts w:hint="default"/>
                      <w:color w:val="000000" w:themeColor="text1"/>
                      <w14:textFill>
                        <w14:solidFill>
                          <w14:schemeClr w14:val="tx1"/>
                        </w14:solidFill>
                      </w14:textFill>
                    </w:rPr>
                    <w:t>-N、TN、TP、LAS、石油类</w:t>
                  </w:r>
                </w:p>
              </w:tc>
              <w:tc>
                <w:tcPr>
                  <w:tcW w:w="728" w:type="dxa"/>
                  <w:vAlign w:val="center"/>
                </w:tcPr>
                <w:p>
                  <w:pPr>
                    <w:keepNext w:val="0"/>
                    <w:keepLines w:val="0"/>
                    <w:suppressLineNumbers w:val="0"/>
                    <w:spacing w:before="0" w:beforeAutospacing="0" w:after="0" w:afterAutospacing="0"/>
                    <w:ind w:left="0" w:right="0"/>
                    <w:jc w:val="center"/>
                    <w:rPr>
                      <w:rFonts w:hint="default"/>
                    </w:rPr>
                  </w:pPr>
                  <w:r>
                    <w:rPr>
                      <w:rFonts w:hint="default"/>
                    </w:rPr>
                    <w:t>2次/年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3</w:t>
                  </w:r>
                </w:p>
              </w:tc>
              <w:tc>
                <w:tcPr>
                  <w:tcW w:w="672"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厂界噪声</w:t>
                  </w:r>
                </w:p>
              </w:tc>
              <w:tc>
                <w:tcPr>
                  <w:tcW w:w="2118"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default"/>
                      <w:kern w:val="0"/>
                    </w:rPr>
                    <w:t>厂界四周各1个监测点位（</w:t>
                  </w:r>
                  <w:r>
                    <w:rPr>
                      <w:rFonts w:hint="eastAsia"/>
                      <w:kern w:val="0"/>
                    </w:rPr>
                    <w:t>共4个</w:t>
                  </w:r>
                  <w:r>
                    <w:rPr>
                      <w:rFonts w:hint="default"/>
                      <w:kern w:val="0"/>
                    </w:rPr>
                    <w:t>）</w:t>
                  </w:r>
                </w:p>
              </w:tc>
              <w:tc>
                <w:tcPr>
                  <w:tcW w:w="4664" w:type="dxa"/>
                  <w:vAlign w:val="center"/>
                </w:tcPr>
                <w:p>
                  <w:pPr>
                    <w:keepNext w:val="0"/>
                    <w:keepLines w:val="0"/>
                    <w:widowControl/>
                    <w:suppressLineNumbers w:val="0"/>
                    <w:spacing w:before="0" w:beforeAutospacing="0" w:after="0" w:afterAutospacing="0"/>
                    <w:ind w:left="0" w:right="0"/>
                    <w:jc w:val="center"/>
                    <w:rPr>
                      <w:rFonts w:hint="default"/>
                    </w:rPr>
                  </w:pPr>
                  <w:r>
                    <w:rPr>
                      <w:rFonts w:hint="default"/>
                    </w:rPr>
                    <w:t>等效声级Leq dB（A）</w:t>
                  </w:r>
                </w:p>
              </w:tc>
              <w:tc>
                <w:tcPr>
                  <w:tcW w:w="728" w:type="dxa"/>
                  <w:vAlign w:val="center"/>
                </w:tcPr>
                <w:p>
                  <w:pPr>
                    <w:keepNext w:val="0"/>
                    <w:keepLines w:val="0"/>
                    <w:suppressLineNumbers w:val="0"/>
                    <w:spacing w:before="0" w:beforeAutospacing="0" w:after="0" w:afterAutospacing="0"/>
                    <w:ind w:left="0" w:right="0"/>
                    <w:jc w:val="center"/>
                    <w:rPr>
                      <w:rFonts w:hint="default"/>
                    </w:rPr>
                  </w:pPr>
                  <w:r>
                    <w:rPr>
                      <w:rFonts w:hint="default"/>
                    </w:rPr>
                    <w:t>1次/季度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eastAsia"/>
                      <w:kern w:val="0"/>
                    </w:rPr>
                    <w:t>4</w:t>
                  </w:r>
                </w:p>
              </w:tc>
              <w:tc>
                <w:tcPr>
                  <w:tcW w:w="672"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eastAsia"/>
                      <w:kern w:val="0"/>
                    </w:rPr>
                    <w:t>土壤环境</w:t>
                  </w:r>
                </w:p>
              </w:tc>
              <w:tc>
                <w:tcPr>
                  <w:tcW w:w="2118" w:type="dxa"/>
                  <w:vAlign w:val="center"/>
                </w:tcPr>
                <w:p>
                  <w:pPr>
                    <w:keepNext w:val="0"/>
                    <w:keepLines w:val="0"/>
                    <w:widowControl/>
                    <w:suppressLineNumbers w:val="0"/>
                    <w:spacing w:before="0" w:beforeAutospacing="0" w:after="0" w:afterAutospacing="0"/>
                    <w:ind w:left="0" w:right="0"/>
                    <w:jc w:val="center"/>
                    <w:rPr>
                      <w:rFonts w:hint="default"/>
                      <w:kern w:val="0"/>
                    </w:rPr>
                  </w:pPr>
                  <w:r>
                    <w:rPr>
                      <w:rFonts w:hint="eastAsia"/>
                      <w:kern w:val="0"/>
                    </w:rPr>
                    <w:t>厂界主导风向下风向</w:t>
                  </w:r>
                </w:p>
              </w:tc>
              <w:tc>
                <w:tcPr>
                  <w:tcW w:w="4664" w:type="dxa"/>
                  <w:vAlign w:val="center"/>
                </w:tcPr>
                <w:p>
                  <w:pPr>
                    <w:keepNext w:val="0"/>
                    <w:keepLines w:val="0"/>
                    <w:widowControl/>
                    <w:suppressLineNumbers w:val="0"/>
                    <w:spacing w:before="0" w:beforeAutospacing="0" w:after="0" w:afterAutospacing="0"/>
                    <w:ind w:left="0" w:right="0"/>
                    <w:jc w:val="center"/>
                    <w:rPr>
                      <w:rFonts w:hint="default"/>
                    </w:rPr>
                  </w:pPr>
                  <w:r>
                    <w:rPr>
                      <w:rFonts w:hint="default"/>
                      <w:color w:val="000000" w:themeColor="text1"/>
                      <w14:textFill>
                        <w14:solidFill>
                          <w14:schemeClr w14:val="tx1"/>
                        </w14:solidFill>
                      </w14:textFill>
                    </w:rPr>
                    <w:t>乙苯、甲苯、间二甲苯+对二甲苯、邻二甲苯</w:t>
                  </w:r>
                </w:p>
              </w:tc>
              <w:tc>
                <w:tcPr>
                  <w:tcW w:w="728" w:type="dxa"/>
                  <w:vAlign w:val="center"/>
                </w:tcPr>
                <w:p>
                  <w:pPr>
                    <w:keepNext w:val="0"/>
                    <w:keepLines w:val="0"/>
                    <w:suppressLineNumbers w:val="0"/>
                    <w:spacing w:before="0" w:beforeAutospacing="0" w:after="0" w:afterAutospacing="0"/>
                    <w:ind w:left="0" w:right="0"/>
                    <w:jc w:val="center"/>
                    <w:rPr>
                      <w:rFonts w:hint="default"/>
                    </w:rPr>
                  </w:pPr>
                  <w:r>
                    <w:rPr>
                      <w:rFonts w:hint="eastAsia"/>
                    </w:rPr>
                    <w:t>1次/5年</w:t>
                  </w:r>
                </w:p>
              </w:tc>
            </w:tr>
          </w:tbl>
          <w:p>
            <w:pPr>
              <w:keepNext w:val="0"/>
              <w:keepLines w:val="0"/>
              <w:suppressLineNumbers w:val="0"/>
              <w:spacing w:before="0" w:beforeAutospacing="0" w:after="0" w:afterAutospacing="0" w:line="520" w:lineRule="exact"/>
              <w:ind w:left="0" w:right="0"/>
              <w:rPr>
                <w:rFonts w:hint="default" w:eastAsia="黑体"/>
                <w:szCs w:val="28"/>
              </w:rPr>
            </w:pPr>
            <w:r>
              <w:rPr>
                <w:rFonts w:hint="default" w:eastAsia="黑体"/>
                <w:szCs w:val="28"/>
              </w:rPr>
              <w:t xml:space="preserve">   五、环保投资</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14:textFill>
                  <w14:solidFill>
                    <w14:schemeClr w14:val="tx1"/>
                  </w14:solidFill>
                </w14:textFill>
              </w:rPr>
            </w:pPr>
            <w:r>
              <w:rPr>
                <w:rFonts w:hint="default" w:ascii="Times New Roman" w:hAnsi="Times New Roman"/>
                <w:sz w:val="24"/>
              </w:rPr>
              <w:t>本项目总投资750万元，其</w:t>
            </w:r>
            <w:r>
              <w:rPr>
                <w:rFonts w:hint="default" w:ascii="Times New Roman" w:hAnsi="Times New Roman"/>
                <w:color w:val="000000" w:themeColor="text1"/>
                <w:sz w:val="24"/>
                <w14:textFill>
                  <w14:solidFill>
                    <w14:schemeClr w14:val="tx1"/>
                  </w14:solidFill>
                </w14:textFill>
              </w:rPr>
              <w:t>中环保投入</w:t>
            </w:r>
            <w:r>
              <w:rPr>
                <w:rFonts w:hint="eastAsia" w:ascii="Times New Roman" w:hAnsi="Times New Roman"/>
                <w:color w:val="000000" w:themeColor="text1"/>
                <w:sz w:val="24"/>
                <w14:textFill>
                  <w14:solidFill>
                    <w14:schemeClr w14:val="tx1"/>
                  </w14:solidFill>
                </w14:textFill>
              </w:rPr>
              <w:t>510</w:t>
            </w:r>
            <w:r>
              <w:rPr>
                <w:rFonts w:hint="default" w:ascii="Times New Roman" w:hAnsi="Times New Roman"/>
                <w:color w:val="000000" w:themeColor="text1"/>
                <w:sz w:val="24"/>
                <w14:textFill>
                  <w14:solidFill>
                    <w14:schemeClr w14:val="tx1"/>
                  </w14:solidFill>
                </w14:textFill>
              </w:rPr>
              <w:t>万元，占总投资的6</w:t>
            </w:r>
            <w:r>
              <w:rPr>
                <w:rFonts w:hint="eastAsia" w:ascii="Times New Roman" w:hAnsi="Times New Roman"/>
                <w:color w:val="000000" w:themeColor="text1"/>
                <w:sz w:val="24"/>
                <w14:textFill>
                  <w14:solidFill>
                    <w14:schemeClr w14:val="tx1"/>
                  </w14:solidFill>
                </w14:textFill>
              </w:rPr>
              <w:t>8</w:t>
            </w:r>
            <w:r>
              <w:rPr>
                <w:rFonts w:hint="default" w:ascii="Times New Roman" w:hAnsi="Times New Roman"/>
                <w:color w:val="000000" w:themeColor="text1"/>
                <w:sz w:val="24"/>
                <w14:textFill>
                  <w14:solidFill>
                    <w14:schemeClr w14:val="tx1"/>
                  </w14:solidFill>
                </w14:textFill>
              </w:rPr>
              <w:t>%，环保投入情况见下表。</w:t>
            </w:r>
          </w:p>
          <w:p>
            <w:pPr>
              <w:pStyle w:val="60"/>
              <w:keepNext w:val="0"/>
              <w:keepLines w:val="0"/>
              <w:suppressLineNumbers w:val="0"/>
              <w:spacing w:before="0" w:beforeAutospacing="0" w:after="0" w:afterAutospacing="0" w:line="520" w:lineRule="exact"/>
              <w:ind w:left="0" w:right="0"/>
              <w:rPr>
                <w:rFonts w:hint="default" w:eastAsia="宋体"/>
                <w:b/>
                <w:color w:val="000000" w:themeColor="text1"/>
                <w:szCs w:val="22"/>
                <w14:textFill>
                  <w14:solidFill>
                    <w14:schemeClr w14:val="tx1"/>
                  </w14:solidFill>
                </w14:textFill>
              </w:rPr>
            </w:pPr>
            <w:r>
              <w:rPr>
                <w:rFonts w:hint="default" w:eastAsia="宋体"/>
                <w:b/>
                <w:color w:val="000000" w:themeColor="text1"/>
                <w:szCs w:val="22"/>
                <w14:textFill>
                  <w14:solidFill>
                    <w14:schemeClr w14:val="tx1"/>
                  </w14:solidFill>
                </w14:textFill>
              </w:rPr>
              <w:t>表</w:t>
            </w:r>
            <w:r>
              <w:rPr>
                <w:rFonts w:hint="eastAsia" w:eastAsia="宋体"/>
                <w:b/>
                <w:color w:val="000000" w:themeColor="text1"/>
                <w:szCs w:val="22"/>
                <w14:textFill>
                  <w14:solidFill>
                    <w14:schemeClr w14:val="tx1"/>
                  </w14:solidFill>
                </w14:textFill>
              </w:rPr>
              <w:t>53</w:t>
            </w:r>
            <w:r>
              <w:rPr>
                <w:rFonts w:hint="default" w:eastAsia="宋体"/>
                <w:b/>
                <w:color w:val="000000" w:themeColor="text1"/>
                <w:szCs w:val="22"/>
                <w14:textFill>
                  <w14:solidFill>
                    <w14:schemeClr w14:val="tx1"/>
                  </w14:solidFill>
                </w14:textFill>
              </w:rPr>
              <w:t xml:space="preserve">  项目环境保护投资一览表</w:t>
            </w:r>
          </w:p>
          <w:tbl>
            <w:tblPr>
              <w:tblStyle w:val="38"/>
              <w:tblW w:w="8783"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705"/>
              <w:gridCol w:w="1122"/>
              <w:gridCol w:w="4847"/>
              <w:gridCol w:w="787"/>
              <w:gridCol w:w="1322"/>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02"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b/>
                      <w:bCs/>
                      <w:color w:val="000000" w:themeColor="text1"/>
                      <w:kern w:val="0"/>
                      <w14:textFill>
                        <w14:solidFill>
                          <w14:schemeClr w14:val="tx1"/>
                        </w14:solidFill>
                      </w14:textFill>
                    </w:rPr>
                  </w:pPr>
                  <w:r>
                    <w:rPr>
                      <w:rFonts w:hint="default"/>
                      <w:b/>
                      <w:bCs/>
                      <w:color w:val="000000" w:themeColor="text1"/>
                      <w:kern w:val="0"/>
                      <w14:textFill>
                        <w14:solidFill>
                          <w14:schemeClr w14:val="tx1"/>
                        </w14:solidFill>
                      </w14:textFill>
                    </w:rPr>
                    <w:t>序号</w:t>
                  </w:r>
                </w:p>
              </w:tc>
              <w:tc>
                <w:tcPr>
                  <w:tcW w:w="1122" w:type="dxa"/>
                  <w:vAlign w:val="center"/>
                </w:tcPr>
                <w:p>
                  <w:pPr>
                    <w:keepNext w:val="0"/>
                    <w:keepLines w:val="0"/>
                    <w:suppressLineNumbers w:val="0"/>
                    <w:spacing w:before="0" w:beforeAutospacing="0" w:after="0" w:afterAutospacing="0" w:line="320" w:lineRule="exact"/>
                    <w:ind w:left="0" w:right="0"/>
                    <w:jc w:val="center"/>
                    <w:rPr>
                      <w:rFonts w:hint="default"/>
                      <w:b/>
                      <w:bCs/>
                      <w:color w:val="000000" w:themeColor="text1"/>
                      <w:kern w:val="0"/>
                      <w14:textFill>
                        <w14:solidFill>
                          <w14:schemeClr w14:val="tx1"/>
                        </w14:solidFill>
                      </w14:textFill>
                    </w:rPr>
                  </w:pPr>
                  <w:r>
                    <w:rPr>
                      <w:rFonts w:hint="default"/>
                      <w:b/>
                      <w:bCs/>
                      <w:color w:val="000000" w:themeColor="text1"/>
                      <w:kern w:val="0"/>
                      <w14:textFill>
                        <w14:solidFill>
                          <w14:schemeClr w14:val="tx1"/>
                        </w14:solidFill>
                      </w14:textFill>
                    </w:rPr>
                    <w:t>工程或费用名称</w:t>
                  </w: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b/>
                      <w:bCs/>
                      <w:color w:val="000000" w:themeColor="text1"/>
                      <w:kern w:val="0"/>
                      <w14:textFill>
                        <w14:solidFill>
                          <w14:schemeClr w14:val="tx1"/>
                        </w14:solidFill>
                      </w14:textFill>
                    </w:rPr>
                  </w:pPr>
                  <w:r>
                    <w:rPr>
                      <w:rFonts w:hint="default"/>
                      <w:b/>
                      <w:bCs/>
                      <w:color w:val="000000" w:themeColor="text1"/>
                      <w:kern w:val="0"/>
                      <w14:textFill>
                        <w14:solidFill>
                          <w14:schemeClr w14:val="tx1"/>
                        </w14:solidFill>
                      </w14:textFill>
                    </w:rPr>
                    <w:t>处理措施与设施</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b/>
                      <w:bCs/>
                      <w:color w:val="000000" w:themeColor="text1"/>
                      <w:kern w:val="0"/>
                      <w14:textFill>
                        <w14:solidFill>
                          <w14:schemeClr w14:val="tx1"/>
                        </w14:solidFill>
                      </w14:textFill>
                    </w:rPr>
                  </w:pPr>
                  <w:r>
                    <w:rPr>
                      <w:rFonts w:hint="default"/>
                      <w:b/>
                      <w:bCs/>
                      <w:color w:val="000000" w:themeColor="text1"/>
                      <w:kern w:val="0"/>
                      <w14:textFill>
                        <w14:solidFill>
                          <w14:schemeClr w14:val="tx1"/>
                        </w14:solidFill>
                      </w14:textFill>
                    </w:rPr>
                    <w:t>数量</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b/>
                      <w:bCs/>
                      <w:color w:val="000000" w:themeColor="text1"/>
                      <w:kern w:val="0"/>
                      <w14:textFill>
                        <w14:solidFill>
                          <w14:schemeClr w14:val="tx1"/>
                        </w14:solidFill>
                      </w14:textFill>
                    </w:rPr>
                  </w:pPr>
                  <w:r>
                    <w:rPr>
                      <w:rFonts w:hint="default"/>
                      <w:b/>
                      <w:bCs/>
                      <w:color w:val="000000" w:themeColor="text1"/>
                      <w:kern w:val="0"/>
                      <w14:textFill>
                        <w14:solidFill>
                          <w14:schemeClr w14:val="tx1"/>
                        </w14:solidFill>
                      </w14:textFill>
                    </w:rPr>
                    <w:t>合计</w:t>
                  </w:r>
                </w:p>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b/>
                      <w:bCs/>
                      <w:color w:val="000000" w:themeColor="text1"/>
                      <w:kern w:val="0"/>
                      <w14:textFill>
                        <w14:solidFill>
                          <w14:schemeClr w14:val="tx1"/>
                        </w14:solidFill>
                      </w14:textFill>
                    </w:rPr>
                    <w:t>（万元）</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5"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1</w:t>
                  </w:r>
                </w:p>
              </w:tc>
              <w:tc>
                <w:tcPr>
                  <w:tcW w:w="1122" w:type="dxa"/>
                  <w:vMerge w:val="restart"/>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废气处理设施</w:t>
                  </w: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排风收集箱</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w:t>
                  </w:r>
                  <w:r>
                    <w:rPr>
                      <w:rFonts w:hint="default"/>
                      <w:color w:val="000000" w:themeColor="text1"/>
                      <w:kern w:val="0"/>
                      <w14:textFill>
                        <w14:solidFill>
                          <w14:schemeClr w14:val="tx1"/>
                        </w14:solidFill>
                      </w14:textFill>
                    </w:rPr>
                    <w:t>套</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r>
                    <w:rPr>
                      <w:rFonts w:hint="eastAsia"/>
                      <w:color w:val="000000" w:themeColor="text1"/>
                      <w14:textFill>
                        <w14:solidFill>
                          <w14:schemeClr w14:val="tx1"/>
                        </w14:solidFill>
                      </w14:textFill>
                    </w:rPr>
                    <w:t>80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5"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2</w:t>
                  </w:r>
                </w:p>
              </w:tc>
              <w:tc>
                <w:tcPr>
                  <w:tcW w:w="1122" w:type="dxa"/>
                  <w:vMerge w:val="continue"/>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干式过</w:t>
                  </w:r>
                  <w:r>
                    <w:rPr>
                      <w:rFonts w:hint="default"/>
                      <w:color w:val="000000" w:themeColor="text1"/>
                      <w:kern w:val="0"/>
                      <w:highlight w:val="none"/>
                      <w14:textFill>
                        <w14:solidFill>
                          <w14:schemeClr w14:val="tx1"/>
                        </w14:solidFill>
                      </w14:textFill>
                    </w:rPr>
                    <w:t>滤器-活性炭吸附箱</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6套</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2</w:t>
                  </w:r>
                  <w:r>
                    <w:rPr>
                      <w:rFonts w:hint="eastAsia"/>
                      <w:color w:val="000000" w:themeColor="text1"/>
                      <w:kern w:val="0"/>
                      <w14:textFill>
                        <w14:solidFill>
                          <w14:schemeClr w14:val="tx1"/>
                        </w14:solidFill>
                      </w14:textFill>
                    </w:rPr>
                    <w:t>76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97"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3</w:t>
                  </w:r>
                </w:p>
              </w:tc>
              <w:tc>
                <w:tcPr>
                  <w:tcW w:w="1122" w:type="dxa"/>
                  <w:vMerge w:val="continue"/>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15m排气筒</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14:textFill>
                        <w14:solidFill>
                          <w14:schemeClr w14:val="tx1"/>
                        </w14:solidFill>
                      </w14:textFill>
                    </w:rPr>
                    <w:t>2根</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5"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4</w:t>
                  </w:r>
                </w:p>
              </w:tc>
              <w:tc>
                <w:tcPr>
                  <w:tcW w:w="1122" w:type="dxa"/>
                  <w:vMerge w:val="restart"/>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废水处理</w:t>
                  </w: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化粪池</w:t>
                  </w:r>
                  <w:r>
                    <w:rPr>
                      <w:rFonts w:hint="eastAsia"/>
                      <w:color w:val="000000" w:themeColor="text1"/>
                      <w14:textFill>
                        <w14:solidFill>
                          <w14:schemeClr w14:val="tx1"/>
                        </w14:solidFill>
                      </w14:textFill>
                    </w:rPr>
                    <w:t>（依托</w:t>
                  </w:r>
                  <w:r>
                    <w:rPr>
                      <w:rFonts w:hint="default"/>
                      <w:color w:val="000000" w:themeColor="text1"/>
                      <w14:textFill>
                        <w14:solidFill>
                          <w14:schemeClr w14:val="tx1"/>
                        </w14:solidFill>
                      </w14:textFill>
                    </w:rPr>
                    <w:t>维修基地现有</w:t>
                  </w:r>
                  <w:r>
                    <w:rPr>
                      <w:rFonts w:hint="eastAsia"/>
                      <w:color w:val="000000" w:themeColor="text1"/>
                      <w14:textFill>
                        <w14:solidFill>
                          <w14:schemeClr w14:val="tx1"/>
                        </w14:solidFill>
                      </w14:textFill>
                    </w:rPr>
                    <w:t>）</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5"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w:t>
                  </w:r>
                </w:p>
              </w:tc>
              <w:tc>
                <w:tcPr>
                  <w:tcW w:w="1122" w:type="dxa"/>
                  <w:vMerge w:val="continue"/>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过滤桶</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5"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w:t>
                  </w:r>
                </w:p>
              </w:tc>
              <w:tc>
                <w:tcPr>
                  <w:tcW w:w="11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噪声防治措施</w:t>
                  </w: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14:textFill>
                        <w14:solidFill>
                          <w14:schemeClr w14:val="tx1"/>
                        </w14:solidFill>
                      </w14:textFill>
                    </w:rPr>
                    <w:t>基础减振，隔声等</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若干</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9"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7</w:t>
                  </w:r>
                </w:p>
              </w:tc>
              <w:tc>
                <w:tcPr>
                  <w:tcW w:w="1122" w:type="dxa"/>
                  <w:vMerge w:val="restart"/>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固体废物处置</w:t>
                  </w: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一般固废收集装置</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若干</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8</w:t>
                  </w:r>
                </w:p>
              </w:tc>
              <w:tc>
                <w:tcPr>
                  <w:tcW w:w="1122" w:type="dxa"/>
                  <w:vMerge w:val="continue"/>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垃圾桶</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若干</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705"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9</w:t>
                  </w:r>
                </w:p>
              </w:tc>
              <w:tc>
                <w:tcPr>
                  <w:tcW w:w="1122" w:type="dxa"/>
                  <w:vMerge w:val="continue"/>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p>
              </w:tc>
              <w:tc>
                <w:tcPr>
                  <w:tcW w:w="484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危废贮存容器、危废暂存间（改造）</w:t>
                  </w:r>
                </w:p>
              </w:tc>
              <w:tc>
                <w:tcPr>
                  <w:tcW w:w="787"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1处</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78" w:hRule="atLeast"/>
              </w:trPr>
              <w:tc>
                <w:tcPr>
                  <w:tcW w:w="7461" w:type="dxa"/>
                  <w:gridSpan w:val="4"/>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 xml:space="preserve">总计 </w:t>
                  </w:r>
                </w:p>
              </w:tc>
              <w:tc>
                <w:tcPr>
                  <w:tcW w:w="1322" w:type="dxa"/>
                  <w:vAlign w:val="center"/>
                </w:tcPr>
                <w:p>
                  <w:pPr>
                    <w:keepNext w:val="0"/>
                    <w:keepLines w:val="0"/>
                    <w:suppressLineNumbers w:val="0"/>
                    <w:spacing w:before="0" w:beforeAutospacing="0" w:after="0" w:afterAutospacing="0" w:line="320" w:lineRule="exact"/>
                    <w:ind w:left="0" w:right="0"/>
                    <w:jc w:val="center"/>
                    <w:rPr>
                      <w:rFonts w:hint="default"/>
                      <w:color w:val="000000" w:themeColor="text1"/>
                      <w14:textFill>
                        <w14:solidFill>
                          <w14:schemeClr w14:val="tx1"/>
                        </w14:solidFill>
                      </w14:textFill>
                    </w:rPr>
                  </w:pPr>
                  <w:r>
                    <w:rPr>
                      <w:rFonts w:hint="default"/>
                      <w:color w:val="000000" w:themeColor="text1"/>
                      <w:kern w:val="0"/>
                      <w14:textFill>
                        <w14:solidFill>
                          <w14:schemeClr w14:val="tx1"/>
                        </w14:solidFill>
                      </w14:textFill>
                    </w:rPr>
                    <w:t>510</w:t>
                  </w:r>
                </w:p>
              </w:tc>
            </w:tr>
          </w:tbl>
          <w:p>
            <w:pPr>
              <w:pStyle w:val="9"/>
              <w:keepNext w:val="0"/>
              <w:keepLines w:val="0"/>
              <w:suppressLineNumbers w:val="0"/>
              <w:adjustRightInd w:val="0"/>
              <w:snapToGrid w:val="0"/>
              <w:spacing w:before="0" w:beforeAutospacing="0" w:after="0" w:afterAutospacing="0" w:line="520" w:lineRule="exact"/>
              <w:ind w:left="0" w:right="0"/>
              <w:jc w:val="left"/>
              <w:rPr>
                <w:rFonts w:hint="default" w:eastAsia="黑体"/>
                <w:szCs w:val="28"/>
              </w:rPr>
            </w:pPr>
            <w:r>
              <w:rPr>
                <w:rFonts w:hint="default" w:eastAsia="黑体"/>
                <w:szCs w:val="28"/>
              </w:rPr>
              <w:t xml:space="preserve">   六、环境保护设施清单</w:t>
            </w:r>
          </w:p>
          <w:p>
            <w:pPr>
              <w:keepNext w:val="0"/>
              <w:keepLines w:val="0"/>
              <w:suppressLineNumbers w:val="0"/>
              <w:spacing w:before="0" w:beforeAutospacing="0" w:after="0" w:afterAutospacing="0" w:line="520" w:lineRule="exact"/>
              <w:ind w:left="0" w:right="0" w:firstLine="480" w:firstLineChars="200"/>
              <w:rPr>
                <w:rFonts w:hint="default"/>
                <w:sz w:val="24"/>
              </w:rPr>
            </w:pPr>
            <w:r>
              <w:rPr>
                <w:rFonts w:hint="default"/>
                <w:sz w:val="24"/>
              </w:rPr>
              <w:t>根据现行竣工环境保护验收监测要求，本项目环保设施及验收清单见表5</w:t>
            </w:r>
            <w:r>
              <w:rPr>
                <w:rFonts w:hint="eastAsia"/>
                <w:sz w:val="24"/>
              </w:rPr>
              <w:t>4</w:t>
            </w:r>
            <w:r>
              <w:rPr>
                <w:rFonts w:hint="default"/>
                <w:sz w:val="24"/>
              </w:rPr>
              <w:t>。</w:t>
            </w: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r>
              <w:rPr>
                <w:rFonts w:hint="default" w:eastAsia="黑体"/>
                <w:sz w:val="24"/>
              </w:rPr>
              <w:t>表5</w:t>
            </w:r>
            <w:r>
              <w:rPr>
                <w:rFonts w:hint="eastAsia" w:eastAsia="黑体"/>
                <w:sz w:val="24"/>
              </w:rPr>
              <w:t>4</w:t>
            </w:r>
            <w:r>
              <w:rPr>
                <w:rFonts w:hint="default" w:eastAsia="黑体"/>
                <w:sz w:val="24"/>
              </w:rPr>
              <w:t xml:space="preserve">   环境保护设施及验收清单</w:t>
            </w:r>
          </w:p>
          <w:tbl>
            <w:tblPr>
              <w:tblStyle w:val="38"/>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42"/>
              <w:gridCol w:w="439"/>
              <w:gridCol w:w="806"/>
              <w:gridCol w:w="2435"/>
              <w:gridCol w:w="564"/>
              <w:gridCol w:w="1372"/>
              <w:gridCol w:w="28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1" w:hRule="atLeast"/>
                <w:jc w:val="center"/>
              </w:trPr>
              <w:tc>
                <w:tcPr>
                  <w:tcW w:w="342"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类别</w:t>
                  </w:r>
                </w:p>
              </w:tc>
              <w:tc>
                <w:tcPr>
                  <w:tcW w:w="439"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治理</w:t>
                  </w:r>
                </w:p>
                <w:p>
                  <w:pPr>
                    <w:keepNext w:val="0"/>
                    <w:keepLines w:val="0"/>
                    <w:suppressLineNumbers w:val="0"/>
                    <w:spacing w:before="0" w:beforeAutospacing="0" w:after="0" w:afterAutospacing="0"/>
                    <w:ind w:left="0" w:right="0"/>
                    <w:jc w:val="center"/>
                    <w:rPr>
                      <w:rFonts w:hint="default"/>
                      <w:b/>
                    </w:rPr>
                  </w:pPr>
                  <w:r>
                    <w:rPr>
                      <w:rFonts w:hint="default"/>
                      <w:b/>
                    </w:rPr>
                    <w:t>项目</w:t>
                  </w:r>
                </w:p>
              </w:tc>
              <w:tc>
                <w:tcPr>
                  <w:tcW w:w="806"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污染源</w:t>
                  </w:r>
                </w:p>
                <w:p>
                  <w:pPr>
                    <w:keepNext w:val="0"/>
                    <w:keepLines w:val="0"/>
                    <w:suppressLineNumbers w:val="0"/>
                    <w:spacing w:before="0" w:beforeAutospacing="0" w:after="0" w:afterAutospacing="0"/>
                    <w:ind w:left="0" w:right="0"/>
                    <w:jc w:val="center"/>
                    <w:rPr>
                      <w:rFonts w:hint="default"/>
                      <w:b/>
                    </w:rPr>
                  </w:pPr>
                  <w:r>
                    <w:rPr>
                      <w:rFonts w:hint="default"/>
                      <w:b/>
                    </w:rPr>
                    <w:t>位置</w:t>
                  </w:r>
                </w:p>
              </w:tc>
              <w:tc>
                <w:tcPr>
                  <w:tcW w:w="2435"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环保设施或措施</w:t>
                  </w:r>
                </w:p>
              </w:tc>
              <w:tc>
                <w:tcPr>
                  <w:tcW w:w="564"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数量</w:t>
                  </w:r>
                </w:p>
                <w:p>
                  <w:pPr>
                    <w:keepNext w:val="0"/>
                    <w:keepLines w:val="0"/>
                    <w:suppressLineNumbers w:val="0"/>
                    <w:spacing w:before="0" w:beforeAutospacing="0" w:after="0" w:afterAutospacing="0"/>
                    <w:ind w:left="0" w:right="0"/>
                    <w:jc w:val="center"/>
                    <w:rPr>
                      <w:rFonts w:hint="default"/>
                      <w:b/>
                    </w:rPr>
                  </w:pPr>
                  <w:r>
                    <w:rPr>
                      <w:rFonts w:hint="default"/>
                      <w:b/>
                    </w:rPr>
                    <w:t>台/套</w:t>
                  </w:r>
                </w:p>
              </w:tc>
              <w:tc>
                <w:tcPr>
                  <w:tcW w:w="1372"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治理要求</w:t>
                  </w:r>
                </w:p>
              </w:tc>
              <w:tc>
                <w:tcPr>
                  <w:tcW w:w="2825" w:type="dxa"/>
                  <w:vAlign w:val="center"/>
                </w:tcPr>
                <w:p>
                  <w:pPr>
                    <w:keepNext w:val="0"/>
                    <w:keepLines w:val="0"/>
                    <w:suppressLineNumbers w:val="0"/>
                    <w:spacing w:before="0" w:beforeAutospacing="0" w:after="0" w:afterAutospacing="0"/>
                    <w:ind w:left="0" w:right="0"/>
                    <w:jc w:val="center"/>
                    <w:rPr>
                      <w:rFonts w:hint="default"/>
                      <w:b/>
                    </w:rPr>
                  </w:pPr>
                  <w:r>
                    <w:rPr>
                      <w:rFonts w:hint="default"/>
                      <w:b/>
                    </w:rPr>
                    <w:t>验收标准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342"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废气</w:t>
                  </w:r>
                </w:p>
              </w:tc>
              <w:tc>
                <w:tcPr>
                  <w:tcW w:w="439" w:type="dxa"/>
                  <w:vAlign w:val="center"/>
                </w:tcPr>
                <w:p>
                  <w:pPr>
                    <w:keepNext w:val="0"/>
                    <w:keepLines w:val="0"/>
                    <w:suppressLineNumbers w:val="0"/>
                    <w:spacing w:before="0" w:beforeAutospacing="0" w:after="0" w:afterAutospacing="0"/>
                    <w:ind w:left="0" w:right="0"/>
                    <w:jc w:val="center"/>
                    <w:rPr>
                      <w:rFonts w:hint="default"/>
                    </w:rPr>
                  </w:pPr>
                  <w:r>
                    <w:rPr>
                      <w:rFonts w:hint="default"/>
                      <w:bCs/>
                    </w:rPr>
                    <w:t>打磨粉尘</w:t>
                  </w:r>
                </w:p>
              </w:tc>
              <w:tc>
                <w:tcPr>
                  <w:tcW w:w="806" w:type="dxa"/>
                  <w:vAlign w:val="center"/>
                </w:tcPr>
                <w:p>
                  <w:pPr>
                    <w:keepNext w:val="0"/>
                    <w:keepLines w:val="0"/>
                    <w:suppressLineNumbers w:val="0"/>
                    <w:spacing w:before="0" w:beforeAutospacing="0" w:after="0" w:afterAutospacing="0"/>
                    <w:ind w:left="0" w:right="0"/>
                    <w:rPr>
                      <w:rFonts w:hint="default"/>
                    </w:rPr>
                  </w:pPr>
                  <w:r>
                    <w:rPr>
                      <w:rFonts w:hint="default"/>
                      <w:bCs/>
                    </w:rPr>
                    <w:t xml:space="preserve">   机库</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“排风收集箱+</w:t>
                  </w:r>
                  <w:r>
                    <w:rPr>
                      <w:rFonts w:hint="eastAsia"/>
                    </w:rPr>
                    <w:t>干式</w:t>
                  </w:r>
                  <w:r>
                    <w:rPr>
                      <w:rFonts w:hint="default"/>
                    </w:rPr>
                    <w:t xml:space="preserve">过滤器” </w:t>
                  </w:r>
                  <w:r>
                    <w:rPr>
                      <w:rFonts w:hint="eastAsia"/>
                    </w:rPr>
                    <w:t>（6套）</w:t>
                  </w:r>
                  <w:r>
                    <w:rPr>
                      <w:rFonts w:hint="default"/>
                    </w:rPr>
                    <w:t>+15m高排气筒（P1、P2）</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达标排放</w:t>
                  </w:r>
                </w:p>
              </w:tc>
              <w:tc>
                <w:tcPr>
                  <w:tcW w:w="2825" w:type="dxa"/>
                  <w:vAlign w:val="center"/>
                </w:tcPr>
                <w:p>
                  <w:pPr>
                    <w:keepNext w:val="0"/>
                    <w:keepLines w:val="0"/>
                    <w:suppressLineNumbers w:val="0"/>
                    <w:spacing w:before="0" w:beforeAutospacing="0" w:after="0" w:afterAutospacing="0"/>
                    <w:ind w:left="0" w:right="0"/>
                    <w:jc w:val="center"/>
                    <w:rPr>
                      <w:rFonts w:hint="default"/>
                    </w:rPr>
                  </w:pPr>
                  <w:r>
                    <w:rPr>
                      <w:rFonts w:hint="default"/>
                    </w:rPr>
                    <w:t>达到《大气污染综合排放标准》(GB16297-1996)中二级标准要求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342"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439" w:type="dxa"/>
                  <w:vAlign w:val="center"/>
                </w:tcPr>
                <w:p>
                  <w:pPr>
                    <w:keepNext w:val="0"/>
                    <w:keepLines w:val="0"/>
                    <w:suppressLineNumbers w:val="0"/>
                    <w:spacing w:before="0" w:beforeAutospacing="0" w:after="0" w:afterAutospacing="0"/>
                    <w:ind w:left="0" w:right="0"/>
                    <w:jc w:val="center"/>
                    <w:rPr>
                      <w:rFonts w:hint="default"/>
                      <w:bCs/>
                    </w:rPr>
                  </w:pPr>
                  <w:r>
                    <w:rPr>
                      <w:rFonts w:hint="default"/>
                      <w:bCs/>
                    </w:rPr>
                    <w:t>喷漆及晾干废气</w:t>
                  </w:r>
                </w:p>
              </w:tc>
              <w:tc>
                <w:tcPr>
                  <w:tcW w:w="806" w:type="dxa"/>
                  <w:vAlign w:val="center"/>
                </w:tcPr>
                <w:p>
                  <w:pPr>
                    <w:keepNext w:val="0"/>
                    <w:keepLines w:val="0"/>
                    <w:suppressLineNumbers w:val="0"/>
                    <w:spacing w:before="0" w:beforeAutospacing="0" w:after="0" w:afterAutospacing="0"/>
                    <w:ind w:left="0" w:right="0"/>
                    <w:jc w:val="center"/>
                    <w:rPr>
                      <w:rFonts w:hint="default"/>
                      <w:bCs/>
                    </w:rPr>
                  </w:pPr>
                  <w:r>
                    <w:rPr>
                      <w:rFonts w:hint="default"/>
                      <w:bCs/>
                    </w:rPr>
                    <w:t>机库</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“排风收集箱+</w:t>
                  </w:r>
                  <w:r>
                    <w:rPr>
                      <w:rFonts w:hint="eastAsia"/>
                    </w:rPr>
                    <w:t>干式</w:t>
                  </w:r>
                  <w:r>
                    <w:rPr>
                      <w:rFonts w:hint="default"/>
                    </w:rPr>
                    <w:t>过滤器” +活性炭吸附箱（6套）+15m高的排气筒（P1、P2）</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达标排放</w:t>
                  </w:r>
                </w:p>
              </w:tc>
              <w:tc>
                <w:tcPr>
                  <w:tcW w:w="2825" w:type="dxa"/>
                  <w:vAlign w:val="center"/>
                </w:tcPr>
                <w:p>
                  <w:pPr>
                    <w:keepNext w:val="0"/>
                    <w:keepLines w:val="0"/>
                    <w:suppressLineNumbers w:val="0"/>
                    <w:spacing w:before="0" w:beforeAutospacing="0" w:after="0" w:afterAutospacing="0"/>
                    <w:ind w:left="0" w:right="0"/>
                    <w:jc w:val="center"/>
                    <w:rPr>
                      <w:rFonts w:hint="default"/>
                      <w:color w:val="000000"/>
                    </w:rPr>
                  </w:pPr>
                  <w:r>
                    <w:rPr>
                      <w:rFonts w:hint="default"/>
                      <w:bCs/>
                      <w:color w:val="000000"/>
                    </w:rPr>
                    <w:t>漆雾达到</w:t>
                  </w:r>
                  <w:r>
                    <w:rPr>
                      <w:rFonts w:hint="default"/>
                    </w:rPr>
                    <w:t>《大气污染综合排放标准》(GB16297-1996)中二级标准要求；</w:t>
                  </w:r>
                  <w:r>
                    <w:rPr>
                      <w:rFonts w:hint="default"/>
                      <w:bCs/>
                      <w:color w:val="000000"/>
                    </w:rPr>
                    <w:t>非甲烷总烃、甲苯+乙苯、二甲苯排放浓度达到《挥发性有机物排放控制标准》(DB 61/T1061-2017)中最高允许排放浓度限值要求；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342"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废水</w:t>
                  </w:r>
                </w:p>
              </w:tc>
              <w:tc>
                <w:tcPr>
                  <w:tcW w:w="439" w:type="dxa"/>
                  <w:vAlign w:val="center"/>
                </w:tcPr>
                <w:p>
                  <w:pPr>
                    <w:keepNext w:val="0"/>
                    <w:keepLines w:val="0"/>
                    <w:suppressLineNumbers w:val="0"/>
                    <w:spacing w:before="0" w:beforeAutospacing="0" w:after="0" w:afterAutospacing="0"/>
                    <w:ind w:left="0" w:right="0"/>
                    <w:jc w:val="center"/>
                    <w:rPr>
                      <w:rFonts w:hint="default"/>
                    </w:rPr>
                  </w:pPr>
                  <w:r>
                    <w:rPr>
                      <w:rFonts w:hint="default"/>
                    </w:rPr>
                    <w:t>生产废水</w:t>
                  </w:r>
                </w:p>
              </w:tc>
              <w:tc>
                <w:tcPr>
                  <w:tcW w:w="806" w:type="dxa"/>
                  <w:vAlign w:val="center"/>
                </w:tcPr>
                <w:p>
                  <w:pPr>
                    <w:keepNext w:val="0"/>
                    <w:keepLines w:val="0"/>
                    <w:suppressLineNumbers w:val="0"/>
                    <w:spacing w:before="0" w:beforeAutospacing="0" w:after="0" w:afterAutospacing="0"/>
                    <w:ind w:left="0" w:right="0"/>
                    <w:jc w:val="center"/>
                    <w:rPr>
                      <w:rFonts w:hint="default"/>
                    </w:rPr>
                  </w:pPr>
                  <w:r>
                    <w:rPr>
                      <w:rFonts w:hint="default"/>
                    </w:rPr>
                    <w:t>机库</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过滤桶（内设过滤棉）</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达标排放</w:t>
                  </w:r>
                </w:p>
              </w:tc>
              <w:tc>
                <w:tcPr>
                  <w:tcW w:w="2825"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达到《污水综合排放标准》(GB68978-1996)表4中三级标准和《污水排入城镇下水道水质标准》（GB/T31962-2015）表1中A级标准。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342" w:type="dxa"/>
                  <w:vMerge w:val="continue"/>
                  <w:vAlign w:val="center"/>
                </w:tcPr>
                <w:p>
                  <w:pPr>
                    <w:keepNext w:val="0"/>
                    <w:keepLines w:val="0"/>
                    <w:widowControl/>
                    <w:suppressLineNumbers w:val="0"/>
                    <w:spacing w:before="0" w:beforeAutospacing="0" w:after="0" w:afterAutospacing="0"/>
                    <w:ind w:left="0" w:right="0"/>
                    <w:jc w:val="left"/>
                    <w:rPr>
                      <w:rFonts w:hint="default"/>
                    </w:rPr>
                  </w:pPr>
                </w:p>
              </w:tc>
              <w:tc>
                <w:tcPr>
                  <w:tcW w:w="439" w:type="dxa"/>
                  <w:vAlign w:val="center"/>
                </w:tcPr>
                <w:p>
                  <w:pPr>
                    <w:keepNext w:val="0"/>
                    <w:keepLines w:val="0"/>
                    <w:suppressLineNumbers w:val="0"/>
                    <w:spacing w:before="0" w:beforeAutospacing="0" w:after="0" w:afterAutospacing="0"/>
                    <w:ind w:left="0" w:right="0"/>
                    <w:jc w:val="center"/>
                    <w:rPr>
                      <w:rFonts w:hint="default"/>
                    </w:rPr>
                  </w:pPr>
                  <w:r>
                    <w:rPr>
                      <w:rFonts w:hint="default"/>
                    </w:rPr>
                    <w:t>生活污水</w:t>
                  </w:r>
                </w:p>
              </w:tc>
              <w:tc>
                <w:tcPr>
                  <w:tcW w:w="806" w:type="dxa"/>
                  <w:vAlign w:val="center"/>
                </w:tcPr>
                <w:p>
                  <w:pPr>
                    <w:keepNext w:val="0"/>
                    <w:keepLines w:val="0"/>
                    <w:suppressLineNumbers w:val="0"/>
                    <w:spacing w:before="0" w:beforeAutospacing="0" w:after="0" w:afterAutospacing="0"/>
                    <w:ind w:left="0" w:right="0"/>
                    <w:jc w:val="center"/>
                    <w:rPr>
                      <w:rFonts w:hint="default"/>
                    </w:rPr>
                  </w:pPr>
                  <w:r>
                    <w:rPr>
                      <w:rFonts w:hint="default"/>
                    </w:rPr>
                    <w:t>办公生活</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维修基地现有化粪池（</w:t>
                  </w:r>
                  <w:r>
                    <w:rPr>
                      <w:rFonts w:hint="eastAsia"/>
                    </w:rPr>
                    <w:t>依托，</w:t>
                  </w:r>
                  <w:r>
                    <w:rPr>
                      <w:rFonts w:hint="default"/>
                    </w:rPr>
                    <w:t>30</w:t>
                  </w:r>
                  <w:r>
                    <w:rPr>
                      <w:rFonts w:hint="default"/>
                      <w:sz w:val="24"/>
                    </w:rPr>
                    <w:t>m</w:t>
                  </w:r>
                  <w:r>
                    <w:rPr>
                      <w:rFonts w:hint="default"/>
                      <w:sz w:val="24"/>
                      <w:vertAlign w:val="superscript"/>
                    </w:rPr>
                    <w:t>3</w:t>
                  </w:r>
                  <w:r>
                    <w:rPr>
                      <w:rFonts w:hint="default"/>
                    </w:rPr>
                    <w:t>）</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1个</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达标排放</w:t>
                  </w:r>
                </w:p>
              </w:tc>
              <w:tc>
                <w:tcPr>
                  <w:tcW w:w="2825" w:type="dxa"/>
                  <w:vMerge w:val="continue"/>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9" w:hRule="atLeast"/>
                <w:jc w:val="center"/>
              </w:trPr>
              <w:tc>
                <w:tcPr>
                  <w:tcW w:w="342" w:type="dxa"/>
                  <w:vAlign w:val="center"/>
                </w:tcPr>
                <w:p>
                  <w:pPr>
                    <w:keepNext w:val="0"/>
                    <w:keepLines w:val="0"/>
                    <w:suppressLineNumbers w:val="0"/>
                    <w:spacing w:before="0" w:beforeAutospacing="0" w:after="0" w:afterAutospacing="0"/>
                    <w:ind w:left="0" w:right="0"/>
                    <w:jc w:val="center"/>
                    <w:rPr>
                      <w:rFonts w:hint="default"/>
                    </w:rPr>
                  </w:pPr>
                  <w:r>
                    <w:rPr>
                      <w:rFonts w:hint="default"/>
                    </w:rPr>
                    <w:t>噪声</w:t>
                  </w:r>
                </w:p>
              </w:tc>
              <w:tc>
                <w:tcPr>
                  <w:tcW w:w="439" w:type="dxa"/>
                  <w:vAlign w:val="center"/>
                </w:tcPr>
                <w:p>
                  <w:pPr>
                    <w:keepNext w:val="0"/>
                    <w:keepLines w:val="0"/>
                    <w:suppressLineNumbers w:val="0"/>
                    <w:spacing w:before="0" w:beforeAutospacing="0" w:after="0" w:afterAutospacing="0"/>
                    <w:ind w:left="0" w:right="0"/>
                    <w:jc w:val="center"/>
                    <w:rPr>
                      <w:rFonts w:hint="default"/>
                    </w:rPr>
                  </w:pPr>
                  <w:r>
                    <w:rPr>
                      <w:rFonts w:hint="default"/>
                    </w:rPr>
                    <w:t>各类生产设备噪声</w:t>
                  </w:r>
                </w:p>
              </w:tc>
              <w:tc>
                <w:tcPr>
                  <w:tcW w:w="806" w:type="dxa"/>
                  <w:vAlign w:val="center"/>
                </w:tcPr>
                <w:p>
                  <w:pPr>
                    <w:keepNext w:val="0"/>
                    <w:keepLines w:val="0"/>
                    <w:suppressLineNumbers w:val="0"/>
                    <w:spacing w:before="0" w:beforeAutospacing="0" w:after="0" w:afterAutospacing="0"/>
                    <w:ind w:left="0" w:right="0"/>
                    <w:jc w:val="center"/>
                    <w:rPr>
                      <w:rFonts w:hint="default"/>
                    </w:rPr>
                  </w:pPr>
                  <w:r>
                    <w:rPr>
                      <w:rFonts w:hint="default"/>
                    </w:rPr>
                    <w:t>机库</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采取基础减振、厂房隔声等措施</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若干</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达标排放</w:t>
                  </w:r>
                </w:p>
              </w:tc>
              <w:tc>
                <w:tcPr>
                  <w:tcW w:w="2825" w:type="dxa"/>
                  <w:vAlign w:val="center"/>
                </w:tcPr>
                <w:p>
                  <w:pPr>
                    <w:keepNext w:val="0"/>
                    <w:keepLines w:val="0"/>
                    <w:suppressLineNumbers w:val="0"/>
                    <w:spacing w:before="0" w:beforeAutospacing="0" w:after="0" w:afterAutospacing="0"/>
                    <w:ind w:left="0" w:right="0"/>
                    <w:rPr>
                      <w:rFonts w:hint="default"/>
                    </w:rPr>
                  </w:pPr>
                  <w:r>
                    <w:rPr>
                      <w:rFonts w:hint="default"/>
                    </w:rPr>
                    <w:t>达到《工业企业厂界环境噪声排放标准》（GB12348-2008）中3类标准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42"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固</w:t>
                  </w:r>
                </w:p>
                <w:p>
                  <w:pPr>
                    <w:keepNext w:val="0"/>
                    <w:keepLines w:val="0"/>
                    <w:suppressLineNumbers w:val="0"/>
                    <w:spacing w:before="0" w:beforeAutospacing="0" w:after="0" w:afterAutospacing="0"/>
                    <w:ind w:left="0" w:right="0"/>
                    <w:jc w:val="center"/>
                    <w:rPr>
                      <w:rFonts w:hint="default"/>
                    </w:rPr>
                  </w:pPr>
                  <w:r>
                    <w:rPr>
                      <w:rFonts w:hint="default"/>
                    </w:rPr>
                    <w:t>废</w:t>
                  </w:r>
                </w:p>
              </w:tc>
              <w:tc>
                <w:tcPr>
                  <w:tcW w:w="439" w:type="dxa"/>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危险废物</w:t>
                  </w:r>
                </w:p>
              </w:tc>
              <w:tc>
                <w:tcPr>
                  <w:tcW w:w="80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机库</w:t>
                  </w:r>
                </w:p>
              </w:tc>
              <w:tc>
                <w:tcPr>
                  <w:tcW w:w="24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依托维修基地危废暂存间（依托）</w:t>
                  </w:r>
                </w:p>
              </w:tc>
              <w:tc>
                <w:tcPr>
                  <w:tcW w:w="56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37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合理处置</w:t>
                  </w:r>
                </w:p>
              </w:tc>
              <w:tc>
                <w:tcPr>
                  <w:tcW w:w="2825" w:type="dxa"/>
                  <w:vAlign w:val="center"/>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达到《危险废物贮存污染控制标准》（GB18597-2001）及其修改单中相关规定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42"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439" w:type="dxa"/>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一般固废</w:t>
                  </w:r>
                </w:p>
              </w:tc>
              <w:tc>
                <w:tcPr>
                  <w:tcW w:w="806"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机库</w:t>
                  </w:r>
                </w:p>
              </w:tc>
              <w:tc>
                <w:tcPr>
                  <w:tcW w:w="2435"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收集后统一外售</w:t>
                  </w:r>
                </w:p>
              </w:tc>
              <w:tc>
                <w:tcPr>
                  <w:tcW w:w="564"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372" w:type="dxa"/>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合理处置</w:t>
                  </w:r>
                </w:p>
              </w:tc>
              <w:tc>
                <w:tcPr>
                  <w:tcW w:w="2825" w:type="dxa"/>
                  <w:vAlign w:val="center"/>
                </w:tcPr>
                <w:p>
                  <w:pPr>
                    <w:keepNext w:val="0"/>
                    <w:keepLines w:val="0"/>
                    <w:suppressLineNumbers w:val="0"/>
                    <w:spacing w:before="0" w:beforeAutospacing="0" w:after="0" w:afterAutospacing="0"/>
                    <w:ind w:left="0" w:right="0"/>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达到《一般工业固体废物贮存、处置场污染控制标准》(GB18599—2001)及修改单中相关规定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342"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439" w:type="dxa"/>
                  <w:vAlign w:val="center"/>
                </w:tcPr>
                <w:p>
                  <w:pPr>
                    <w:keepNext w:val="0"/>
                    <w:keepLines w:val="0"/>
                    <w:suppressLineNumbers w:val="0"/>
                    <w:snapToGrid w:val="0"/>
                    <w:spacing w:before="0" w:beforeAutospacing="0" w:after="0" w:afterAutospacing="0" w:line="0" w:lineRule="atLeast"/>
                    <w:ind w:left="0" w:right="0"/>
                    <w:jc w:val="center"/>
                    <w:rPr>
                      <w:rFonts w:hint="default"/>
                    </w:rPr>
                  </w:pPr>
                  <w:r>
                    <w:rPr>
                      <w:rFonts w:hint="default"/>
                    </w:rPr>
                    <w:t>生活垃圾</w:t>
                  </w:r>
                </w:p>
              </w:tc>
              <w:tc>
                <w:tcPr>
                  <w:tcW w:w="806" w:type="dxa"/>
                  <w:vAlign w:val="center"/>
                </w:tcPr>
                <w:p>
                  <w:pPr>
                    <w:keepNext w:val="0"/>
                    <w:keepLines w:val="0"/>
                    <w:suppressLineNumbers w:val="0"/>
                    <w:spacing w:before="0" w:beforeAutospacing="0" w:after="0" w:afterAutospacing="0"/>
                    <w:ind w:left="0" w:right="0"/>
                    <w:jc w:val="center"/>
                    <w:rPr>
                      <w:rFonts w:hint="default"/>
                    </w:rPr>
                  </w:pPr>
                  <w:r>
                    <w:rPr>
                      <w:rFonts w:hint="default"/>
                    </w:rPr>
                    <w:t>办公生活</w:t>
                  </w:r>
                </w:p>
              </w:tc>
              <w:tc>
                <w:tcPr>
                  <w:tcW w:w="2435" w:type="dxa"/>
                  <w:vAlign w:val="center"/>
                </w:tcPr>
                <w:p>
                  <w:pPr>
                    <w:keepNext w:val="0"/>
                    <w:keepLines w:val="0"/>
                    <w:suppressLineNumbers w:val="0"/>
                    <w:spacing w:before="0" w:beforeAutospacing="0" w:after="0" w:afterAutospacing="0"/>
                    <w:ind w:left="0" w:right="0"/>
                    <w:jc w:val="center"/>
                    <w:rPr>
                      <w:rFonts w:hint="default"/>
                    </w:rPr>
                  </w:pPr>
                  <w:r>
                    <w:rPr>
                      <w:rFonts w:hint="default"/>
                    </w:rPr>
                    <w:t>送往维修基地生活垃圾暂存区，统一交由环卫部门处置</w:t>
                  </w:r>
                </w:p>
              </w:tc>
              <w:tc>
                <w:tcPr>
                  <w:tcW w:w="564" w:type="dxa"/>
                  <w:vAlign w:val="center"/>
                </w:tcPr>
                <w:p>
                  <w:pPr>
                    <w:keepNext w:val="0"/>
                    <w:keepLines w:val="0"/>
                    <w:suppressLineNumbers w:val="0"/>
                    <w:spacing w:before="0" w:beforeAutospacing="0" w:after="0" w:afterAutospacing="0"/>
                    <w:ind w:left="0" w:right="0"/>
                    <w:jc w:val="center"/>
                    <w:rPr>
                      <w:rFonts w:hint="default"/>
                    </w:rPr>
                  </w:pPr>
                  <w:r>
                    <w:rPr>
                      <w:rFonts w:hint="default"/>
                    </w:rPr>
                    <w:t>/</w:t>
                  </w:r>
                </w:p>
              </w:tc>
              <w:tc>
                <w:tcPr>
                  <w:tcW w:w="1372" w:type="dxa"/>
                  <w:vAlign w:val="center"/>
                </w:tcPr>
                <w:p>
                  <w:pPr>
                    <w:keepNext w:val="0"/>
                    <w:keepLines w:val="0"/>
                    <w:suppressLineNumbers w:val="0"/>
                    <w:spacing w:before="0" w:beforeAutospacing="0" w:after="0" w:afterAutospacing="0"/>
                    <w:ind w:left="0" w:right="0"/>
                    <w:jc w:val="center"/>
                    <w:rPr>
                      <w:rFonts w:hint="default"/>
                    </w:rPr>
                  </w:pPr>
                  <w:r>
                    <w:rPr>
                      <w:rFonts w:hint="default"/>
                    </w:rPr>
                    <w:t>合理处置</w:t>
                  </w:r>
                </w:p>
              </w:tc>
              <w:tc>
                <w:tcPr>
                  <w:tcW w:w="2825" w:type="dxa"/>
                  <w:vAlign w:val="center"/>
                </w:tcPr>
                <w:p>
                  <w:pPr>
                    <w:keepNext w:val="0"/>
                    <w:keepLines w:val="0"/>
                    <w:suppressLineNumbers w:val="0"/>
                    <w:spacing w:before="0" w:beforeAutospacing="0" w:after="0" w:afterAutospacing="0"/>
                    <w:ind w:left="0" w:right="0"/>
                    <w:jc w:val="center"/>
                    <w:rPr>
                      <w:rFonts w:hint="default"/>
                    </w:rPr>
                  </w:pPr>
                  <w:r>
                    <w:rPr>
                      <w:rFonts w:hint="default"/>
                    </w:rPr>
                    <w:t>处置率100%</w:t>
                  </w:r>
                </w:p>
              </w:tc>
            </w:tr>
          </w:tbl>
          <w:p>
            <w:pPr>
              <w:keepNext w:val="0"/>
              <w:keepLines w:val="0"/>
              <w:suppressLineNumbers w:val="0"/>
              <w:spacing w:before="0" w:beforeAutospacing="0" w:after="0" w:afterAutospacing="0" w:line="360" w:lineRule="auto"/>
              <w:ind w:left="0" w:right="0"/>
              <w:rPr>
                <w:rFonts w:hint="default" w:eastAsia="黑体"/>
                <w:szCs w:val="28"/>
              </w:rPr>
            </w:pPr>
            <w:r>
              <w:rPr>
                <w:rFonts w:hint="default" w:eastAsia="黑体"/>
                <w:szCs w:val="28"/>
              </w:rPr>
              <w:t>七、污染物排放清单</w:t>
            </w:r>
          </w:p>
          <w:p>
            <w:pPr>
              <w:keepNext w:val="0"/>
              <w:keepLines w:val="0"/>
              <w:suppressLineNumbers w:val="0"/>
              <w:autoSpaceDE w:val="0"/>
              <w:autoSpaceDN w:val="0"/>
              <w:adjustRightInd w:val="0"/>
              <w:spacing w:before="0" w:beforeAutospacing="0" w:after="0" w:afterAutospacing="0" w:line="500" w:lineRule="exact"/>
              <w:ind w:left="0" w:right="0" w:firstLine="470" w:firstLineChars="196"/>
              <w:rPr>
                <w:rFonts w:hint="default"/>
                <w:kern w:val="0"/>
                <w:sz w:val="24"/>
                <w:szCs w:val="28"/>
              </w:rPr>
            </w:pPr>
            <w:r>
              <w:rPr>
                <w:rFonts w:hint="default"/>
                <w:kern w:val="0"/>
                <w:sz w:val="24"/>
                <w:szCs w:val="28"/>
              </w:rPr>
              <w:t>项目运营期污染物排放清单如下表。</w:t>
            </w:r>
          </w:p>
          <w:p>
            <w:pPr>
              <w:keepNext w:val="0"/>
              <w:keepLines w:val="0"/>
              <w:suppressLineNumbers w:val="0"/>
              <w:adjustRightInd w:val="0"/>
              <w:snapToGrid w:val="0"/>
              <w:spacing w:before="0" w:beforeAutospacing="0" w:after="0" w:afterAutospacing="0"/>
              <w:ind w:left="0" w:right="0"/>
              <w:jc w:val="center"/>
              <w:rPr>
                <w:rFonts w:hint="default" w:eastAsia="黑体"/>
                <w:sz w:val="24"/>
              </w:rPr>
            </w:pPr>
            <w:r>
              <w:rPr>
                <w:rFonts w:hint="default" w:eastAsia="黑体"/>
                <w:sz w:val="24"/>
              </w:rPr>
              <w:t>表5</w:t>
            </w:r>
            <w:r>
              <w:rPr>
                <w:rFonts w:hint="eastAsia" w:eastAsia="黑体"/>
                <w:sz w:val="24"/>
              </w:rPr>
              <w:t>5</w:t>
            </w:r>
            <w:r>
              <w:rPr>
                <w:rFonts w:hint="default" w:eastAsia="黑体"/>
                <w:sz w:val="24"/>
              </w:rPr>
              <w:t xml:space="preserve">   污染物排放清单</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741"/>
              <w:gridCol w:w="857"/>
              <w:gridCol w:w="1070"/>
              <w:gridCol w:w="1219"/>
              <w:gridCol w:w="995"/>
              <w:gridCol w:w="1432"/>
              <w:gridCol w:w="1196"/>
              <w:gridCol w:w="12"/>
              <w:gridCol w:w="83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76" w:hRule="atLeast"/>
                <w:jc w:val="center"/>
              </w:trPr>
              <w:tc>
                <w:tcPr>
                  <w:tcW w:w="243"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类别</w:t>
                  </w:r>
                </w:p>
              </w:tc>
              <w:tc>
                <w:tcPr>
                  <w:tcW w:w="1519" w:type="pct"/>
                  <w:gridSpan w:val="3"/>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污染物名称</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产生浓度（</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产生量（</w:t>
                  </w:r>
                  <w:r>
                    <w:rPr>
                      <w:rFonts w:hint="default"/>
                      <w:color w:val="000000" w:themeColor="text1"/>
                      <w14:textFill>
                        <w14:solidFill>
                          <w14:schemeClr w14:val="tx1"/>
                        </w14:solidFill>
                      </w14:textFill>
                    </w:rPr>
                    <w:t>t/a</w:t>
                  </w:r>
                  <w:r>
                    <w:rPr>
                      <w:rFonts w:hint="default"/>
                      <w:bCs/>
                      <w:color w:val="000000" w:themeColor="text1"/>
                      <w14:textFill>
                        <w14:solidFill>
                          <w14:schemeClr w14:val="tx1"/>
                        </w14:solidFill>
                      </w14:textFill>
                    </w:rPr>
                    <w:t>）</w:t>
                  </w:r>
                </w:p>
              </w:tc>
              <w:tc>
                <w:tcPr>
                  <w:tcW w:w="81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环保措施</w:t>
                  </w:r>
                </w:p>
              </w:tc>
              <w:tc>
                <w:tcPr>
                  <w:tcW w:w="681"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排放浓度（</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r>
                    <w:rPr>
                      <w:rFonts w:hint="default"/>
                      <w:bCs/>
                      <w:color w:val="000000" w:themeColor="text1"/>
                      <w14:textFill>
                        <w14:solidFill>
                          <w14:schemeClr w14:val="tx1"/>
                        </w14:solidFill>
                      </w14:textFill>
                    </w:rPr>
                    <w:t>）</w:t>
                  </w:r>
                </w:p>
              </w:tc>
              <w:tc>
                <w:tcPr>
                  <w:tcW w:w="482"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排放量（</w:t>
                  </w:r>
                  <w:r>
                    <w:rPr>
                      <w:rFonts w:hint="default"/>
                      <w:color w:val="000000" w:themeColor="text1"/>
                      <w14:textFill>
                        <w14:solidFill>
                          <w14:schemeClr w14:val="tx1"/>
                        </w14:solidFill>
                      </w14:textFill>
                    </w:rPr>
                    <w:t>t/a</w:t>
                  </w:r>
                  <w:r>
                    <w:rPr>
                      <w:rFonts w:hint="default"/>
                      <w:bCs/>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restar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废气</w:t>
                  </w:r>
                </w:p>
              </w:tc>
              <w:tc>
                <w:tcPr>
                  <w:tcW w:w="910" w:type="pct"/>
                  <w:gridSpan w:val="2"/>
                  <w:vMerge w:val="restart"/>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打磨粉尘</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316.5</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1.5192</w:t>
                  </w:r>
                </w:p>
              </w:tc>
              <w:tc>
                <w:tcPr>
                  <w:tcW w:w="815" w:type="pct"/>
                  <w:vMerge w:val="restart"/>
                  <w:vAlign w:val="center"/>
                </w:tcPr>
                <w:p>
                  <w:pPr>
                    <w:pStyle w:val="13"/>
                    <w:keepNext w:val="0"/>
                    <w:keepLines w:val="0"/>
                    <w:suppressLineNumbers w:val="0"/>
                    <w:spacing w:before="0" w:beforeAutospacing="0" w:after="0" w:afterAutospacing="0"/>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“排风收集箱+</w:t>
                  </w:r>
                  <w:r>
                    <w:rPr>
                      <w:rFonts w:hint="eastAsia" w:ascii="Times New Roman" w:hAnsi="Times New Roman" w:cs="Times New Roman"/>
                      <w:bCs/>
                      <w:color w:val="000000" w:themeColor="text1"/>
                      <w:sz w:val="21"/>
                      <w:szCs w:val="21"/>
                      <w14:textFill>
                        <w14:solidFill>
                          <w14:schemeClr w14:val="tx1"/>
                        </w14:solidFill>
                      </w14:textFill>
                    </w:rPr>
                    <w:t>干式</w:t>
                  </w:r>
                  <w:r>
                    <w:rPr>
                      <w:rFonts w:hint="default" w:ascii="Times New Roman" w:hAnsi="Times New Roman" w:cs="Times New Roman"/>
                      <w:bCs/>
                      <w:color w:val="000000" w:themeColor="text1"/>
                      <w:sz w:val="21"/>
                      <w:szCs w:val="21"/>
                      <w14:textFill>
                        <w14:solidFill>
                          <w14:schemeClr w14:val="tx1"/>
                        </w14:solidFill>
                      </w14:textFill>
                    </w:rPr>
                    <w:t>过滤器”</w:t>
                  </w:r>
                  <w:r>
                    <w:rPr>
                      <w:rFonts w:hint="eastAsia" w:ascii="Times New Roman" w:hAnsi="Times New Roman" w:cs="Times New Roman"/>
                      <w:bCs/>
                      <w:color w:val="000000" w:themeColor="text1"/>
                      <w:sz w:val="21"/>
                      <w:szCs w:val="21"/>
                      <w14:textFill>
                        <w14:solidFill>
                          <w14:schemeClr w14:val="tx1"/>
                        </w14:solidFill>
                      </w14:textFill>
                    </w:rPr>
                    <w:t>（6套）</w:t>
                  </w:r>
                  <w:r>
                    <w:rPr>
                      <w:rFonts w:hint="default" w:ascii="Times New Roman" w:hAnsi="Times New Roman" w:cs="Times New Roman"/>
                      <w:bCs/>
                      <w:color w:val="000000" w:themeColor="text1"/>
                      <w:sz w:val="21"/>
                      <w:szCs w:val="21"/>
                      <w14:textFill>
                        <w14:solidFill>
                          <w14:schemeClr w14:val="tx1"/>
                        </w14:solidFill>
                      </w14:textFill>
                    </w:rPr>
                    <w:t xml:space="preserve"> +15m高排气筒（P1、P2）</w:t>
                  </w: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3.4</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0.016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0.168</w:t>
                  </w:r>
                </w:p>
              </w:tc>
              <w:tc>
                <w:tcPr>
                  <w:tcW w:w="815" w:type="pct"/>
                  <w:vMerge w:val="continue"/>
                  <w:vAlign w:val="center"/>
                </w:tcPr>
                <w:p>
                  <w:pPr>
                    <w:pStyle w:val="13"/>
                    <w:keepNext w:val="0"/>
                    <w:keepLines w:val="0"/>
                    <w:suppressLineNumbers w:val="0"/>
                    <w:spacing w:before="0" w:beforeAutospacing="0" w:after="0" w:afterAutospacing="0"/>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restar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喷漆及晾干工序</w:t>
                  </w:r>
                </w:p>
              </w:tc>
              <w:tc>
                <w:tcPr>
                  <w:tcW w:w="488" w:type="pct"/>
                  <w:vMerge w:val="restar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漆雾</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36</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1.296</w:t>
                  </w:r>
                </w:p>
              </w:tc>
              <w:tc>
                <w:tcPr>
                  <w:tcW w:w="815" w:type="pct"/>
                  <w:vMerge w:val="restart"/>
                  <w:vAlign w:val="center"/>
                </w:tcPr>
                <w:p>
                  <w:pPr>
                    <w:pStyle w:val="13"/>
                    <w:keepNext w:val="0"/>
                    <w:keepLines w:val="0"/>
                    <w:suppressLineNumbers w:val="0"/>
                    <w:spacing w:before="0" w:beforeAutospacing="0" w:after="0" w:afterAutospacing="0"/>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“排风收集箱+</w:t>
                  </w:r>
                  <w:r>
                    <w:rPr>
                      <w:rFonts w:hint="eastAsia" w:ascii="Times New Roman" w:hAnsi="Times New Roman" w:cs="Times New Roman"/>
                      <w:color w:val="000000" w:themeColor="text1"/>
                      <w:sz w:val="21"/>
                      <w:szCs w:val="21"/>
                      <w14:textFill>
                        <w14:solidFill>
                          <w14:schemeClr w14:val="tx1"/>
                        </w14:solidFill>
                      </w14:textFill>
                    </w:rPr>
                    <w:t>干式</w:t>
                  </w:r>
                  <w:r>
                    <w:rPr>
                      <w:rFonts w:hint="default" w:ascii="Times New Roman" w:hAnsi="Times New Roman" w:cs="Times New Roman"/>
                      <w:color w:val="000000" w:themeColor="text1"/>
                      <w:sz w:val="21"/>
                      <w:szCs w:val="21"/>
                      <w14:textFill>
                        <w14:solidFill>
                          <w14:schemeClr w14:val="tx1"/>
                        </w14:solidFill>
                      </w14:textFill>
                    </w:rPr>
                    <w:t>过滤器+活性炭吸附箱</w:t>
                  </w:r>
                  <w:r>
                    <w:rPr>
                      <w:rFonts w:hint="eastAsia"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6套</w:t>
                  </w:r>
                  <w:r>
                    <w:rPr>
                      <w:rFonts w:hint="default" w:ascii="Times New Roman" w:hAnsi="Times New Roman" w:cs="Times New Roman"/>
                      <w:color w:val="000000" w:themeColor="text1"/>
                      <w:sz w:val="21"/>
                      <w:szCs w:val="21"/>
                      <w14:textFill>
                        <w14:solidFill>
                          <w14:schemeClr w14:val="tx1"/>
                        </w14:solidFill>
                      </w14:textFill>
                    </w:rPr>
                    <w:t>）+15m高的排气筒（P1、P2）</w:t>
                  </w: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3.6</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0.1296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114</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4.104</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22.9</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0.8225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3.2</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0.1158</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0.7</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0.0235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2"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6.48</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0.233</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1.4</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0.047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restar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漆雾</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0.144</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0.144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0.456</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0.456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甲苯+乙苯</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0.0132</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0.0132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 w:hRule="atLeast"/>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422"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488" w:type="pct"/>
                  <w:vMerge w:val="continue"/>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二甲苯</w:t>
                  </w: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0.026</w:t>
                  </w:r>
                </w:p>
              </w:tc>
              <w:tc>
                <w:tcPr>
                  <w:tcW w:w="815" w:type="pct"/>
                  <w:vMerge w:val="continue"/>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0.026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restar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废水</w:t>
                  </w: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生活污水（573.78m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3847" w:type="pct"/>
                  <w:gridSpan w:val="7"/>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依托维修基地现有化粪池预处理后，进入咸阳机场污水处理厂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清洗废水（113.4m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p>
              </w:tc>
              <w:tc>
                <w:tcPr>
                  <w:tcW w:w="3847" w:type="pct"/>
                  <w:gridSpan w:val="7"/>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经水泵抽至过滤桶，过滤桶内设过滤网，将过滤棉放置过滤网上，废水经过滤棉过滤后通过管网排至咸阳机场污水处理厂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restar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固废</w:t>
                  </w: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14:textFill>
                        <w14:solidFill>
                          <w14:schemeClr w14:val="tx1"/>
                        </w14:solidFill>
                      </w14:textFill>
                    </w:rPr>
                  </w:pPr>
                  <w:r>
                    <w:rPr>
                      <w:rFonts w:hint="default"/>
                      <w:color w:val="000000" w:themeColor="text1"/>
                      <w14:textFill>
                        <w14:solidFill>
                          <w14:schemeClr w14:val="tx1"/>
                        </w14:solidFill>
                      </w14:textFill>
                    </w:rPr>
                    <w:t>维修工序</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废旧零部件</w:t>
                  </w:r>
                </w:p>
              </w:tc>
              <w:tc>
                <w:tcPr>
                  <w:tcW w:w="694" w:type="pc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815" w:type="pct"/>
                  <w:vMerge w:val="restart"/>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收集后统一外售</w:t>
                  </w:r>
                </w:p>
              </w:tc>
              <w:tc>
                <w:tcPr>
                  <w:tcW w:w="688" w:type="pct"/>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维修工序</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废旧包装盒</w:t>
                  </w:r>
                </w:p>
              </w:tc>
              <w:tc>
                <w:tcPr>
                  <w:tcW w:w="694" w:type="pc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0.2</w:t>
                  </w:r>
                </w:p>
              </w:tc>
              <w:tc>
                <w:tcPr>
                  <w:tcW w:w="815" w:type="pct"/>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88" w:type="pct"/>
                  <w:gridSpan w:val="2"/>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日常办公</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9.855</w:t>
                  </w:r>
                </w:p>
              </w:tc>
              <w:tc>
                <w:tcPr>
                  <w:tcW w:w="815" w:type="pct"/>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color w:val="000000" w:themeColor="text1"/>
                      <w14:textFill>
                        <w14:solidFill>
                          <w14:schemeClr w14:val="tx1"/>
                        </w14:solidFill>
                      </w14:textFill>
                    </w:rPr>
                    <w:t>统一交由环卫部门处置</w:t>
                  </w: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喷漆工序</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废有机溶剂桶</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815" w:type="pct"/>
                  <w:vMerge w:val="restart"/>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color w:val="000000" w:themeColor="text1"/>
                      <w14:textFill>
                        <w14:solidFill>
                          <w14:schemeClr w14:val="tx1"/>
                        </w14:solidFill>
                      </w14:textFill>
                    </w:rPr>
                    <w:t>依托维修基地现有危废暂存间暂存后，交由有资质单位处理</w:t>
                  </w: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维修工序</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废机油、含有手套、抹布</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w:t>
                  </w:r>
                </w:p>
              </w:tc>
              <w:tc>
                <w:tcPr>
                  <w:tcW w:w="815" w:type="pct"/>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废水过滤</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废过滤棉（含杂质）</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0.8</w:t>
                  </w:r>
                </w:p>
              </w:tc>
              <w:tc>
                <w:tcPr>
                  <w:tcW w:w="815" w:type="pct"/>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环保设备</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w:t>
                  </w:r>
                  <w:r>
                    <w:rPr>
                      <w:rFonts w:hint="eastAsia"/>
                      <w:color w:val="000000" w:themeColor="text1"/>
                      <w14:textFill>
                        <w14:solidFill>
                          <w14:schemeClr w14:val="tx1"/>
                        </w14:solidFill>
                      </w14:textFill>
                    </w:rPr>
                    <w:t>滤芯</w:t>
                  </w:r>
                  <w:r>
                    <w:rPr>
                      <w:rFonts w:hint="default"/>
                      <w:color w:val="000000" w:themeColor="text1"/>
                      <w14:textFill>
                        <w14:solidFill>
                          <w14:schemeClr w14:val="tx1"/>
                        </w14:solidFill>
                      </w14:textFill>
                    </w:rPr>
                    <w:t>（含漆雾）</w:t>
                  </w:r>
                  <w:r>
                    <w:rPr>
                      <w:rFonts w:hint="eastAsia"/>
                      <w:color w:val="000000" w:themeColor="text1"/>
                      <w14:textFill>
                        <w14:solidFill>
                          <w14:schemeClr w14:val="tx1"/>
                        </w14:solidFill>
                      </w14:textFill>
                    </w:rPr>
                    <w:t>、废滤芯（含漆粉尘）</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rFonts w:hint="default"/>
                      <w:color w:val="000000" w:themeColor="text1"/>
                      <w14:textFill>
                        <w14:solidFill>
                          <w14:schemeClr w14:val="tx1"/>
                        </w14:solidFill>
                      </w14:textFill>
                    </w:rPr>
                    <w:t>1992</w:t>
                  </w:r>
                </w:p>
              </w:tc>
              <w:tc>
                <w:tcPr>
                  <w:tcW w:w="815" w:type="pct"/>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910" w:type="pct"/>
                  <w:gridSpan w:val="2"/>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环保设备</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废活性炭</w:t>
                  </w:r>
                </w:p>
              </w:tc>
              <w:tc>
                <w:tcPr>
                  <w:tcW w:w="694"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snapToGrid w:val="0"/>
                    <w:spacing w:before="0" w:beforeAutospacing="0" w:after="0" w:afterAutospacing="0" w:line="0" w:lineRule="atLeast"/>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14.2199</w:t>
                  </w:r>
                </w:p>
              </w:tc>
              <w:tc>
                <w:tcPr>
                  <w:tcW w:w="815" w:type="pct"/>
                  <w:vMerge w:val="continue"/>
                  <w:vAlign w:val="center"/>
                </w:tcPr>
                <w:p>
                  <w:pPr>
                    <w:keepNext w:val="0"/>
                    <w:keepLines w:val="0"/>
                    <w:suppressLineNumbers w:val="0"/>
                    <w:snapToGrid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88" w:type="pct"/>
                  <w:gridSpan w:val="2"/>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43"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噪声</w:t>
                  </w:r>
                </w:p>
              </w:tc>
              <w:tc>
                <w:tcPr>
                  <w:tcW w:w="910"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设备运行</w:t>
                  </w:r>
                </w:p>
              </w:tc>
              <w:tc>
                <w:tcPr>
                  <w:tcW w:w="609" w:type="pct"/>
                  <w:vAlign w:val="center"/>
                </w:tcPr>
                <w:p>
                  <w:pPr>
                    <w:keepNext w:val="0"/>
                    <w:keepLines w:val="0"/>
                    <w:suppressLineNumbers w:val="0"/>
                    <w:spacing w:before="0" w:beforeAutospacing="0" w:after="0" w:afterAutospacing="0"/>
                    <w:ind w:left="0" w:right="0"/>
                    <w:jc w:val="center"/>
                    <w:rPr>
                      <w:rFonts w:hint="default"/>
                      <w:bCs/>
                      <w:color w:val="000000" w:themeColor="text1"/>
                      <w14:textFill>
                        <w14:solidFill>
                          <w14:schemeClr w14:val="tx1"/>
                        </w14:solidFill>
                      </w14:textFill>
                    </w:rPr>
                  </w:pPr>
                </w:p>
              </w:tc>
              <w:tc>
                <w:tcPr>
                  <w:tcW w:w="694"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566"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70~90dB（A）</w:t>
                  </w:r>
                </w:p>
              </w:tc>
              <w:tc>
                <w:tcPr>
                  <w:tcW w:w="81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隔声、基础减振等</w:t>
                  </w:r>
                </w:p>
              </w:tc>
              <w:tc>
                <w:tcPr>
                  <w:tcW w:w="688" w:type="pct"/>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w:t>
                  </w:r>
                </w:p>
              </w:tc>
              <w:tc>
                <w:tcPr>
                  <w:tcW w:w="475" w:type="pc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昼间≤65</w:t>
                  </w:r>
                </w:p>
                <w:p>
                  <w:pPr>
                    <w:keepNext w:val="0"/>
                    <w:keepLines w:val="0"/>
                    <w:suppressLineNumbers w:val="0"/>
                    <w:autoSpaceDE w:val="0"/>
                    <w:autoSpaceDN w:val="0"/>
                    <w:adjustRightInd w:val="0"/>
                    <w:spacing w:before="0" w:beforeAutospacing="0" w:after="0" w:afterAutospacing="0"/>
                    <w:ind w:left="0" w:right="0"/>
                    <w:jc w:val="center"/>
                    <w:rPr>
                      <w:rFonts w:hint="default"/>
                      <w:bCs/>
                      <w:color w:val="000000" w:themeColor="text1"/>
                      <w14:textFill>
                        <w14:solidFill>
                          <w14:schemeClr w14:val="tx1"/>
                        </w14:solidFill>
                      </w14:textFill>
                    </w:rPr>
                  </w:pPr>
                  <w:r>
                    <w:rPr>
                      <w:rFonts w:hint="default"/>
                      <w:bCs/>
                      <w:color w:val="000000" w:themeColor="text1"/>
                      <w14:textFill>
                        <w14:solidFill>
                          <w14:schemeClr w14:val="tx1"/>
                        </w14:solidFill>
                      </w14:textFill>
                    </w:rPr>
                    <w:t>夜间≤55</w:t>
                  </w:r>
                </w:p>
              </w:tc>
            </w:tr>
          </w:tbl>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keepNext w:val="0"/>
              <w:keepLines w:val="0"/>
              <w:suppressLineNumbers w:val="0"/>
              <w:adjustRightInd w:val="0"/>
              <w:snapToGrid w:val="0"/>
              <w:spacing w:before="0" w:beforeAutospacing="0" w:after="0" w:afterAutospacing="0"/>
              <w:ind w:left="0" w:right="0"/>
              <w:jc w:val="center"/>
              <w:rPr>
                <w:rFonts w:hint="default" w:eastAsia="黑体"/>
                <w:sz w:val="24"/>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tc>
      </w:tr>
    </w:tbl>
    <w:p>
      <w:pPr>
        <w:rPr>
          <w:b/>
          <w:sz w:val="30"/>
          <w:szCs w:val="30"/>
        </w:rPr>
      </w:pPr>
      <w:bookmarkStart w:id="96" w:name="_Toc193872740"/>
      <w:bookmarkStart w:id="97" w:name="_Toc171761620"/>
      <w:bookmarkStart w:id="98" w:name="_Toc178817703"/>
      <w:r>
        <w:rPr>
          <w:b/>
          <w:sz w:val="30"/>
          <w:szCs w:val="30"/>
        </w:rPr>
        <w:br w:type="page"/>
      </w:r>
    </w:p>
    <w:p>
      <w:pPr>
        <w:tabs>
          <w:tab w:val="left" w:pos="5760"/>
        </w:tabs>
        <w:adjustRightInd w:val="0"/>
        <w:snapToGrid w:val="0"/>
        <w:spacing w:line="0" w:lineRule="atLeast"/>
        <w:rPr>
          <w:b/>
          <w:sz w:val="30"/>
          <w:szCs w:val="30"/>
        </w:rPr>
      </w:pPr>
      <w:r>
        <w:rPr>
          <w:b/>
          <w:sz w:val="30"/>
          <w:szCs w:val="30"/>
        </w:rPr>
        <w:t>建设项目拟采取的防治措施及预期治理效果</w:t>
      </w:r>
    </w:p>
    <w:tbl>
      <w:tblPr>
        <w:tblStyle w:val="38"/>
        <w:tblW w:w="90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247"/>
        <w:gridCol w:w="1050"/>
        <w:gridCol w:w="1240"/>
        <w:gridCol w:w="2258"/>
        <w:gridCol w:w="32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06" w:hRule="atLeast"/>
          <w:jc w:val="center"/>
        </w:trPr>
        <w:tc>
          <w:tcPr>
            <w:tcW w:w="1247"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sz w:val="24"/>
              </w:rPr>
              <mc:AlternateContent>
                <mc:Choice Requires="wps">
                  <w:drawing>
                    <wp:anchor distT="0" distB="0" distL="114300" distR="114300" simplePos="0" relativeHeight="251657216" behindDoc="0" locked="0" layoutInCell="1" allowOverlap="1">
                      <wp:simplePos x="0" y="0"/>
                      <wp:positionH relativeFrom="column">
                        <wp:posOffset>-20955</wp:posOffset>
                      </wp:positionH>
                      <wp:positionV relativeFrom="paragraph">
                        <wp:posOffset>-12065</wp:posOffset>
                      </wp:positionV>
                      <wp:extent cx="771525" cy="504825"/>
                      <wp:effectExtent l="17145" t="13335" r="24130" b="27940"/>
                      <wp:wrapNone/>
                      <wp:docPr id="66" name="直线 424"/>
                      <wp:cNvGraphicFramePr/>
                      <a:graphic xmlns:a="http://schemas.openxmlformats.org/drawingml/2006/main">
                        <a:graphicData uri="http://schemas.microsoft.com/office/word/2010/wordprocessingShape">
                          <wps:wsp>
                            <wps:cNvCnPr>
                              <a:cxnSpLocks noChangeShapeType="1"/>
                            </wps:cNvCnPr>
                            <wps:spPr bwMode="auto">
                              <a:xfrm>
                                <a:off x="0" y="0"/>
                                <a:ext cx="771525" cy="504825"/>
                              </a:xfrm>
                              <a:prstGeom prst="line">
                                <a:avLst/>
                              </a:prstGeom>
                              <a:noFill/>
                              <a:ln w="9525">
                                <a:solidFill>
                                  <a:srgbClr val="000000"/>
                                </a:solidFill>
                                <a:round/>
                              </a:ln>
                            </wps:spPr>
                            <wps:bodyPr/>
                          </wps:wsp>
                        </a:graphicData>
                      </a:graphic>
                    </wp:anchor>
                  </w:drawing>
                </mc:Choice>
                <mc:Fallback>
                  <w:pict>
                    <v:line id="直线 424" o:spid="_x0000_s1026" o:spt="20" style="position:absolute;left:0pt;margin-left:-1.65pt;margin-top:-0.95pt;height:39.75pt;width:60.75pt;z-index:251657216;mso-width-relative:page;mso-height-relative:page;" filled="f" stroked="t" coordsize="21600,21600" o:gfxdata="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3wMCk2AAAAAgBAAAPAAAAAAAAAAEAIAAAACIAAABkcnMvZG93bnJldi54&#10;bWxQSwECFAAUAAAACACHTuJAd/CDqsEBAABaAwAADgAAAAAAAAABACAAAAAnAQAAZHJzL2Uyb0Rv&#10;Yy54bWxQSwUGAAAAAAYABgBZAQAAWgUAAAAA&#10;">
                      <v:fill on="f" focussize="0,0"/>
                      <v:stroke color="#000000" joinstyle="round"/>
                      <v:imagedata o:title=""/>
                      <o:lock v:ext="edit" aspectratio="f"/>
                    </v:line>
                  </w:pict>
                </mc:Fallback>
              </mc:AlternateContent>
            </w:r>
            <w:r>
              <w:rPr>
                <w:rFonts w:hint="default" w:eastAsia="黑体"/>
                <w:sz w:val="24"/>
              </w:rPr>
              <w:t>内容</w:t>
            </w:r>
          </w:p>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类型</w:t>
            </w:r>
          </w:p>
        </w:tc>
        <w:tc>
          <w:tcPr>
            <w:tcW w:w="1050" w:type="dxa"/>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排放源</w:t>
            </w:r>
          </w:p>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（编号）</w:t>
            </w:r>
          </w:p>
        </w:tc>
        <w:tc>
          <w:tcPr>
            <w:tcW w:w="1240" w:type="dxa"/>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污染物</w:t>
            </w:r>
          </w:p>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名称</w:t>
            </w:r>
          </w:p>
        </w:tc>
        <w:tc>
          <w:tcPr>
            <w:tcW w:w="2258" w:type="dxa"/>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防 治 措 施</w:t>
            </w:r>
          </w:p>
        </w:tc>
        <w:tc>
          <w:tcPr>
            <w:tcW w:w="3270" w:type="dxa"/>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预期治理效果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29" w:hRule="atLeast"/>
          <w:jc w:val="center"/>
        </w:trPr>
        <w:tc>
          <w:tcPr>
            <w:tcW w:w="1247"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大气</w:t>
            </w:r>
          </w:p>
          <w:p>
            <w:pPr>
              <w:keepNext w:val="0"/>
              <w:keepLines w:val="0"/>
              <w:suppressLineNumbers w:val="0"/>
              <w:spacing w:before="0" w:beforeAutospacing="0" w:after="0" w:afterAutospacing="0"/>
              <w:ind w:left="0" w:right="0"/>
              <w:jc w:val="center"/>
              <w:rPr>
                <w:rFonts w:hint="default"/>
              </w:rPr>
            </w:pPr>
            <w:r>
              <w:rPr>
                <w:rFonts w:hint="default" w:eastAsia="黑体"/>
                <w:sz w:val="24"/>
              </w:rPr>
              <w:t>污染物</w:t>
            </w:r>
          </w:p>
        </w:tc>
        <w:tc>
          <w:tcPr>
            <w:tcW w:w="1050" w:type="dxa"/>
            <w:tcBorders>
              <w:top w:val="single" w:color="auto" w:sz="4" w:space="0"/>
              <w:bottom w:val="single" w:color="000000" w:sz="12"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bCs/>
                <w:sz w:val="24"/>
                <w:szCs w:val="24"/>
              </w:rPr>
              <w:t>打磨工序</w:t>
            </w:r>
          </w:p>
        </w:tc>
        <w:tc>
          <w:tcPr>
            <w:tcW w:w="1240" w:type="dxa"/>
            <w:tcBorders>
              <w:bottom w:val="single" w:color="000000" w:sz="12" w:space="0"/>
            </w:tcBorders>
            <w:vAlign w:val="center"/>
          </w:tcPr>
          <w:p>
            <w:pPr>
              <w:keepNext w:val="0"/>
              <w:keepLines w:val="0"/>
              <w:suppressLineNumbers w:val="0"/>
              <w:autoSpaceDN w:val="0"/>
              <w:spacing w:before="0" w:beforeAutospacing="0" w:after="0" w:afterAutospacing="0" w:line="0" w:lineRule="atLeast"/>
              <w:ind w:left="0" w:right="0"/>
              <w:jc w:val="center"/>
              <w:rPr>
                <w:rFonts w:hint="default"/>
                <w:sz w:val="24"/>
                <w:szCs w:val="24"/>
              </w:rPr>
            </w:pPr>
            <w:r>
              <w:rPr>
                <w:rFonts w:hint="default"/>
                <w:sz w:val="24"/>
                <w:szCs w:val="24"/>
              </w:rPr>
              <w:t>粉尘</w:t>
            </w:r>
          </w:p>
        </w:tc>
        <w:tc>
          <w:tcPr>
            <w:tcW w:w="2258" w:type="dxa"/>
            <w:tcBorders>
              <w:bottom w:val="single" w:color="000000" w:sz="12" w:space="0"/>
            </w:tcBorders>
            <w:vAlign w:val="center"/>
          </w:tcPr>
          <w:p>
            <w:pPr>
              <w:keepNext w:val="0"/>
              <w:keepLines w:val="0"/>
              <w:suppressLineNumbers w:val="0"/>
              <w:autoSpaceDN w:val="0"/>
              <w:spacing w:before="0" w:beforeAutospacing="0" w:after="0" w:afterAutospacing="0"/>
              <w:ind w:left="0" w:right="0"/>
              <w:jc w:val="center"/>
              <w:rPr>
                <w:rFonts w:hint="default"/>
                <w:sz w:val="24"/>
                <w:szCs w:val="24"/>
              </w:rPr>
            </w:pPr>
            <w:bookmarkStart w:id="99" w:name="OLE_LINK1"/>
            <w:bookmarkStart w:id="100" w:name="OLE_LINK2"/>
            <w:r>
              <w:rPr>
                <w:rFonts w:hint="eastAsia"/>
                <w:bCs/>
                <w:snapToGrid w:val="0"/>
                <w:kern w:val="0"/>
                <w:sz w:val="24"/>
                <w:szCs w:val="24"/>
              </w:rPr>
              <w:t>“</w:t>
            </w:r>
            <w:bookmarkEnd w:id="99"/>
            <w:bookmarkEnd w:id="100"/>
            <w:r>
              <w:rPr>
                <w:rFonts w:hint="default"/>
                <w:bCs/>
                <w:snapToGrid w:val="0"/>
                <w:kern w:val="0"/>
                <w:sz w:val="24"/>
                <w:szCs w:val="24"/>
              </w:rPr>
              <w:t>排风收集箱+</w:t>
            </w:r>
            <w:r>
              <w:rPr>
                <w:rFonts w:hint="eastAsia"/>
                <w:bCs/>
                <w:snapToGrid w:val="0"/>
                <w:kern w:val="0"/>
                <w:sz w:val="24"/>
                <w:szCs w:val="24"/>
              </w:rPr>
              <w:t>干</w:t>
            </w:r>
            <w:r>
              <w:rPr>
                <w:rFonts w:hint="default"/>
                <w:bCs/>
                <w:snapToGrid w:val="0"/>
                <w:kern w:val="0"/>
                <w:sz w:val="24"/>
                <w:szCs w:val="24"/>
              </w:rPr>
              <w:t>式过滤器</w:t>
            </w:r>
            <w:r>
              <w:rPr>
                <w:rFonts w:hint="eastAsia"/>
                <w:bCs/>
                <w:snapToGrid w:val="0"/>
                <w:kern w:val="0"/>
                <w:sz w:val="24"/>
                <w:szCs w:val="24"/>
              </w:rPr>
              <w:t>”</w:t>
            </w:r>
            <w:r>
              <w:rPr>
                <w:rFonts w:hint="eastAsia"/>
              </w:rPr>
              <w:t xml:space="preserve"> </w:t>
            </w:r>
            <w:r>
              <w:rPr>
                <w:rFonts w:hint="eastAsia"/>
                <w:bCs/>
                <w:snapToGrid w:val="0"/>
                <w:kern w:val="0"/>
                <w:sz w:val="24"/>
                <w:szCs w:val="24"/>
              </w:rPr>
              <w:t>（6套）</w:t>
            </w:r>
            <w:r>
              <w:rPr>
                <w:rFonts w:hint="default"/>
                <w:bCs/>
                <w:snapToGrid w:val="0"/>
                <w:kern w:val="0"/>
                <w:sz w:val="24"/>
                <w:szCs w:val="24"/>
              </w:rPr>
              <w:t>+</w:t>
            </w:r>
            <w:r>
              <w:rPr>
                <w:rFonts w:hint="default"/>
                <w:color w:val="000000" w:themeColor="text1"/>
                <w:sz w:val="24"/>
                <w:szCs w:val="24"/>
                <w14:textFill>
                  <w14:solidFill>
                    <w14:schemeClr w14:val="tx1"/>
                  </w14:solidFill>
                </w14:textFill>
              </w:rPr>
              <w:t>15m高的排气筒（</w:t>
            </w:r>
            <w:r>
              <w:rPr>
                <w:rFonts w:hint="default"/>
                <w:bCs/>
                <w:snapToGrid w:val="0"/>
                <w:color w:val="000000" w:themeColor="text1"/>
                <w:kern w:val="0"/>
                <w:sz w:val="24"/>
                <w:szCs w:val="24"/>
                <w14:textFill>
                  <w14:solidFill>
                    <w14:schemeClr w14:val="tx1"/>
                  </w14:solidFill>
                </w14:textFill>
              </w:rPr>
              <w:t>P1、P2</w:t>
            </w:r>
            <w:r>
              <w:rPr>
                <w:rFonts w:hint="default"/>
                <w:color w:val="000000" w:themeColor="text1"/>
                <w:sz w:val="24"/>
                <w:szCs w:val="24"/>
                <w14:textFill>
                  <w14:solidFill>
                    <w14:schemeClr w14:val="tx1"/>
                  </w14:solidFill>
                </w14:textFill>
              </w:rPr>
              <w:t>）</w:t>
            </w:r>
          </w:p>
        </w:tc>
        <w:tc>
          <w:tcPr>
            <w:tcW w:w="3270" w:type="dxa"/>
            <w:tcBorders>
              <w:bottom w:val="single" w:color="000000" w:sz="12"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sz w:val="24"/>
                <w:szCs w:val="24"/>
              </w:rPr>
              <w:t>满足《大气污染综合排放标准》(GB16297-1996)中二级标准要求。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eastAsia="黑体"/>
                <w:sz w:val="24"/>
              </w:rPr>
            </w:pPr>
          </w:p>
        </w:tc>
        <w:tc>
          <w:tcPr>
            <w:tcW w:w="1050" w:type="dxa"/>
            <w:vMerge w:val="restart"/>
            <w:tcBorders>
              <w:top w:val="single" w:color="000000" w:sz="12" w:space="0"/>
            </w:tcBorders>
            <w:vAlign w:val="center"/>
          </w:tcPr>
          <w:p>
            <w:pPr>
              <w:keepNext w:val="0"/>
              <w:keepLines w:val="0"/>
              <w:suppressLineNumbers w:val="0"/>
              <w:spacing w:before="0" w:beforeAutospacing="0" w:after="0" w:afterAutospacing="0"/>
              <w:ind w:left="0" w:right="0"/>
              <w:jc w:val="center"/>
              <w:rPr>
                <w:rFonts w:hint="default"/>
                <w:bCs/>
                <w:sz w:val="24"/>
                <w:szCs w:val="24"/>
              </w:rPr>
            </w:pPr>
            <w:r>
              <w:rPr>
                <w:rFonts w:hint="default"/>
                <w:bCs/>
                <w:sz w:val="24"/>
                <w:szCs w:val="24"/>
              </w:rPr>
              <w:t>喷漆及晾干工序</w:t>
            </w:r>
          </w:p>
        </w:tc>
        <w:tc>
          <w:tcPr>
            <w:tcW w:w="1240" w:type="dxa"/>
            <w:tcBorders>
              <w:top w:val="single" w:color="000000" w:sz="12" w:space="0"/>
              <w:bottom w:val="single" w:color="000000" w:sz="12" w:space="0"/>
            </w:tcBorders>
            <w:vAlign w:val="center"/>
          </w:tcPr>
          <w:p>
            <w:pPr>
              <w:keepNext w:val="0"/>
              <w:keepLines w:val="0"/>
              <w:suppressLineNumbers w:val="0"/>
              <w:autoSpaceDN w:val="0"/>
              <w:spacing w:before="0" w:beforeAutospacing="0" w:after="0" w:afterAutospacing="0" w:line="0" w:lineRule="atLeast"/>
              <w:ind w:left="0" w:right="0"/>
              <w:jc w:val="center"/>
              <w:rPr>
                <w:rFonts w:hint="default"/>
                <w:sz w:val="24"/>
                <w:szCs w:val="24"/>
              </w:rPr>
            </w:pPr>
            <w:r>
              <w:rPr>
                <w:rFonts w:hint="default"/>
                <w:sz w:val="24"/>
                <w:szCs w:val="24"/>
              </w:rPr>
              <w:t>漆雾</w:t>
            </w:r>
          </w:p>
        </w:tc>
        <w:tc>
          <w:tcPr>
            <w:tcW w:w="2258" w:type="dxa"/>
            <w:vMerge w:val="restart"/>
            <w:tcBorders>
              <w:top w:val="single" w:color="000000" w:sz="12" w:space="0"/>
            </w:tcBorders>
            <w:vAlign w:val="center"/>
          </w:tcPr>
          <w:p>
            <w:pPr>
              <w:keepNext w:val="0"/>
              <w:keepLines w:val="0"/>
              <w:suppressLineNumbers w:val="0"/>
              <w:autoSpaceDN w:val="0"/>
              <w:spacing w:before="0" w:beforeAutospacing="0" w:after="0" w:afterAutospacing="0"/>
              <w:ind w:left="0" w:right="0"/>
              <w:jc w:val="center"/>
              <w:rPr>
                <w:rFonts w:hint="default"/>
                <w:bCs/>
                <w:sz w:val="24"/>
                <w:szCs w:val="24"/>
              </w:rPr>
            </w:pPr>
            <w:r>
              <w:rPr>
                <w:rFonts w:hint="eastAsia"/>
                <w:bCs/>
                <w:snapToGrid w:val="0"/>
                <w:kern w:val="0"/>
                <w:sz w:val="24"/>
                <w:szCs w:val="24"/>
              </w:rPr>
              <w:t>“</w:t>
            </w:r>
            <w:r>
              <w:rPr>
                <w:rFonts w:hint="default"/>
                <w:bCs/>
                <w:snapToGrid w:val="0"/>
                <w:kern w:val="0"/>
                <w:sz w:val="24"/>
                <w:szCs w:val="24"/>
              </w:rPr>
              <w:t>排风收集箱</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干式</w:t>
            </w:r>
            <w:r>
              <w:rPr>
                <w:rFonts w:hint="default"/>
                <w:color w:val="000000" w:themeColor="text1"/>
                <w:sz w:val="24"/>
                <w:szCs w:val="24"/>
                <w14:textFill>
                  <w14:solidFill>
                    <w14:schemeClr w14:val="tx1"/>
                  </w14:solidFill>
                </w14:textFill>
              </w:rPr>
              <w:t>过滤器+活性炭吸附箱</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6套</w:t>
            </w:r>
            <w:r>
              <w:rPr>
                <w:rFonts w:hint="default"/>
                <w:color w:val="000000" w:themeColor="text1"/>
                <w:sz w:val="24"/>
                <w:szCs w:val="24"/>
                <w14:textFill>
                  <w14:solidFill>
                    <w14:schemeClr w14:val="tx1"/>
                  </w14:solidFill>
                </w14:textFill>
              </w:rPr>
              <w:t>）+15m高的排气筒（P1、P2）</w:t>
            </w:r>
          </w:p>
        </w:tc>
        <w:tc>
          <w:tcPr>
            <w:tcW w:w="3270" w:type="dxa"/>
            <w:vMerge w:val="restart"/>
            <w:tcBorders>
              <w:top w:val="single" w:color="000000" w:sz="12" w:space="0"/>
            </w:tcBorders>
            <w:vAlign w:val="center"/>
          </w:tcPr>
          <w:p>
            <w:pPr>
              <w:keepNext w:val="0"/>
              <w:keepLines w:val="0"/>
              <w:suppressLineNumbers w:val="0"/>
              <w:adjustRightInd w:val="0"/>
              <w:snapToGrid w:val="0"/>
              <w:spacing w:before="0" w:beforeAutospacing="0" w:after="0" w:afterAutospacing="0" w:line="520" w:lineRule="exact"/>
              <w:ind w:left="0" w:right="0"/>
              <w:rPr>
                <w:rFonts w:hint="default"/>
                <w:color w:val="000000" w:themeColor="text1"/>
                <w:sz w:val="24"/>
                <w:szCs w:val="24"/>
                <w14:textFill>
                  <w14:solidFill>
                    <w14:schemeClr w14:val="tx1"/>
                  </w14:solidFill>
                </w14:textFill>
              </w:rPr>
            </w:pPr>
            <w:r>
              <w:rPr>
                <w:rFonts w:hint="default"/>
                <w:bCs/>
                <w:snapToGrid w:val="0"/>
                <w:color w:val="000000" w:themeColor="text1"/>
                <w:kern w:val="0"/>
                <w:sz w:val="24"/>
                <w:szCs w:val="24"/>
                <w:lang w:bidi="ar"/>
                <w14:textFill>
                  <w14:solidFill>
                    <w14:schemeClr w14:val="tx1"/>
                  </w14:solidFill>
                </w14:textFill>
              </w:rPr>
              <w:t>漆雾</w:t>
            </w:r>
            <w:r>
              <w:rPr>
                <w:rFonts w:hint="default"/>
                <w:color w:val="000000" w:themeColor="text1"/>
                <w:sz w:val="24"/>
                <w:szCs w:val="24"/>
                <w14:textFill>
                  <w14:solidFill>
                    <w14:schemeClr w14:val="tx1"/>
                  </w14:solidFill>
                </w14:textFill>
              </w:rPr>
              <w:t>满足《大气污染物排放标准》（GB16297-1996）中二级标准。</w:t>
            </w:r>
            <w:r>
              <w:rPr>
                <w:rFonts w:hint="default"/>
                <w:bCs/>
                <w:snapToGrid w:val="0"/>
                <w:color w:val="000000" w:themeColor="text1"/>
                <w:kern w:val="0"/>
                <w:sz w:val="24"/>
                <w:szCs w:val="24"/>
                <w:lang w:bidi="ar"/>
                <w14:textFill>
                  <w14:solidFill>
                    <w14:schemeClr w14:val="tx1"/>
                  </w14:solidFill>
                </w14:textFill>
              </w:rPr>
              <w:t>非甲烷总烃、甲苯+乙苯、二甲苯最高排放浓度均满足《挥发性有机物排放控制标准》(DB 61/T1061-2017)中最高允许排放浓度限值要求</w:t>
            </w:r>
            <w:r>
              <w:rPr>
                <w:rFonts w:hint="default"/>
                <w:color w:val="000000" w:themeColor="text1"/>
                <w:sz w:val="24"/>
                <w:szCs w:val="24"/>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326"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eastAsia="黑体"/>
                <w:sz w:val="24"/>
              </w:rPr>
            </w:pPr>
          </w:p>
        </w:tc>
        <w:tc>
          <w:tcPr>
            <w:tcW w:w="1050" w:type="dxa"/>
            <w:vMerge w:val="continue"/>
            <w:vAlign w:val="center"/>
          </w:tcPr>
          <w:p>
            <w:pPr>
              <w:keepNext w:val="0"/>
              <w:keepLines w:val="0"/>
              <w:suppressLineNumbers w:val="0"/>
              <w:spacing w:before="0" w:beforeAutospacing="0" w:after="0" w:afterAutospacing="0"/>
              <w:ind w:left="0" w:right="0"/>
              <w:jc w:val="center"/>
              <w:rPr>
                <w:rFonts w:hint="default"/>
                <w:bCs/>
                <w:sz w:val="24"/>
                <w:szCs w:val="24"/>
              </w:rPr>
            </w:pPr>
          </w:p>
        </w:tc>
        <w:tc>
          <w:tcPr>
            <w:tcW w:w="1240" w:type="dxa"/>
            <w:tcBorders>
              <w:top w:val="single" w:color="000000" w:sz="12" w:space="0"/>
              <w:bottom w:val="single" w:color="000000" w:sz="12" w:space="0"/>
            </w:tcBorders>
            <w:vAlign w:val="center"/>
          </w:tcPr>
          <w:p>
            <w:pPr>
              <w:keepNext w:val="0"/>
              <w:keepLines w:val="0"/>
              <w:suppressLineNumbers w:val="0"/>
              <w:autoSpaceDN w:val="0"/>
              <w:spacing w:before="0" w:beforeAutospacing="0" w:after="0" w:afterAutospacing="0" w:line="0" w:lineRule="atLeast"/>
              <w:ind w:left="0" w:right="0"/>
              <w:jc w:val="center"/>
              <w:rPr>
                <w:rFonts w:hint="default"/>
                <w:sz w:val="24"/>
                <w:szCs w:val="24"/>
              </w:rPr>
            </w:pPr>
            <w:r>
              <w:rPr>
                <w:rFonts w:hint="default"/>
                <w:sz w:val="24"/>
                <w:szCs w:val="24"/>
              </w:rPr>
              <w:t>非甲烷总烃</w:t>
            </w:r>
          </w:p>
        </w:tc>
        <w:tc>
          <w:tcPr>
            <w:tcW w:w="2258" w:type="dxa"/>
            <w:vMerge w:val="continue"/>
            <w:vAlign w:val="center"/>
          </w:tcPr>
          <w:p>
            <w:pPr>
              <w:keepNext w:val="0"/>
              <w:keepLines w:val="0"/>
              <w:suppressLineNumbers w:val="0"/>
              <w:autoSpaceDN w:val="0"/>
              <w:spacing w:before="0" w:beforeAutospacing="0" w:after="0" w:afterAutospacing="0"/>
              <w:ind w:left="0" w:right="0"/>
              <w:jc w:val="center"/>
              <w:rPr>
                <w:rFonts w:hint="default"/>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429"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eastAsia="黑体"/>
                <w:sz w:val="24"/>
              </w:rPr>
            </w:pPr>
          </w:p>
        </w:tc>
        <w:tc>
          <w:tcPr>
            <w:tcW w:w="1050" w:type="dxa"/>
            <w:vMerge w:val="continue"/>
            <w:vAlign w:val="center"/>
          </w:tcPr>
          <w:p>
            <w:pPr>
              <w:keepNext w:val="0"/>
              <w:keepLines w:val="0"/>
              <w:suppressLineNumbers w:val="0"/>
              <w:spacing w:before="0" w:beforeAutospacing="0" w:after="0" w:afterAutospacing="0"/>
              <w:ind w:left="0" w:right="0"/>
              <w:jc w:val="center"/>
              <w:rPr>
                <w:rFonts w:hint="default"/>
                <w:bCs/>
                <w:sz w:val="24"/>
                <w:szCs w:val="24"/>
              </w:rPr>
            </w:pPr>
          </w:p>
        </w:tc>
        <w:tc>
          <w:tcPr>
            <w:tcW w:w="1240" w:type="dxa"/>
            <w:tcBorders>
              <w:top w:val="single" w:color="000000" w:sz="12" w:space="0"/>
            </w:tcBorders>
            <w:vAlign w:val="center"/>
          </w:tcPr>
          <w:p>
            <w:pPr>
              <w:keepNext w:val="0"/>
              <w:keepLines w:val="0"/>
              <w:suppressLineNumbers w:val="0"/>
              <w:autoSpaceDN w:val="0"/>
              <w:spacing w:before="0" w:beforeAutospacing="0" w:after="0" w:afterAutospacing="0" w:line="0" w:lineRule="atLeast"/>
              <w:ind w:left="0" w:right="0"/>
              <w:jc w:val="center"/>
              <w:rPr>
                <w:rFonts w:hint="default"/>
                <w:sz w:val="24"/>
                <w:szCs w:val="24"/>
              </w:rPr>
            </w:pPr>
            <w:r>
              <w:rPr>
                <w:rFonts w:hint="default"/>
                <w:sz w:val="24"/>
                <w:szCs w:val="24"/>
              </w:rPr>
              <w:t>甲苯+乙苯</w:t>
            </w:r>
          </w:p>
        </w:tc>
        <w:tc>
          <w:tcPr>
            <w:tcW w:w="2258" w:type="dxa"/>
            <w:vMerge w:val="continue"/>
            <w:vAlign w:val="center"/>
          </w:tcPr>
          <w:p>
            <w:pPr>
              <w:keepNext w:val="0"/>
              <w:keepLines w:val="0"/>
              <w:suppressLineNumbers w:val="0"/>
              <w:autoSpaceDN w:val="0"/>
              <w:spacing w:before="0" w:beforeAutospacing="0" w:after="0" w:afterAutospacing="0"/>
              <w:ind w:left="0" w:right="0"/>
              <w:jc w:val="center"/>
              <w:rPr>
                <w:rFonts w:hint="default" w:eastAsia=".Apple Color Emoji UI"/>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094"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eastAsia="黑体"/>
                <w:sz w:val="24"/>
              </w:rPr>
            </w:pPr>
          </w:p>
        </w:tc>
        <w:tc>
          <w:tcPr>
            <w:tcW w:w="1050" w:type="dxa"/>
            <w:vMerge w:val="continue"/>
            <w:vAlign w:val="center"/>
          </w:tcPr>
          <w:p>
            <w:pPr>
              <w:keepNext w:val="0"/>
              <w:keepLines w:val="0"/>
              <w:suppressLineNumbers w:val="0"/>
              <w:spacing w:before="0" w:beforeAutospacing="0" w:after="0" w:afterAutospacing="0"/>
              <w:ind w:left="0" w:right="0"/>
              <w:jc w:val="center"/>
              <w:rPr>
                <w:rFonts w:hint="default"/>
                <w:bCs/>
                <w:sz w:val="24"/>
                <w:szCs w:val="24"/>
              </w:rPr>
            </w:pPr>
          </w:p>
        </w:tc>
        <w:tc>
          <w:tcPr>
            <w:tcW w:w="1240" w:type="dxa"/>
            <w:tcBorders>
              <w:top w:val="single" w:color="000000" w:sz="12" w:space="0"/>
            </w:tcBorders>
            <w:vAlign w:val="center"/>
          </w:tcPr>
          <w:p>
            <w:pPr>
              <w:keepNext w:val="0"/>
              <w:keepLines w:val="0"/>
              <w:suppressLineNumbers w:val="0"/>
              <w:autoSpaceDN w:val="0"/>
              <w:spacing w:before="0" w:beforeAutospacing="0" w:after="0" w:afterAutospacing="0" w:line="0" w:lineRule="atLeast"/>
              <w:ind w:left="0" w:right="0"/>
              <w:jc w:val="center"/>
              <w:rPr>
                <w:rFonts w:hint="default"/>
                <w:sz w:val="24"/>
                <w:szCs w:val="24"/>
              </w:rPr>
            </w:pPr>
            <w:r>
              <w:rPr>
                <w:rFonts w:hint="default"/>
                <w:sz w:val="24"/>
                <w:szCs w:val="24"/>
              </w:rPr>
              <w:t>二甲苯</w:t>
            </w:r>
          </w:p>
        </w:tc>
        <w:tc>
          <w:tcPr>
            <w:tcW w:w="2258" w:type="dxa"/>
            <w:vMerge w:val="continue"/>
            <w:vAlign w:val="center"/>
          </w:tcPr>
          <w:p>
            <w:pPr>
              <w:keepNext w:val="0"/>
              <w:keepLines w:val="0"/>
              <w:suppressLineNumbers w:val="0"/>
              <w:autoSpaceDN w:val="0"/>
              <w:spacing w:before="0" w:beforeAutospacing="0" w:after="0" w:afterAutospacing="0"/>
              <w:ind w:left="0" w:right="0"/>
              <w:jc w:val="center"/>
              <w:rPr>
                <w:rFonts w:hint="default" w:eastAsia=".Apple Color Emoji UI"/>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06" w:hRule="atLeast"/>
          <w:jc w:val="center"/>
        </w:trPr>
        <w:tc>
          <w:tcPr>
            <w:tcW w:w="1247" w:type="dxa"/>
            <w:vMerge w:val="restart"/>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水污</w:t>
            </w:r>
          </w:p>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染物</w:t>
            </w:r>
          </w:p>
        </w:tc>
        <w:tc>
          <w:tcPr>
            <w:tcW w:w="1050" w:type="dxa"/>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sz w:val="24"/>
                <w:szCs w:val="24"/>
              </w:rPr>
              <w:t>生产废水</w:t>
            </w:r>
          </w:p>
        </w:tc>
        <w:tc>
          <w:tcPr>
            <w:tcW w:w="1240" w:type="dxa"/>
            <w:tcBorders>
              <w:bottom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kern w:val="0"/>
                <w:sz w:val="24"/>
                <w:szCs w:val="24"/>
              </w:rPr>
            </w:pPr>
            <w:r>
              <w:rPr>
                <w:rFonts w:hint="default"/>
                <w:kern w:val="0"/>
                <w:sz w:val="24"/>
                <w:szCs w:val="24"/>
              </w:rPr>
              <w:t>COD、BOD</w:t>
            </w:r>
            <w:r>
              <w:rPr>
                <w:rFonts w:hint="default"/>
                <w:kern w:val="0"/>
                <w:sz w:val="24"/>
                <w:szCs w:val="24"/>
                <w:vertAlign w:val="subscript"/>
              </w:rPr>
              <w:t>5</w:t>
            </w:r>
          </w:p>
          <w:p>
            <w:pPr>
              <w:keepNext w:val="0"/>
              <w:keepLines w:val="0"/>
              <w:suppressLineNumbers w:val="0"/>
              <w:snapToGrid w:val="0"/>
              <w:spacing w:before="0" w:beforeAutospacing="0" w:after="0" w:afterAutospacing="0"/>
              <w:ind w:left="0" w:right="0"/>
              <w:jc w:val="center"/>
              <w:rPr>
                <w:rFonts w:hint="default"/>
                <w:kern w:val="0"/>
                <w:sz w:val="24"/>
                <w:szCs w:val="24"/>
              </w:rPr>
            </w:pPr>
            <w:r>
              <w:rPr>
                <w:rFonts w:hint="default"/>
                <w:kern w:val="0"/>
                <w:sz w:val="24"/>
                <w:szCs w:val="24"/>
              </w:rPr>
              <w:t>NH</w:t>
            </w:r>
            <w:r>
              <w:rPr>
                <w:rFonts w:hint="default"/>
                <w:kern w:val="0"/>
                <w:sz w:val="24"/>
                <w:szCs w:val="24"/>
                <w:vertAlign w:val="subscript"/>
              </w:rPr>
              <w:t>3</w:t>
            </w:r>
            <w:r>
              <w:rPr>
                <w:rFonts w:hint="default"/>
                <w:kern w:val="0"/>
                <w:sz w:val="24"/>
                <w:szCs w:val="24"/>
              </w:rPr>
              <w:t>-N、SS、TN、TP、LAS、石油烃等</w:t>
            </w:r>
          </w:p>
        </w:tc>
        <w:tc>
          <w:tcPr>
            <w:tcW w:w="2258" w:type="dxa"/>
            <w:vAlign w:val="center"/>
          </w:tcPr>
          <w:p>
            <w:pPr>
              <w:keepNext w:val="0"/>
              <w:keepLines w:val="0"/>
              <w:suppressLineNumbers w:val="0"/>
              <w:spacing w:before="0" w:beforeAutospacing="0" w:after="0" w:afterAutospacing="0"/>
              <w:ind w:left="0" w:right="0"/>
              <w:jc w:val="center"/>
              <w:rPr>
                <w:rFonts w:hint="default"/>
                <w:bCs/>
                <w:sz w:val="24"/>
                <w:szCs w:val="24"/>
              </w:rPr>
            </w:pPr>
            <w:r>
              <w:rPr>
                <w:rFonts w:hint="default"/>
                <w:bCs/>
                <w:sz w:val="24"/>
                <w:szCs w:val="24"/>
              </w:rPr>
              <w:t>过滤桶（内设过滤棉）</w:t>
            </w:r>
          </w:p>
        </w:tc>
        <w:tc>
          <w:tcPr>
            <w:tcW w:w="3270" w:type="dxa"/>
            <w:vMerge w:val="restart"/>
            <w:vAlign w:val="center"/>
          </w:tcPr>
          <w:p>
            <w:pPr>
              <w:keepNext w:val="0"/>
              <w:keepLines w:val="0"/>
              <w:suppressLineNumbers w:val="0"/>
              <w:spacing w:before="0" w:beforeAutospacing="0" w:after="0" w:afterAutospacing="0" w:line="0" w:lineRule="atLeast"/>
              <w:ind w:left="0" w:right="0"/>
              <w:jc w:val="center"/>
              <w:rPr>
                <w:rFonts w:hint="default"/>
                <w:sz w:val="24"/>
                <w:szCs w:val="24"/>
              </w:rPr>
            </w:pPr>
            <w:r>
              <w:rPr>
                <w:rFonts w:hint="default"/>
                <w:sz w:val="24"/>
                <w:szCs w:val="24"/>
              </w:rPr>
              <w:t>满足《污水综合排放标准》(GB68978-1996)表4中三级标准和《污水排入城镇下水道水质标准》（GB/T31962-2015）表1中A级标准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78" w:hRule="atLeast"/>
          <w:jc w:val="center"/>
        </w:trPr>
        <w:tc>
          <w:tcPr>
            <w:tcW w:w="1247" w:type="dxa"/>
            <w:vMerge w:val="continue"/>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eastAsia="黑体"/>
                <w:sz w:val="24"/>
              </w:rPr>
            </w:pPr>
          </w:p>
        </w:tc>
        <w:tc>
          <w:tcPr>
            <w:tcW w:w="1050" w:type="dxa"/>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sz w:val="24"/>
                <w:szCs w:val="24"/>
              </w:rPr>
              <w:t>生活污水</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kern w:val="0"/>
                <w:sz w:val="24"/>
                <w:szCs w:val="24"/>
              </w:rPr>
            </w:pPr>
            <w:r>
              <w:rPr>
                <w:rFonts w:hint="default"/>
                <w:kern w:val="0"/>
                <w:sz w:val="24"/>
                <w:szCs w:val="24"/>
              </w:rPr>
              <w:t>COD、BOD</w:t>
            </w:r>
            <w:r>
              <w:rPr>
                <w:rFonts w:hint="default"/>
                <w:kern w:val="0"/>
                <w:sz w:val="24"/>
                <w:szCs w:val="24"/>
                <w:vertAlign w:val="subscript"/>
              </w:rPr>
              <w:t>5</w:t>
            </w:r>
          </w:p>
          <w:p>
            <w:pPr>
              <w:keepNext w:val="0"/>
              <w:keepLines w:val="0"/>
              <w:suppressLineNumbers w:val="0"/>
              <w:snapToGrid w:val="0"/>
              <w:spacing w:before="0" w:beforeAutospacing="0" w:after="0" w:afterAutospacing="0"/>
              <w:ind w:left="0" w:right="0"/>
              <w:jc w:val="center"/>
              <w:rPr>
                <w:rFonts w:hint="default"/>
                <w:kern w:val="0"/>
                <w:sz w:val="24"/>
                <w:szCs w:val="24"/>
              </w:rPr>
            </w:pPr>
            <w:r>
              <w:rPr>
                <w:rFonts w:hint="default"/>
                <w:kern w:val="0"/>
                <w:sz w:val="24"/>
                <w:szCs w:val="24"/>
              </w:rPr>
              <w:t>NH</w:t>
            </w:r>
            <w:r>
              <w:rPr>
                <w:rFonts w:hint="default"/>
                <w:kern w:val="0"/>
                <w:sz w:val="24"/>
                <w:szCs w:val="24"/>
                <w:vertAlign w:val="subscript"/>
              </w:rPr>
              <w:t>3</w:t>
            </w:r>
            <w:r>
              <w:rPr>
                <w:rFonts w:hint="default"/>
                <w:kern w:val="0"/>
                <w:sz w:val="24"/>
                <w:szCs w:val="24"/>
              </w:rPr>
              <w:t>-N、SS、TN、TP等</w:t>
            </w:r>
          </w:p>
        </w:tc>
        <w:tc>
          <w:tcPr>
            <w:tcW w:w="2258" w:type="dxa"/>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依托</w:t>
            </w:r>
            <w:r>
              <w:rPr>
                <w:rFonts w:hint="default"/>
                <w:sz w:val="24"/>
                <w:szCs w:val="24"/>
              </w:rPr>
              <w:t>维修基地现有化粪池</w:t>
            </w: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786" w:hRule="atLeast"/>
          <w:jc w:val="center"/>
        </w:trPr>
        <w:tc>
          <w:tcPr>
            <w:tcW w:w="1247"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固体</w:t>
            </w:r>
          </w:p>
          <w:p>
            <w:pPr>
              <w:keepNext w:val="0"/>
              <w:keepLines w:val="0"/>
              <w:suppressLineNumbers w:val="0"/>
              <w:spacing w:before="0" w:beforeAutospacing="0" w:after="0" w:afterAutospacing="0"/>
              <w:ind w:left="0" w:right="0"/>
              <w:jc w:val="center"/>
              <w:rPr>
                <w:rFonts w:hint="default"/>
              </w:rPr>
            </w:pPr>
            <w:r>
              <w:rPr>
                <w:rFonts w:hint="default" w:eastAsia="黑体"/>
                <w:sz w:val="24"/>
              </w:rPr>
              <w:t>废物</w:t>
            </w:r>
          </w:p>
        </w:tc>
        <w:tc>
          <w:tcPr>
            <w:tcW w:w="1050" w:type="dxa"/>
            <w:tcBorders>
              <w:top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pacing w:val="-20"/>
                <w:sz w:val="24"/>
                <w:szCs w:val="24"/>
                <w14:textFill>
                  <w14:solidFill>
                    <w14:schemeClr w14:val="tx1"/>
                  </w14:solidFill>
                </w14:textFill>
              </w:rPr>
            </w:pPr>
            <w:r>
              <w:rPr>
                <w:rFonts w:hint="default"/>
                <w:color w:val="000000" w:themeColor="text1"/>
                <w:spacing w:val="-20"/>
                <w:sz w:val="24"/>
                <w:szCs w:val="24"/>
                <w14:textFill>
                  <w14:solidFill>
                    <w14:schemeClr w14:val="tx1"/>
                  </w14:solidFill>
                </w14:textFill>
              </w:rPr>
              <w:t>维修工序、打磨工序</w:t>
            </w:r>
          </w:p>
        </w:tc>
        <w:tc>
          <w:tcPr>
            <w:tcW w:w="1240" w:type="dxa"/>
            <w:tcBorders>
              <w:top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color w:val="000000" w:themeColor="text1"/>
                <w:spacing w:val="-20"/>
                <w:sz w:val="24"/>
                <w:szCs w:val="24"/>
                <w14:textFill>
                  <w14:solidFill>
                    <w14:schemeClr w14:val="tx1"/>
                  </w14:solidFill>
                </w14:textFill>
              </w:rPr>
              <w:t>废旧零部件、废旧包装盒</w:t>
            </w:r>
          </w:p>
        </w:tc>
        <w:tc>
          <w:tcPr>
            <w:tcW w:w="2258" w:type="dxa"/>
            <w:tcBorders>
              <w:top w:val="single" w:color="auto" w:sz="4" w:space="0"/>
            </w:tcBorders>
            <w:vAlign w:val="center"/>
          </w:tcPr>
          <w:p>
            <w:pPr>
              <w:pStyle w:val="13"/>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收集后外售</w:t>
            </w:r>
          </w:p>
        </w:tc>
        <w:tc>
          <w:tcPr>
            <w:tcW w:w="3270" w:type="dxa"/>
            <w:vAlign w:val="center"/>
          </w:tcPr>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default"/>
                <w:bCs/>
                <w:color w:val="000000" w:themeColor="text1"/>
                <w:sz w:val="24"/>
                <w:szCs w:val="24"/>
                <w14:textFill>
                  <w14:solidFill>
                    <w14:schemeClr w14:val="tx1"/>
                  </w14:solidFill>
                </w14:textFill>
              </w:rPr>
              <w:t>满足《一般工业固体废物贮存、处置场污染控制标准》(GB18599—2001)及修改单中相关规定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328"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05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办公区</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生活垃圾</w:t>
            </w:r>
          </w:p>
        </w:tc>
        <w:tc>
          <w:tcPr>
            <w:tcW w:w="2258" w:type="dxa"/>
            <w:tcBorders>
              <w:top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sz w:val="24"/>
                <w:szCs w:val="24"/>
              </w:rPr>
            </w:pPr>
            <w:r>
              <w:rPr>
                <w:rFonts w:hint="default"/>
                <w:bCs/>
                <w:sz w:val="24"/>
                <w:szCs w:val="24"/>
              </w:rPr>
              <w:t>交由环卫部门统一清运</w:t>
            </w:r>
          </w:p>
        </w:tc>
        <w:tc>
          <w:tcPr>
            <w:tcW w:w="327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sz w:val="24"/>
                <w:szCs w:val="24"/>
              </w:rPr>
              <w:t>处理率100%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605"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05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喷漆工序</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废有机溶剂桶</w:t>
            </w:r>
          </w:p>
        </w:tc>
        <w:tc>
          <w:tcPr>
            <w:tcW w:w="2258" w:type="dxa"/>
            <w:vMerge w:val="restart"/>
            <w:tcBorders>
              <w:top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bCs/>
                <w:sz w:val="24"/>
                <w:szCs w:val="24"/>
              </w:rPr>
            </w:pPr>
            <w:r>
              <w:rPr>
                <w:rFonts w:hint="default"/>
                <w:color w:val="000000"/>
                <w:sz w:val="24"/>
                <w:szCs w:val="24"/>
              </w:rPr>
              <w:t>依托维修基地危废暂存间暂存后，交由有资质单位处理</w:t>
            </w:r>
          </w:p>
        </w:tc>
        <w:tc>
          <w:tcPr>
            <w:tcW w:w="3270"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bCs/>
                <w:color w:val="000000" w:themeColor="text1"/>
                <w:sz w:val="24"/>
                <w:szCs w:val="24"/>
                <w14:textFill>
                  <w14:solidFill>
                    <w14:schemeClr w14:val="tx1"/>
                  </w14:solidFill>
                </w14:textFill>
              </w:rPr>
              <w:t>满足《危险废物贮存污染控制标准》（GB18597-2001）及其修改单中相关规定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767"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05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维修工序</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废机油以及废抹布、手套</w:t>
            </w:r>
          </w:p>
        </w:tc>
        <w:tc>
          <w:tcPr>
            <w:tcW w:w="2258" w:type="dxa"/>
            <w:vMerge w:val="continue"/>
            <w:vAlign w:val="center"/>
          </w:tcPr>
          <w:p>
            <w:pPr>
              <w:keepNext w:val="0"/>
              <w:keepLines w:val="0"/>
              <w:suppressLineNumbers w:val="0"/>
              <w:snapToGrid w:val="0"/>
              <w:spacing w:before="0" w:beforeAutospacing="0" w:after="0" w:afterAutospacing="0"/>
              <w:ind w:left="0" w:right="0"/>
              <w:jc w:val="center"/>
              <w:rPr>
                <w:rFonts w:hint="default"/>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56"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05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废水过滤</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废棉纱（含杂质）</w:t>
            </w:r>
          </w:p>
        </w:tc>
        <w:tc>
          <w:tcPr>
            <w:tcW w:w="2258" w:type="dxa"/>
            <w:vMerge w:val="continue"/>
            <w:vAlign w:val="center"/>
          </w:tcPr>
          <w:p>
            <w:pPr>
              <w:keepNext w:val="0"/>
              <w:keepLines w:val="0"/>
              <w:suppressLineNumbers w:val="0"/>
              <w:snapToGrid w:val="0"/>
              <w:spacing w:before="0" w:beforeAutospacing="0" w:after="0" w:afterAutospacing="0"/>
              <w:ind w:left="0" w:right="0"/>
              <w:jc w:val="center"/>
              <w:rPr>
                <w:rFonts w:hint="default"/>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823" w:hRule="atLeast"/>
          <w:jc w:val="center"/>
        </w:trPr>
        <w:tc>
          <w:tcPr>
            <w:tcW w:w="1247"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05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废气处理</w:t>
            </w:r>
          </w:p>
        </w:tc>
        <w:tc>
          <w:tcPr>
            <w:tcW w:w="1240" w:type="dxa"/>
            <w:vAlign w:val="center"/>
          </w:tcPr>
          <w:p>
            <w:pPr>
              <w:keepNext w:val="0"/>
              <w:keepLines w:val="0"/>
              <w:suppressLineNumbers w:val="0"/>
              <w:snapToGrid w:val="0"/>
              <w:spacing w:before="0" w:beforeAutospacing="0" w:after="0" w:afterAutospacing="0"/>
              <w:ind w:left="0" w:right="0"/>
              <w:jc w:val="center"/>
              <w:rPr>
                <w:rFonts w:hint="default"/>
                <w:sz w:val="24"/>
                <w:szCs w:val="24"/>
              </w:rPr>
            </w:pPr>
            <w:r>
              <w:rPr>
                <w:rFonts w:hint="default"/>
                <w:sz w:val="24"/>
                <w:szCs w:val="24"/>
              </w:rPr>
              <w:t>废</w:t>
            </w:r>
            <w:r>
              <w:rPr>
                <w:rFonts w:hint="eastAsia"/>
                <w:sz w:val="24"/>
                <w:szCs w:val="24"/>
              </w:rPr>
              <w:t>滤芯</w:t>
            </w:r>
            <w:r>
              <w:rPr>
                <w:rFonts w:hint="default"/>
                <w:sz w:val="24"/>
                <w:szCs w:val="24"/>
              </w:rPr>
              <w:t>（含漆雾）、</w:t>
            </w:r>
            <w:r>
              <w:rPr>
                <w:rFonts w:hint="eastAsia"/>
                <w:sz w:val="24"/>
                <w:szCs w:val="24"/>
              </w:rPr>
              <w:t>废滤芯（含漆粉尘）、</w:t>
            </w:r>
            <w:r>
              <w:rPr>
                <w:rFonts w:hint="default"/>
                <w:sz w:val="24"/>
                <w:szCs w:val="24"/>
              </w:rPr>
              <w:t>废活性炭</w:t>
            </w:r>
          </w:p>
        </w:tc>
        <w:tc>
          <w:tcPr>
            <w:tcW w:w="2258" w:type="dxa"/>
            <w:vMerge w:val="continue"/>
            <w:vAlign w:val="center"/>
          </w:tcPr>
          <w:p>
            <w:pPr>
              <w:keepNext w:val="0"/>
              <w:keepLines w:val="0"/>
              <w:suppressLineNumbers w:val="0"/>
              <w:snapToGrid w:val="0"/>
              <w:spacing w:before="0" w:beforeAutospacing="0" w:after="0" w:afterAutospacing="0"/>
              <w:ind w:left="0" w:right="0"/>
              <w:jc w:val="center"/>
              <w:rPr>
                <w:rFonts w:hint="default"/>
                <w:bCs/>
                <w:sz w:val="24"/>
                <w:szCs w:val="24"/>
              </w:rPr>
            </w:pPr>
          </w:p>
        </w:tc>
        <w:tc>
          <w:tcPr>
            <w:tcW w:w="3270" w:type="dxa"/>
            <w:vMerge w:val="continue"/>
            <w:vAlign w:val="center"/>
          </w:tcPr>
          <w:p>
            <w:pPr>
              <w:keepNext w:val="0"/>
              <w:keepLines w:val="0"/>
              <w:suppressLineNumbers w:val="0"/>
              <w:spacing w:before="0" w:beforeAutospacing="0" w:after="0" w:afterAutospacing="0"/>
              <w:ind w:left="0" w:right="0"/>
              <w:jc w:val="center"/>
              <w:rPr>
                <w:rFonts w:hint="default"/>
                <w:bCs/>
                <w:color w:val="FF00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96" w:hRule="atLeast"/>
          <w:jc w:val="center"/>
        </w:trPr>
        <w:tc>
          <w:tcPr>
            <w:tcW w:w="1247" w:type="dxa"/>
            <w:vAlign w:val="center"/>
          </w:tcPr>
          <w:p>
            <w:pPr>
              <w:keepNext w:val="0"/>
              <w:keepLines w:val="0"/>
              <w:suppressLineNumbers w:val="0"/>
              <w:spacing w:before="0" w:beforeAutospacing="0" w:after="0" w:afterAutospacing="0"/>
              <w:ind w:left="0" w:right="0"/>
              <w:jc w:val="center"/>
              <w:rPr>
                <w:rFonts w:hint="default" w:eastAsia="黑体"/>
                <w:sz w:val="24"/>
              </w:rPr>
            </w:pPr>
            <w:r>
              <w:rPr>
                <w:rFonts w:hint="default" w:eastAsia="黑体"/>
                <w:sz w:val="24"/>
              </w:rPr>
              <w:t>噪声</w:t>
            </w:r>
          </w:p>
        </w:tc>
        <w:tc>
          <w:tcPr>
            <w:tcW w:w="7818" w:type="dxa"/>
            <w:gridSpan w:val="4"/>
            <w:vAlign w:val="center"/>
          </w:tcPr>
          <w:p>
            <w:pPr>
              <w:keepNext w:val="0"/>
              <w:keepLines w:val="0"/>
              <w:suppressLineNumbers w:val="0"/>
              <w:spacing w:before="0" w:beforeAutospacing="0" w:after="0" w:afterAutospacing="0"/>
              <w:ind w:left="0" w:right="0"/>
              <w:jc w:val="center"/>
              <w:rPr>
                <w:rFonts w:hint="default"/>
                <w:sz w:val="24"/>
                <w:szCs w:val="24"/>
              </w:rPr>
            </w:pPr>
            <w:r>
              <w:rPr>
                <w:rFonts w:hint="default"/>
                <w:sz w:val="24"/>
                <w:szCs w:val="24"/>
              </w:rPr>
              <w:t>本项目主要噪声源为泵及风机等运行产生的噪声，</w:t>
            </w:r>
            <w:r>
              <w:rPr>
                <w:rFonts w:hint="default"/>
                <w:kern w:val="0"/>
                <w:sz w:val="24"/>
                <w:szCs w:val="24"/>
              </w:rPr>
              <w:t>噪声值范围在70～90dB(A)之间</w:t>
            </w:r>
            <w:r>
              <w:rPr>
                <w:rFonts w:hint="default"/>
                <w:sz w:val="24"/>
                <w:szCs w:val="24"/>
              </w:rPr>
              <w:t>。在采取选取机库密闭、隔声减振等措施，经距离衰减后，对外界声环境影响较小。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352" w:hRule="atLeast"/>
          <w:jc w:val="center"/>
        </w:trPr>
        <w:tc>
          <w:tcPr>
            <w:tcW w:w="9065" w:type="dxa"/>
            <w:gridSpan w:val="5"/>
            <w:vAlign w:val="center"/>
          </w:tcPr>
          <w:p>
            <w:pPr>
              <w:keepNext w:val="0"/>
              <w:keepLines w:val="0"/>
              <w:suppressLineNumbers w:val="0"/>
              <w:spacing w:before="0" w:beforeAutospacing="0" w:after="0" w:afterAutospacing="0" w:line="276" w:lineRule="auto"/>
              <w:ind w:left="0" w:right="0"/>
              <w:jc w:val="left"/>
              <w:rPr>
                <w:rFonts w:hint="default"/>
                <w:b/>
                <w:sz w:val="30"/>
                <w:szCs w:val="30"/>
              </w:rPr>
            </w:pPr>
            <w:r>
              <w:rPr>
                <w:rFonts w:hint="default"/>
                <w:b/>
                <w:sz w:val="30"/>
                <w:szCs w:val="30"/>
              </w:rPr>
              <w:t>生态保护措施及预期效果</w:t>
            </w:r>
          </w:p>
          <w:p>
            <w:pPr>
              <w:keepNext w:val="0"/>
              <w:keepLines w:val="0"/>
              <w:suppressLineNumbers w:val="0"/>
              <w:spacing w:before="0" w:beforeAutospacing="0" w:after="0" w:afterAutospacing="0"/>
              <w:ind w:left="0" w:right="0" w:firstLine="480" w:firstLineChars="200"/>
              <w:jc w:val="left"/>
              <w:rPr>
                <w:rFonts w:hint="default"/>
                <w:sz w:val="24"/>
                <w:szCs w:val="24"/>
              </w:rPr>
            </w:pPr>
            <w:r>
              <w:rPr>
                <w:rFonts w:hint="default"/>
                <w:sz w:val="24"/>
                <w:szCs w:val="24"/>
              </w:rPr>
              <w:t>项目位于</w:t>
            </w:r>
            <w:r>
              <w:rPr>
                <w:rFonts w:hint="default"/>
                <w:sz w:val="24"/>
              </w:rPr>
              <w:t>陕西省西咸新区空港新城西安咸阳机场空港东二路东航技术公司西北分公司1号机库内</w:t>
            </w:r>
            <w:r>
              <w:rPr>
                <w:rFonts w:hint="default"/>
                <w:bCs/>
                <w:sz w:val="24"/>
                <w:szCs w:val="24"/>
              </w:rPr>
              <w:t>。</w:t>
            </w:r>
            <w:r>
              <w:rPr>
                <w:rFonts w:hint="default"/>
                <w:sz w:val="24"/>
                <w:szCs w:val="24"/>
              </w:rPr>
              <w:t>植被主要为农田作物和人工植被，生物多样性较为简单。</w:t>
            </w:r>
          </w:p>
          <w:p>
            <w:pPr>
              <w:keepNext w:val="0"/>
              <w:keepLines w:val="0"/>
              <w:suppressLineNumbers w:val="0"/>
              <w:spacing w:before="0" w:beforeAutospacing="0" w:after="0" w:afterAutospacing="0"/>
              <w:ind w:left="0" w:right="0"/>
              <w:jc w:val="left"/>
              <w:rPr>
                <w:rFonts w:hint="default"/>
                <w:sz w:val="24"/>
                <w:szCs w:val="24"/>
              </w:rPr>
            </w:pPr>
          </w:p>
          <w:p>
            <w:pPr>
              <w:keepNext w:val="0"/>
              <w:keepLines w:val="0"/>
              <w:suppressLineNumbers w:val="0"/>
              <w:spacing w:before="0" w:beforeAutospacing="0" w:after="0" w:afterAutospacing="0"/>
              <w:ind w:left="0" w:right="0"/>
              <w:jc w:val="left"/>
              <w:rPr>
                <w:rFonts w:hint="default"/>
                <w:sz w:val="24"/>
                <w:szCs w:val="24"/>
              </w:rPr>
            </w:pPr>
          </w:p>
          <w:p>
            <w:pPr>
              <w:keepNext w:val="0"/>
              <w:keepLines w:val="0"/>
              <w:suppressLineNumbers w:val="0"/>
              <w:spacing w:before="0" w:beforeAutospacing="0" w:after="0" w:afterAutospacing="0"/>
              <w:ind w:left="0" w:right="0"/>
              <w:jc w:val="left"/>
              <w:rPr>
                <w:rFonts w:hint="default"/>
                <w:sz w:val="24"/>
                <w:szCs w:val="24"/>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keepNext w:val="0"/>
              <w:keepLines w:val="0"/>
              <w:suppressLineNumbers w:val="0"/>
              <w:spacing w:before="0" w:beforeAutospacing="0" w:after="0" w:afterAutospacing="0"/>
              <w:ind w:left="0" w:right="0"/>
              <w:jc w:val="left"/>
              <w:rPr>
                <w:rFonts w:hint="default"/>
                <w:sz w:val="24"/>
                <w:szCs w:val="24"/>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right="0" w:firstLine="560"/>
              <w:rPr>
                <w:rFonts w:hint="default"/>
              </w:rPr>
            </w:pPr>
          </w:p>
          <w:p>
            <w:pPr>
              <w:pStyle w:val="2"/>
              <w:keepNext w:val="0"/>
              <w:keepLines w:val="0"/>
              <w:suppressLineNumbers w:val="0"/>
              <w:spacing w:before="0" w:beforeAutospacing="0" w:afterAutospacing="0"/>
              <w:ind w:left="0" w:leftChars="0" w:right="0" w:firstLine="0" w:firstLineChars="0"/>
              <w:rPr>
                <w:rFonts w:hint="default"/>
              </w:rPr>
            </w:pPr>
          </w:p>
        </w:tc>
      </w:tr>
      <w:bookmarkEnd w:id="96"/>
    </w:tbl>
    <w:p>
      <w:pPr>
        <w:rPr>
          <w:rStyle w:val="78"/>
        </w:rPr>
      </w:pPr>
      <w:bookmarkStart w:id="101" w:name="_Toc182819247"/>
      <w:bookmarkStart w:id="102" w:name="_Toc182888697"/>
      <w:bookmarkStart w:id="103" w:name="_Toc183088183"/>
      <w:bookmarkStart w:id="104" w:name="_Toc183006406"/>
      <w:bookmarkStart w:id="105" w:name="_Toc182830659"/>
      <w:bookmarkStart w:id="106" w:name="_Toc193872741"/>
      <w:bookmarkStart w:id="107" w:name="_Toc183170412"/>
      <w:r>
        <w:rPr>
          <w:rStyle w:val="78"/>
        </w:rPr>
        <w:t>结论与建议</w:t>
      </w:r>
      <w:bookmarkEnd w:id="97"/>
      <w:bookmarkEnd w:id="98"/>
      <w:bookmarkEnd w:id="101"/>
      <w:bookmarkEnd w:id="102"/>
      <w:bookmarkEnd w:id="103"/>
      <w:bookmarkEnd w:id="104"/>
      <w:bookmarkEnd w:id="105"/>
      <w:bookmarkEnd w:id="106"/>
      <w:bookmarkEnd w:id="107"/>
    </w:p>
    <w:tbl>
      <w:tblPr>
        <w:tblStyle w:val="38"/>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0" w:hRule="atLeast"/>
        </w:trPr>
        <w:tc>
          <w:tcPr>
            <w:tcW w:w="9000" w:type="dxa"/>
          </w:tcPr>
          <w:p>
            <w:pPr>
              <w:keepNext w:val="0"/>
              <w:keepLines w:val="0"/>
              <w:suppressLineNumbers w:val="0"/>
              <w:spacing w:before="0" w:beforeAutospacing="0" w:after="0" w:afterAutospacing="0" w:line="520" w:lineRule="exact"/>
              <w:ind w:left="0" w:right="0"/>
              <w:rPr>
                <w:rFonts w:hint="default" w:eastAsia="黑体"/>
                <w:color w:val="000000" w:themeColor="text1"/>
                <w:sz w:val="30"/>
                <w:szCs w:val="30"/>
                <w14:textFill>
                  <w14:solidFill>
                    <w14:schemeClr w14:val="tx1"/>
                  </w14:solidFill>
                </w14:textFill>
              </w:rPr>
            </w:pPr>
            <w:r>
              <w:rPr>
                <w:rFonts w:hint="default" w:eastAsia="黑体"/>
                <w:color w:val="000000" w:themeColor="text1"/>
                <w:sz w:val="30"/>
                <w:szCs w:val="30"/>
                <w14:textFill>
                  <w14:solidFill>
                    <w14:schemeClr w14:val="tx1"/>
                  </w14:solidFill>
                </w14:textFill>
              </w:rPr>
              <w:t>环境影响评价结论</w:t>
            </w:r>
          </w:p>
          <w:p>
            <w:pPr>
              <w:keepNext w:val="0"/>
              <w:keepLines w:val="0"/>
              <w:widowControl/>
              <w:suppressLineNumbers w:val="0"/>
              <w:tabs>
                <w:tab w:val="center" w:pos="4538"/>
              </w:tabs>
              <w:spacing w:before="0" w:beforeAutospacing="0" w:after="0" w:afterAutospacing="0" w:line="520" w:lineRule="exact"/>
              <w:ind w:left="0" w:right="0" w:firstLine="48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 xml:space="preserve"> 1、项目概况</w:t>
            </w:r>
          </w:p>
          <w:p>
            <w:pPr>
              <w:keepNext w:val="0"/>
              <w:keepLines w:val="0"/>
              <w:suppressLineNumbers w:val="0"/>
              <w:spacing w:before="50" w:beforeAutospacing="0" w:after="0" w:afterAutospacing="0" w:line="520" w:lineRule="exact"/>
              <w:ind w:left="0" w:right="0" w:firstLine="480"/>
              <w:rPr>
                <w:rFonts w:hint="default"/>
                <w:color w:val="000000" w:themeColor="text1"/>
                <w:sz w:val="24"/>
                <w14:textFill>
                  <w14:solidFill>
                    <w14:schemeClr w14:val="tx1"/>
                  </w14:solidFill>
                </w14:textFill>
              </w:rPr>
            </w:pPr>
            <w:r>
              <w:rPr>
                <w:rFonts w:hint="default"/>
                <w:color w:val="000000" w:themeColor="text1"/>
                <w:kern w:val="0"/>
                <w:sz w:val="24"/>
                <w:szCs w:val="24"/>
                <w:lang w:val="zh-CN"/>
                <w14:textFill>
                  <w14:solidFill>
                    <w14:schemeClr w14:val="tx1"/>
                  </w14:solidFill>
                </w14:textFill>
              </w:rPr>
              <w:t>东方航空技术有限公司西北分公司1号机库始建于1991年，主要用于飞机的整体维修，因建成时间较早，未办理环评手续。</w:t>
            </w:r>
            <w:r>
              <w:rPr>
                <w:rFonts w:hint="default"/>
                <w:color w:val="000000" w:themeColor="text1"/>
                <w:sz w:val="24"/>
                <w14:textFill>
                  <w14:solidFill>
                    <w14:schemeClr w14:val="tx1"/>
                  </w14:solidFill>
                </w14:textFill>
              </w:rPr>
              <w:t>2013年对原有项目进行第一次改造，并于2013年10月16日取得陕西省西咸新区空港新城生态环保局文件关于东航西安维修基地新机库及配套建设项目环境影响报告表的批复（陕空港环批复[2013]10号）</w:t>
            </w:r>
            <w:r>
              <w:rPr>
                <w:rFonts w:hint="eastAsia"/>
                <w:color w:val="000000" w:themeColor="text1"/>
                <w:sz w:val="24"/>
                <w14:textFill>
                  <w14:solidFill>
                    <w14:schemeClr w14:val="tx1"/>
                  </w14:solidFill>
                </w14:textFill>
              </w:rPr>
              <w:t>，2016年7月21日取得陕西省西咸新区空港新城规划建设环保局关于东航西安维修基地新机库及配套建设项目竣工环保验收的批复（空港规建环[2016]23号）</w:t>
            </w:r>
            <w:r>
              <w:rPr>
                <w:rFonts w:hint="default"/>
                <w:color w:val="000000" w:themeColor="text1"/>
                <w:sz w:val="24"/>
                <w14:textFill>
                  <w14:solidFill>
                    <w14:schemeClr w14:val="tx1"/>
                  </w14:solidFill>
                </w14:textFill>
              </w:rPr>
              <w:t>。2019年，为响应国家环保政策，并规范机库维修工艺及环保治理措施，</w:t>
            </w:r>
            <w:r>
              <w:rPr>
                <w:rFonts w:hint="eastAsia"/>
                <w:color w:val="000000" w:themeColor="text1"/>
                <w:sz w:val="24"/>
                <w14:textFill>
                  <w14:solidFill>
                    <w14:schemeClr w14:val="tx1"/>
                  </w14:solidFill>
                </w14:textFill>
              </w:rPr>
              <w:t>东方航空技术有限公司</w:t>
            </w:r>
            <w:r>
              <w:rPr>
                <w:rFonts w:hint="default"/>
                <w:color w:val="000000" w:themeColor="text1"/>
                <w:sz w:val="24"/>
                <w14:textFill>
                  <w14:solidFill>
                    <w14:schemeClr w14:val="tx1"/>
                  </w14:solidFill>
                </w14:textFill>
              </w:rPr>
              <w:t>投资750万元建设</w:t>
            </w:r>
            <w:r>
              <w:rPr>
                <w:rFonts w:hint="default"/>
                <w:color w:val="000000" w:themeColor="text1"/>
                <w:kern w:val="0"/>
                <w:sz w:val="24"/>
                <w:szCs w:val="24"/>
                <w:lang w:val="zh-CN"/>
                <w14:textFill>
                  <w14:solidFill>
                    <w14:schemeClr w14:val="tx1"/>
                  </w14:solidFill>
                </w14:textFill>
              </w:rPr>
              <w:t>东方航空技术有限公司西北分公司1号机库改造项目</w:t>
            </w:r>
            <w:r>
              <w:rPr>
                <w:rFonts w:hint="default"/>
                <w:color w:val="000000" w:themeColor="text1"/>
                <w:sz w:val="24"/>
                <w:szCs w:val="24"/>
                <w14:textFill>
                  <w14:solidFill>
                    <w14:schemeClr w14:val="tx1"/>
                  </w14:solidFill>
                </w14:textFill>
              </w:rPr>
              <w:t>，</w:t>
            </w:r>
            <w:r>
              <w:rPr>
                <w:rFonts w:hint="default"/>
                <w:color w:val="000000" w:themeColor="text1"/>
                <w:sz w:val="24"/>
                <w14:textFill>
                  <w14:solidFill>
                    <w14:schemeClr w14:val="tx1"/>
                  </w14:solidFill>
                </w14:textFill>
              </w:rPr>
              <w:t>对1号机库生产线及环保设备设施和消防系统进行改造，安装废气通排风一体深度处理设备、气体检测报警系统，并进行消防设备设施及防爆电气、照明改造。</w:t>
            </w:r>
          </w:p>
          <w:p>
            <w:pPr>
              <w:keepNext w:val="0"/>
              <w:keepLines w:val="0"/>
              <w:suppressLineNumbers w:val="0"/>
              <w:spacing w:before="50" w:beforeAutospacing="0" w:after="0" w:afterAutospacing="0" w:line="520" w:lineRule="exact"/>
              <w:ind w:left="0" w:right="0" w:firstLine="480"/>
              <w:rPr>
                <w:rFonts w:hint="default"/>
                <w:color w:val="000000" w:themeColor="text1"/>
                <w:sz w:val="24"/>
                <w14:textFill>
                  <w14:solidFill>
                    <w14:schemeClr w14:val="tx1"/>
                  </w14:solidFill>
                </w14:textFill>
              </w:rPr>
            </w:pPr>
            <w:r>
              <w:rPr>
                <w:rFonts w:hint="default"/>
                <w:b/>
                <w:color w:val="000000" w:themeColor="text1"/>
                <w:sz w:val="24"/>
                <w:szCs w:val="24"/>
                <w14:textFill>
                  <w14:solidFill>
                    <w14:schemeClr w14:val="tx1"/>
                  </w14:solidFill>
                </w14:textFill>
              </w:rPr>
              <w:t xml:space="preserve"> 2、区域环境质量现状</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（1）环境空气质量现状</w:t>
            </w:r>
          </w:p>
          <w:p>
            <w:pPr>
              <w:pStyle w:val="92"/>
              <w:keepNext w:val="0"/>
              <w:keepLines w:val="0"/>
              <w:suppressLineNumbers w:val="0"/>
              <w:spacing w:before="0" w:beforeAutospacing="0" w:after="0" w:afterAutospacing="0" w:line="520" w:lineRule="exact"/>
              <w:ind w:left="0" w:right="0" w:firstLine="480" w:firstLineChars="200"/>
              <w:jc w:val="both"/>
              <w:outlineLv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本项目大气环境质量现状引用西咸新区2019年环境状况公报，环境空气基本污染物监测项目中，</w:t>
            </w:r>
            <w:r>
              <w:rPr>
                <w:rFonts w:hint="default" w:ascii="Times New Roman" w:hAnsi="Times New Roman" w:cs="Times New Roman"/>
                <w:bCs/>
                <w:color w:val="000000" w:themeColor="text1"/>
                <w14:textFill>
                  <w14:solidFill>
                    <w14:schemeClr w14:val="tx1"/>
                  </w14:solidFill>
                </w14:textFill>
              </w:rPr>
              <w:t>SO</w:t>
            </w:r>
            <w:r>
              <w:rPr>
                <w:rFonts w:hint="default" w:ascii="Times New Roman" w:hAnsi="Times New Roman" w:cs="Times New Roman"/>
                <w:bCs/>
                <w:color w:val="000000" w:themeColor="text1"/>
                <w:vertAlign w:val="subscript"/>
                <w14:textFill>
                  <w14:solidFill>
                    <w14:schemeClr w14:val="tx1"/>
                  </w14:solidFill>
                </w14:textFill>
              </w:rPr>
              <w:t>2</w:t>
            </w:r>
            <w:r>
              <w:rPr>
                <w:rFonts w:hint="default" w:ascii="Times New Roman" w:hAnsi="Times New Roman" w:cs="Times New Roman"/>
                <w:bCs/>
                <w:color w:val="000000" w:themeColor="text1"/>
                <w14:textFill>
                  <w14:solidFill>
                    <w14:schemeClr w14:val="tx1"/>
                  </w14:solidFill>
                </w14:textFill>
              </w:rPr>
              <w:t>年平均浓度值、NO</w:t>
            </w:r>
            <w:r>
              <w:rPr>
                <w:rFonts w:hint="default" w:ascii="Times New Roman" w:hAnsi="Times New Roman" w:cs="Times New Roman"/>
                <w:bCs/>
                <w:color w:val="000000" w:themeColor="text1"/>
                <w:vertAlign w:val="subscript"/>
                <w14:textFill>
                  <w14:solidFill>
                    <w14:schemeClr w14:val="tx1"/>
                  </w14:solidFill>
                </w14:textFill>
              </w:rPr>
              <w:t>2</w:t>
            </w:r>
            <w:r>
              <w:rPr>
                <w:rFonts w:hint="default" w:ascii="Times New Roman" w:hAnsi="Times New Roman" w:cs="Times New Roman"/>
                <w:bCs/>
                <w:color w:val="000000" w:themeColor="text1"/>
                <w14:textFill>
                  <w14:solidFill>
                    <w14:schemeClr w14:val="tx1"/>
                  </w14:solidFill>
                </w14:textFill>
              </w:rPr>
              <w:t>年均浓度值、O</w:t>
            </w:r>
            <w:r>
              <w:rPr>
                <w:rFonts w:hint="default" w:ascii="Times New Roman" w:hAnsi="Times New Roman" w:cs="Times New Roman"/>
                <w:bCs/>
                <w:color w:val="000000" w:themeColor="text1"/>
                <w:vertAlign w:val="subscript"/>
                <w14:textFill>
                  <w14:solidFill>
                    <w14:schemeClr w14:val="tx1"/>
                  </w14:solidFill>
                </w14:textFill>
              </w:rPr>
              <w:t>3</w:t>
            </w:r>
            <w:r>
              <w:rPr>
                <w:rFonts w:hint="default" w:ascii="Times New Roman" w:hAnsi="Times New Roman" w:cs="Times New Roman"/>
                <w:bCs/>
                <w:color w:val="000000" w:themeColor="text1"/>
                <w14:textFill>
                  <w14:solidFill>
                    <w14:schemeClr w14:val="tx1"/>
                  </w14:solidFill>
                </w14:textFill>
              </w:rPr>
              <w:t>日最大8小时平均第90百分位浓度值和CO24小时平均第95百分位数的浓度低于《环境空气质量标准》（GB3095-2012）中的二级标准要求； PM</w:t>
            </w:r>
            <w:r>
              <w:rPr>
                <w:rFonts w:hint="default" w:ascii="Times New Roman" w:hAnsi="Times New Roman" w:cs="Times New Roman"/>
                <w:bCs/>
                <w:color w:val="000000" w:themeColor="text1"/>
                <w:vertAlign w:val="subscript"/>
                <w14:textFill>
                  <w14:solidFill>
                    <w14:schemeClr w14:val="tx1"/>
                  </w14:solidFill>
                </w14:textFill>
              </w:rPr>
              <w:t>10</w:t>
            </w:r>
            <w:r>
              <w:rPr>
                <w:rFonts w:hint="default" w:ascii="Times New Roman" w:hAnsi="Times New Roman" w:cs="Times New Roman"/>
                <w:bCs/>
                <w:color w:val="000000" w:themeColor="text1"/>
                <w14:textFill>
                  <w14:solidFill>
                    <w14:schemeClr w14:val="tx1"/>
                  </w14:solidFill>
                </w14:textFill>
              </w:rPr>
              <w:t>、PM</w:t>
            </w:r>
            <w:r>
              <w:rPr>
                <w:rFonts w:hint="default" w:ascii="Times New Roman" w:hAnsi="Times New Roman" w:cs="Times New Roman"/>
                <w:bCs/>
                <w:color w:val="000000" w:themeColor="text1"/>
                <w:vertAlign w:val="subscript"/>
                <w14:textFill>
                  <w14:solidFill>
                    <w14:schemeClr w14:val="tx1"/>
                  </w14:solidFill>
                </w14:textFill>
              </w:rPr>
              <w:t>2.5</w:t>
            </w:r>
            <w:r>
              <w:rPr>
                <w:rFonts w:hint="default" w:ascii="Times New Roman" w:hAnsi="Times New Roman" w:cs="Times New Roman"/>
                <w:bCs/>
                <w:color w:val="000000" w:themeColor="text1"/>
                <w:vertAlign w:val="baseline"/>
                <w14:textFill>
                  <w14:solidFill>
                    <w14:schemeClr w14:val="tx1"/>
                  </w14:solidFill>
                </w14:textFill>
              </w:rPr>
              <w:t>年浓度值</w:t>
            </w:r>
            <w:r>
              <w:rPr>
                <w:rFonts w:hint="default" w:ascii="Times New Roman" w:hAnsi="Times New Roman" w:cs="Times New Roman"/>
                <w:bCs/>
                <w:color w:val="000000" w:themeColor="text1"/>
                <w14:textFill>
                  <w14:solidFill>
                    <w14:schemeClr w14:val="tx1"/>
                  </w14:solidFill>
                </w14:textFill>
              </w:rPr>
              <w:t>高于《环境空气质量标准》（GB3095-2012）中的二级标准要求。</w:t>
            </w:r>
            <w:r>
              <w:rPr>
                <w:rFonts w:hint="default" w:ascii="Times New Roman" w:hAnsi="Times New Roman" w:cs="Times New Roman"/>
                <w:color w:val="000000" w:themeColor="text1"/>
                <w14:textFill>
                  <w14:solidFill>
                    <w14:schemeClr w14:val="tx1"/>
                  </w14:solidFill>
                </w14:textFill>
              </w:rPr>
              <w:t>项目所在地为大气环境质量</w:t>
            </w:r>
            <w:r>
              <w:rPr>
                <w:rFonts w:hint="eastAsia" w:ascii="Times New Roman" w:hAnsi="Times New Roman" w:cs="Times New Roman"/>
                <w:color w:val="000000" w:themeColor="text1"/>
                <w14:textFill>
                  <w14:solidFill>
                    <w14:schemeClr w14:val="tx1"/>
                  </w14:solidFill>
                </w14:textFill>
              </w:rPr>
              <w:t>不</w:t>
            </w:r>
            <w:r>
              <w:rPr>
                <w:rFonts w:hint="default" w:ascii="Times New Roman" w:hAnsi="Times New Roman" w:cs="Times New Roman"/>
                <w:color w:val="000000" w:themeColor="text1"/>
                <w14:textFill>
                  <w14:solidFill>
                    <w14:schemeClr w14:val="tx1"/>
                  </w14:solidFill>
                </w14:textFill>
              </w:rPr>
              <w:t>达标区。</w:t>
            </w:r>
          </w:p>
          <w:p>
            <w:pPr>
              <w:keepNext w:val="0"/>
              <w:keepLines w:val="0"/>
              <w:suppressLineNumbers w:val="0"/>
              <w:autoSpaceDN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由</w:t>
            </w:r>
            <w:r>
              <w:rPr>
                <w:rFonts w:hint="default"/>
                <w:bCs/>
                <w:color w:val="000000" w:themeColor="text1"/>
                <w:sz w:val="24"/>
                <w14:textFill>
                  <w14:solidFill>
                    <w14:schemeClr w14:val="tx1"/>
                  </w14:solidFill>
                </w14:textFill>
              </w:rPr>
              <w:t>监测结果表明，评价区</w:t>
            </w:r>
            <w:r>
              <w:rPr>
                <w:rFonts w:hint="default"/>
                <w:color w:val="000000" w:themeColor="text1"/>
                <w:sz w:val="24"/>
                <w14:textFill>
                  <w14:solidFill>
                    <w14:schemeClr w14:val="tx1"/>
                  </w14:solidFill>
                </w14:textFill>
              </w:rPr>
              <w:t>环境空气中非甲烷总烃满足《大气污染物综合排放标准详解》中限值；甲苯、二甲苯满足《环境影响评价技术导则 大气环境》（HJ2.2-2018）附录D限值；乙苯满足《前苏联居民大气有害物质的最大允许浓度》中浓度限值。</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（2）声环境质量现状</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szCs w:val="24"/>
                <w14:textFill>
                  <w14:solidFill>
                    <w14:schemeClr w14:val="tx1"/>
                  </w14:solidFill>
                </w14:textFill>
              </w:rPr>
              <w:t>监测结果表明，</w:t>
            </w:r>
            <w:r>
              <w:rPr>
                <w:rFonts w:hint="default"/>
                <w:color w:val="000000" w:themeColor="text1"/>
                <w:sz w:val="24"/>
                <w14:textFill>
                  <w14:solidFill>
                    <w14:schemeClr w14:val="tx1"/>
                  </w14:solidFill>
                </w14:textFill>
              </w:rPr>
              <w:t>项目所在区域声环境质量现状监测值满足《机场周围飞机噪声环境标准质量标准》（GB9660-88）二类区域要求。</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（3）土壤环境质量现状</w:t>
            </w:r>
          </w:p>
          <w:p>
            <w:pPr>
              <w:pStyle w:val="2"/>
              <w:keepNext w:val="0"/>
              <w:keepLines w:val="0"/>
              <w:suppressLineNumbers w:val="0"/>
              <w:spacing w:before="0" w:beforeAutospacing="0" w:after="0" w:afterAutospacing="0" w:line="520" w:lineRule="exact"/>
              <w:ind w:left="0" w:leftChars="0" w:right="0" w:firstLine="480"/>
              <w:rPr>
                <w:rFonts w:hint="default" w:ascii="Times New Roman" w:hAnsi="Times New Roman"/>
                <w:color w:val="000000" w:themeColor="text1"/>
                <w:kern w:val="0"/>
                <w:sz w:val="24"/>
                <w:szCs w:val="20"/>
                <w14:textFill>
                  <w14:solidFill>
                    <w14:schemeClr w14:val="tx1"/>
                  </w14:solidFill>
                </w14:textFill>
              </w:rPr>
            </w:pPr>
            <w:r>
              <w:rPr>
                <w:rFonts w:hint="default" w:ascii="Times New Roman" w:hAnsi="Times New Roman"/>
                <w:color w:val="000000" w:themeColor="text1"/>
                <w:kern w:val="0"/>
                <w:sz w:val="24"/>
                <w:szCs w:val="20"/>
                <w14:textFill>
                  <w14:solidFill>
                    <w14:schemeClr w14:val="tx1"/>
                  </w14:solidFill>
                </w14:textFill>
              </w:rPr>
              <w:t>由监测数据统计结果可以看出，项目区周边各个监测点位的监测结果均满足《土壤环境质量 建设用地土壤污染风险管控标准》（GB36600-2018）中第二类用地筛选值标准要求。</w:t>
            </w:r>
          </w:p>
          <w:p>
            <w:pPr>
              <w:keepNext w:val="0"/>
              <w:keepLines w:val="0"/>
              <w:widowControl/>
              <w:suppressLineNumbers w:val="0"/>
              <w:tabs>
                <w:tab w:val="center" w:pos="4538"/>
              </w:tabs>
              <w:spacing w:before="0" w:beforeAutospacing="0" w:after="0" w:afterAutospacing="0" w:line="520" w:lineRule="exact"/>
              <w:ind w:left="0" w:right="0" w:firstLine="48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3、污染物排放情况</w:t>
            </w:r>
          </w:p>
          <w:p>
            <w:pPr>
              <w:keepNext w:val="0"/>
              <w:keepLines w:val="0"/>
              <w:suppressLineNumbers w:val="0"/>
              <w:spacing w:before="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（1）废气</w:t>
            </w:r>
          </w:p>
          <w:p>
            <w:pPr>
              <w:keepNext w:val="0"/>
              <w:keepLines w:val="0"/>
              <w:suppressLineNumbers w:val="0"/>
              <w:autoSpaceDE w:val="0"/>
              <w:autoSpaceDN w:val="0"/>
              <w:adjustRightInd w:val="0"/>
              <w:snapToGrid w:val="0"/>
              <w:spacing w:before="0" w:beforeAutospacing="0" w:after="0" w:afterAutospacing="0" w:line="56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szCs w:val="24"/>
                <w14:textFill>
                  <w14:solidFill>
                    <w14:schemeClr w14:val="tx1"/>
                  </w14:solidFill>
                </w14:textFill>
              </w:rPr>
              <w:t>项目运营期产生的废气主要为打磨粉尘和喷漆废气。</w:t>
            </w:r>
            <w:r>
              <w:rPr>
                <w:rFonts w:hint="default"/>
                <w:color w:val="000000" w:themeColor="text1"/>
                <w:sz w:val="24"/>
                <w14:textFill>
                  <w14:solidFill>
                    <w14:schemeClr w14:val="tx1"/>
                  </w14:solidFill>
                </w14:textFill>
              </w:rPr>
              <w:t>打磨粉尘产生量约为1.68t/a，</w:t>
            </w:r>
            <w:r>
              <w:rPr>
                <w:rFonts w:hint="default"/>
                <w:bCs/>
                <w:color w:val="000000" w:themeColor="text1"/>
                <w:sz w:val="24"/>
                <w14:textFill>
                  <w14:solidFill>
                    <w14:schemeClr w14:val="tx1"/>
                  </w14:solidFill>
                </w14:textFill>
              </w:rPr>
              <w:t>经两侧排风收集箱收集通过</w:t>
            </w:r>
            <w:r>
              <w:rPr>
                <w:rFonts w:hint="eastAsia"/>
                <w:bCs/>
                <w:color w:val="000000" w:themeColor="text1"/>
                <w:sz w:val="24"/>
                <w14:textFill>
                  <w14:solidFill>
                    <w14:schemeClr w14:val="tx1"/>
                  </w14:solidFill>
                </w14:textFill>
              </w:rPr>
              <w:t>干式</w:t>
            </w:r>
            <w:r>
              <w:rPr>
                <w:rFonts w:hint="default"/>
                <w:bCs/>
                <w:color w:val="000000" w:themeColor="text1"/>
                <w:sz w:val="24"/>
                <w14:textFill>
                  <w14:solidFill>
                    <w14:schemeClr w14:val="tx1"/>
                  </w14:solidFill>
                </w14:textFill>
              </w:rPr>
              <w:t>过滤器过滤后由</w:t>
            </w:r>
            <w:r>
              <w:rPr>
                <w:rFonts w:hint="default"/>
                <w:color w:val="000000" w:themeColor="text1"/>
                <w:sz w:val="24"/>
                <w14:textFill>
                  <w14:solidFill>
                    <w14:schemeClr w14:val="tx1"/>
                  </w14:solidFill>
                </w14:textFill>
              </w:rPr>
              <w:t>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w:t>
            </w:r>
            <w:r>
              <w:rPr>
                <w:rFonts w:hint="default"/>
                <w:bCs/>
                <w:color w:val="000000" w:themeColor="text1"/>
                <w:sz w:val="24"/>
                <w14:textFill>
                  <w14:solidFill>
                    <w14:schemeClr w14:val="tx1"/>
                  </w14:solidFill>
                </w14:textFill>
              </w:rPr>
              <w:t>。经处理后</w:t>
            </w:r>
            <w:r>
              <w:rPr>
                <w:rFonts w:hint="default"/>
                <w:color w:val="000000" w:themeColor="text1"/>
                <w:sz w:val="24"/>
                <w14:textFill>
                  <w14:solidFill>
                    <w14:schemeClr w14:val="tx1"/>
                  </w14:solidFill>
                </w14:textFill>
              </w:rPr>
              <w:t>排放量为0.016t/a，排放速率为0.027kg/h，排放浓度为3.4mg/m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，无组织排放量为0.168t/a。</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lang w:bidi="ar"/>
                <w14:textFill>
                  <w14:solidFill>
                    <w14:schemeClr w14:val="tx1"/>
                  </w14:solidFill>
                </w14:textFill>
              </w:rPr>
              <w:t>项目喷漆工序产生的废气包括漆雾、喷漆废气和晾干废气。</w:t>
            </w:r>
            <w:r>
              <w:rPr>
                <w:rFonts w:hint="default"/>
                <w:color w:val="000000" w:themeColor="text1"/>
                <w:sz w:val="24"/>
                <w14:textFill>
                  <w14:solidFill>
                    <w14:schemeClr w14:val="tx1"/>
                  </w14:solidFill>
                </w14:textFill>
              </w:rPr>
              <w:t>项目</w:t>
            </w:r>
            <w:r>
              <w:rPr>
                <w:rFonts w:hint="default"/>
                <w:color w:val="000000" w:themeColor="text1"/>
                <w:sz w:val="24"/>
                <w:lang w:bidi="ar"/>
                <w14:textFill>
                  <w14:solidFill>
                    <w14:schemeClr w14:val="tx1"/>
                  </w14:solidFill>
                </w14:textFill>
              </w:rPr>
              <w:t>一年飞机喷漆架次为18架，喷漆及晾干产生的废气经排风收集箱收集后，采用</w:t>
            </w:r>
            <w:r>
              <w:rPr>
                <w:rFonts w:hint="eastAsia"/>
                <w:color w:val="000000" w:themeColor="text1"/>
                <w:sz w:val="24"/>
                <w14:textFill>
                  <w14:solidFill>
                    <w14:schemeClr w14:val="tx1"/>
                  </w14:solidFill>
                </w14:textFill>
              </w:rPr>
              <w:t>干式</w:t>
            </w:r>
            <w:r>
              <w:rPr>
                <w:rFonts w:hint="default"/>
                <w:color w:val="000000" w:themeColor="text1"/>
                <w:sz w:val="24"/>
                <w14:textFill>
                  <w14:solidFill>
                    <w14:schemeClr w14:val="tx1"/>
                  </w14:solidFill>
                </w14:textFill>
              </w:rPr>
              <w:t>过滤器+活性炭吸附</w:t>
            </w:r>
            <w:r>
              <w:rPr>
                <w:rFonts w:hint="eastAsia"/>
                <w:color w:val="000000" w:themeColor="text1"/>
                <w:sz w:val="24"/>
                <w14:textFill>
                  <w14:solidFill>
                    <w14:schemeClr w14:val="tx1"/>
                  </w14:solidFill>
                </w14:textFill>
              </w:rPr>
              <w:t>箱（内设蜂窝活性炭）</w:t>
            </w:r>
            <w:r>
              <w:rPr>
                <w:rFonts w:hint="default"/>
                <w:color w:val="000000" w:themeColor="text1"/>
                <w:sz w:val="24"/>
                <w14:textFill>
                  <w14:solidFill>
                    <w14:schemeClr w14:val="tx1"/>
                  </w14:solidFill>
                </w14:textFill>
              </w:rPr>
              <w:t>处理，处理后的废气通过机库东西两侧辅房顶部15m高的排气筒（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）排放。项目喷漆工序形成的漆雾量为1.44t/a，经处理后有组织排放量为0.1296t/a，排放速率为0.432kg/h，排放浓度为3.6mg/m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 根据工程分析可知，项目非甲烷总烃的产生总量为4.56t/a，甲苯+乙苯的产生量为0.129t/a，二甲苯产生量为0.259t/a。</w:t>
            </w:r>
            <w:r>
              <w:rPr>
                <w:rFonts w:hint="default"/>
                <w:color w:val="000000" w:themeColor="text1"/>
                <w:sz w:val="24"/>
                <w14:textFill>
                  <w14:solidFill>
                    <w14:schemeClr w14:val="tx1"/>
                  </w14:solidFill>
                </w14:textFill>
              </w:rPr>
              <w:t>经排风收集箱收集后</w:t>
            </w:r>
            <w:r>
              <w:rPr>
                <w:rFonts w:hint="default"/>
                <w:color w:val="000000" w:themeColor="text1"/>
                <w:sz w:val="24"/>
                <w:lang w:bidi="ar"/>
                <w14:textFill>
                  <w14:solidFill>
                    <w14:schemeClr w14:val="tx1"/>
                  </w14:solidFill>
                </w14:textFill>
              </w:rPr>
              <w:t>通过</w:t>
            </w:r>
            <w:r>
              <w:rPr>
                <w:rFonts w:hint="eastAsia"/>
                <w:color w:val="000000" w:themeColor="text1"/>
                <w:sz w:val="24"/>
                <w:lang w:bidi="ar"/>
                <w14:textFill>
                  <w14:solidFill>
                    <w14:schemeClr w14:val="tx1"/>
                  </w14:solidFill>
                </w14:textFill>
              </w:rPr>
              <w:t>干式过滤器+</w:t>
            </w:r>
            <w:r>
              <w:rPr>
                <w:rFonts w:hint="default"/>
                <w:color w:val="000000" w:themeColor="text1"/>
                <w:sz w:val="24"/>
                <w:lang w:bidi="ar"/>
                <w14:textFill>
                  <w14:solidFill>
                    <w14:schemeClr w14:val="tx1"/>
                  </w14:solidFill>
                </w14:textFill>
              </w:rPr>
              <w:t>活性炭吸附箱（</w:t>
            </w:r>
            <w:r>
              <w:rPr>
                <w:rFonts w:hint="eastAsia"/>
                <w:color w:val="000000" w:themeColor="text1"/>
                <w:sz w:val="24"/>
                <w:lang w:bidi="ar"/>
                <w14:textFill>
                  <w14:solidFill>
                    <w14:schemeClr w14:val="tx1"/>
                  </w14:solidFill>
                </w14:textFill>
              </w:rPr>
              <w:t>内设蜂窝活性炭</w:t>
            </w:r>
            <w:r>
              <w:rPr>
                <w:rFonts w:hint="default"/>
                <w:color w:val="000000" w:themeColor="text1"/>
                <w:sz w:val="24"/>
                <w:lang w:bidi="ar"/>
                <w14:textFill>
                  <w14:solidFill>
                    <w14:schemeClr w14:val="tx1"/>
                  </w14:solidFill>
                </w14:textFill>
              </w:rPr>
              <w:t>）处理，</w:t>
            </w:r>
            <w:r>
              <w:rPr>
                <w:rFonts w:hint="default"/>
                <w:color w:val="000000" w:themeColor="text1"/>
                <w:sz w:val="24"/>
                <w14:textFill>
                  <w14:solidFill>
                    <w14:schemeClr w14:val="tx1"/>
                  </w14:solidFill>
                </w14:textFill>
              </w:rPr>
              <w:t>非甲烷总烃有组织排放量为0.8225t/a，排放浓度为22.9mg/m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，排放速率为2.742kg/h，无组织排放量为0.456t/a；甲苯+乙苯有组织排放量为0.0235t/a，排放浓度为0.7mg/m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，排放速率0.079kg/h，无组织排放量为0.0132t/a；二甲苯有组织排放总量为0.047t/a，排放浓度为1.4mg/m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，排放速率0.158kg/h，无组织排放总量为0.026t/a。</w:t>
            </w:r>
          </w:p>
          <w:p>
            <w:pPr>
              <w:keepNext w:val="0"/>
              <w:keepLines w:val="0"/>
              <w:suppressLineNumbers w:val="0"/>
              <w:spacing w:before="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（2）废水</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项目定员54人。依据《陕西省行业用水定额》，生活用水按每人每天35L计，设值班人员1人，用水按每人每天110L计，全年生产365天，则生活用水量为717.225m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/a（1.965m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/d），产污系数按0.8计，废水产生量为573.78m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/a（1.572m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/d），生活污水依托维修基地现有化粪池预处理后，进入咸阳机场污水处理厂。</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飞机维修过程产生清洗废水，主要污染因子为石油类、LAS、COD、SS。根据生产经验，产生的污水约为6.3m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/架次，项目</w:t>
            </w:r>
            <w:r>
              <w:rPr>
                <w:rFonts w:hint="eastAsia"/>
                <w:color w:val="000000" w:themeColor="text1"/>
                <w:sz w:val="24"/>
                <w14:textFill>
                  <w14:solidFill>
                    <w14:schemeClr w14:val="tx1"/>
                  </w14:solidFill>
                </w14:textFill>
              </w:rPr>
              <w:t>飞机清洗量</w:t>
            </w:r>
            <w:r>
              <w:rPr>
                <w:rFonts w:hint="default"/>
                <w:color w:val="000000" w:themeColor="text1"/>
                <w:sz w:val="24"/>
                <w14:textFill>
                  <w14:solidFill>
                    <w14:schemeClr w14:val="tx1"/>
                  </w14:solidFill>
                </w14:textFill>
              </w:rPr>
              <w:t>为18架次/年，则清洗废水产生量为113.4m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rFonts w:hint="default"/>
                <w:color w:val="000000" w:themeColor="text1"/>
                <w:sz w:val="24"/>
                <w14:textFill>
                  <w14:solidFill>
                    <w14:schemeClr w14:val="tx1"/>
                  </w14:solidFill>
                </w14:textFill>
              </w:rPr>
              <w:t>311m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/d。清洗废水经水泵抽至过滤桶，过滤桶内设过滤网，将过滤棉放置过滤网上，废水经过滤棉过滤后通过管网排至咸阳机场污水处理厂。</w:t>
            </w:r>
          </w:p>
          <w:p>
            <w:pPr>
              <w:keepNext w:val="0"/>
              <w:keepLines w:val="0"/>
              <w:suppressLineNumbers w:val="0"/>
              <w:spacing w:before="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（3）噪声</w:t>
            </w:r>
          </w:p>
          <w:p>
            <w:pPr>
              <w:keepNext w:val="0"/>
              <w:keepLines w:val="0"/>
              <w:suppressLineNumbers w:val="0"/>
              <w:spacing w:before="0" w:beforeAutospacing="0" w:after="0" w:afterAutospacing="0" w:line="520" w:lineRule="exact"/>
              <w:ind w:left="0" w:right="0" w:firstLine="480"/>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本项目主要噪声源为泵类、风机等设备运行时产生的噪声，噪声值范围在70～90dB(A)之间</w:t>
            </w:r>
            <w:r>
              <w:rPr>
                <w:rFonts w:hint="default"/>
                <w:color w:val="000000" w:themeColor="text1"/>
                <w14:textFill>
                  <w14:solidFill>
                    <w14:schemeClr w14:val="tx1"/>
                  </w14:solidFill>
                </w14:textFill>
              </w:rPr>
              <w:t>。</w:t>
            </w:r>
          </w:p>
          <w:p>
            <w:pPr>
              <w:keepNext w:val="0"/>
              <w:keepLines w:val="0"/>
              <w:suppressLineNumbers w:val="0"/>
              <w:spacing w:before="0" w:beforeAutospacing="0" w:after="0" w:afterAutospacing="0" w:line="520" w:lineRule="exact"/>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（4）固废</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项目维修过程中的废旧零部件产生量约为1t/a，项目维修工序产生的废旧包装盒量为0.2t/a，所有一般固废收集后统一外售。</w:t>
            </w:r>
            <w:r>
              <w:rPr>
                <w:rFonts w:hint="default"/>
                <w:color w:val="000000" w:themeColor="text1"/>
                <w:spacing w:val="4"/>
                <w:sz w:val="24"/>
                <w14:textFill>
                  <w14:solidFill>
                    <w14:schemeClr w14:val="tx1"/>
                  </w14:solidFill>
                </w14:textFill>
              </w:rPr>
              <w:t>厂区共定员54人，</w:t>
            </w:r>
            <w:r>
              <w:rPr>
                <w:rFonts w:hint="default"/>
                <w:color w:val="000000" w:themeColor="text1"/>
                <w:sz w:val="24"/>
                <w14:textFill>
                  <w14:solidFill>
                    <w14:schemeClr w14:val="tx1"/>
                  </w14:solidFill>
                </w14:textFill>
              </w:rPr>
              <w:t>则生活垃圾产生量为9.855t/a，统一交由环卫部门处置。项目废有机溶剂桶产生量为2t/a，属于危险废物HW49，代码为900-041-49；飞机维修时产生的废机油以及沾染机油的废抹布、手套等，年产生量约为0.5t/a，属于危险废物HW08，代码为900-214-08；项目清洗废水经过滤棉预处理后排入机场污水处理厂，废过滤棉（含杂质）产生量为0.8t/a，属于危险废物HW08，代码为900-210-08；项目喷漆产生的漆雾采用干式过滤器进行处理，废</w:t>
            </w:r>
            <w:r>
              <w:rPr>
                <w:rFonts w:hint="eastAsia"/>
                <w:color w:val="000000" w:themeColor="text1"/>
                <w:sz w:val="24"/>
                <w14:textFill>
                  <w14:solidFill>
                    <w14:schemeClr w14:val="tx1"/>
                  </w14:solidFill>
                </w14:textFill>
              </w:rPr>
              <w:t>滤芯</w:t>
            </w:r>
            <w:r>
              <w:rPr>
                <w:rFonts w:hint="default"/>
                <w:color w:val="000000" w:themeColor="text1"/>
                <w:sz w:val="24"/>
                <w14:textFill>
                  <w14:solidFill>
                    <w14:schemeClr w14:val="tx1"/>
                  </w14:solidFill>
                </w14:textFill>
              </w:rPr>
              <w:t>（含漆渣）产生量为3.4492t/a；项目打磨过程采用</w:t>
            </w:r>
            <w:r>
              <w:rPr>
                <w:rFonts w:hint="eastAsia"/>
                <w:color w:val="000000" w:themeColor="text1"/>
                <w:sz w:val="24"/>
                <w14:textFill>
                  <w14:solidFill>
                    <w14:schemeClr w14:val="tx1"/>
                  </w14:solidFill>
                </w14:textFill>
              </w:rPr>
              <w:t>干式</w:t>
            </w:r>
            <w:r>
              <w:rPr>
                <w:rFonts w:hint="default"/>
                <w:color w:val="000000" w:themeColor="text1"/>
                <w:sz w:val="24"/>
                <w14:textFill>
                  <w14:solidFill>
                    <w14:schemeClr w14:val="tx1"/>
                  </w14:solidFill>
                </w14:textFill>
              </w:rPr>
              <w:t>过滤器进行过滤，废滤芯产生量（含</w:t>
            </w:r>
            <w:r>
              <w:rPr>
                <w:rFonts w:hint="eastAsia"/>
                <w:color w:val="000000" w:themeColor="text1"/>
                <w:sz w:val="24"/>
                <w14:textFill>
                  <w14:solidFill>
                    <w14:schemeClr w14:val="tx1"/>
                  </w14:solidFill>
                </w14:textFill>
              </w:rPr>
              <w:t>漆</w:t>
            </w:r>
            <w:r>
              <w:rPr>
                <w:rFonts w:hint="default"/>
                <w:color w:val="000000" w:themeColor="text1"/>
                <w:sz w:val="24"/>
                <w14:textFill>
                  <w14:solidFill>
                    <w14:schemeClr w14:val="tx1"/>
                  </w14:solidFill>
                </w14:textFill>
              </w:rPr>
              <w:t>粉尘）为1.7t/a，属于危险废物HW12，代码为900-251-12</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项目废活性炭产生量约14.2199t/a，属于危险废物HW49，代码为900-041-49。所有危险废物</w:t>
            </w:r>
            <w:r>
              <w:rPr>
                <w:rFonts w:hint="default"/>
                <w:color w:val="000000" w:themeColor="text1"/>
                <w:sz w:val="24"/>
                <w14:textFill>
                  <w14:solidFill>
                    <w14:schemeClr w14:val="tx1"/>
                  </w14:solidFill>
                </w14:textFill>
              </w:rPr>
              <w:t>要求按照《危险废物贮存污染控制标准》（GB18597-2001）及其修改单中相关规定进行临时储存，本项目依托维修基地危废暂存设施暂存后，统一交由有资质单位处理。</w:t>
            </w:r>
          </w:p>
          <w:p>
            <w:pPr>
              <w:keepNext w:val="0"/>
              <w:keepLines w:val="0"/>
              <w:widowControl/>
              <w:suppressLineNumbers w:val="0"/>
              <w:tabs>
                <w:tab w:val="center" w:pos="4538"/>
              </w:tabs>
              <w:spacing w:before="0" w:beforeAutospacing="0" w:after="0" w:afterAutospacing="0" w:line="460" w:lineRule="exact"/>
              <w:ind w:left="0" w:right="0" w:firstLine="482" w:firstLineChars="20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4、环境影响分析及保护措施</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（1）废气</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 xml:space="preserve"> 运营期废气主要为打磨粉尘和喷漆废气。项目</w:t>
            </w:r>
            <w:r>
              <w:rPr>
                <w:rFonts w:hint="default"/>
                <w:color w:val="000000" w:themeColor="text1"/>
                <w:sz w:val="24"/>
                <w:szCs w:val="24"/>
                <w14:textFill>
                  <w14:solidFill>
                    <w14:schemeClr w14:val="tx1"/>
                  </w14:solidFill>
                </w14:textFill>
              </w:rPr>
              <w:t>打磨粉尘</w:t>
            </w:r>
            <w:r>
              <w:rPr>
                <w:rFonts w:hint="default"/>
                <w:bCs/>
                <w:color w:val="000000" w:themeColor="text1"/>
                <w:sz w:val="24"/>
                <w14:textFill>
                  <w14:solidFill>
                    <w14:schemeClr w14:val="tx1"/>
                  </w14:solidFill>
                </w14:textFill>
              </w:rPr>
              <w:t>经排风收集箱收集后经</w:t>
            </w:r>
            <w:r>
              <w:rPr>
                <w:rFonts w:hint="eastAsia"/>
                <w:bCs/>
                <w:color w:val="000000" w:themeColor="text1"/>
                <w:sz w:val="24"/>
                <w14:textFill>
                  <w14:solidFill>
                    <w14:schemeClr w14:val="tx1"/>
                  </w14:solidFill>
                </w14:textFill>
              </w:rPr>
              <w:t>干式</w:t>
            </w:r>
            <w:r>
              <w:rPr>
                <w:rFonts w:hint="default"/>
                <w:bCs/>
                <w:color w:val="000000" w:themeColor="text1"/>
                <w:sz w:val="24"/>
                <w14:textFill>
                  <w14:solidFill>
                    <w14:schemeClr w14:val="tx1"/>
                  </w14:solidFill>
                </w14:textFill>
              </w:rPr>
              <w:t>过滤器过滤，由</w:t>
            </w:r>
            <w:r>
              <w:rPr>
                <w:rFonts w:hint="default"/>
                <w:color w:val="000000" w:themeColor="text1"/>
                <w:sz w:val="24"/>
                <w14:textFill>
                  <w14:solidFill>
                    <w14:schemeClr w14:val="tx1"/>
                  </w14:solidFill>
                </w14:textFill>
              </w:rPr>
              <w:t>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w:t>
            </w:r>
            <w:r>
              <w:rPr>
                <w:rFonts w:hint="default"/>
                <w:bCs/>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排放浓度满足《大气污染综合排放标准》(GB16297-1996)中二级标准要求。</w:t>
            </w:r>
            <w:r>
              <w:rPr>
                <w:rFonts w:hint="default"/>
                <w:color w:val="000000" w:themeColor="text1"/>
                <w:sz w:val="24"/>
                <w:lang w:bidi="ar"/>
                <w14:textFill>
                  <w14:solidFill>
                    <w14:schemeClr w14:val="tx1"/>
                  </w14:solidFill>
                </w14:textFill>
              </w:rPr>
              <w:t>喷漆及晾干产生的废气经排风收集箱收集后，</w:t>
            </w:r>
            <w:r>
              <w:rPr>
                <w:rFonts w:hint="eastAsia"/>
                <w:color w:val="000000" w:themeColor="text1"/>
                <w:sz w:val="24"/>
                <w14:textFill>
                  <w14:solidFill>
                    <w14:schemeClr w14:val="tx1"/>
                  </w14:solidFill>
                </w14:textFill>
              </w:rPr>
              <w:t>采用干式</w:t>
            </w:r>
            <w:r>
              <w:rPr>
                <w:rFonts w:hint="default"/>
                <w:color w:val="000000" w:themeColor="text1"/>
                <w:sz w:val="24"/>
                <w14:textFill>
                  <w14:solidFill>
                    <w14:schemeClr w14:val="tx1"/>
                  </w14:solidFill>
                </w14:textFill>
              </w:rPr>
              <w:t>过滤器+活性炭吸附箱（</w:t>
            </w:r>
            <w:r>
              <w:rPr>
                <w:rFonts w:hint="eastAsia"/>
                <w:color w:val="000000" w:themeColor="text1"/>
                <w:sz w:val="24"/>
                <w14:textFill>
                  <w14:solidFill>
                    <w14:schemeClr w14:val="tx1"/>
                  </w14:solidFill>
                </w14:textFill>
              </w:rPr>
              <w:t>内设蜂窝</w:t>
            </w:r>
            <w:r>
              <w:rPr>
                <w:rFonts w:hint="default"/>
                <w:color w:val="000000" w:themeColor="text1"/>
                <w:sz w:val="24"/>
                <w14:textFill>
                  <w14:solidFill>
                    <w14:schemeClr w14:val="tx1"/>
                  </w14:solidFill>
                </w14:textFill>
              </w:rPr>
              <w:t>活性炭）处理，处理后的废气通过机库东西两侧辅房顶部15m高的排气筒（</w:t>
            </w:r>
            <w:r>
              <w:rPr>
                <w:rFonts w:hint="default"/>
                <w:bCs/>
                <w:snapToGrid w:val="0"/>
                <w:color w:val="000000" w:themeColor="text1"/>
                <w:kern w:val="0"/>
                <w:sz w:val="24"/>
                <w14:textFill>
                  <w14:solidFill>
                    <w14:schemeClr w14:val="tx1"/>
                  </w14:solidFill>
                </w14:textFill>
              </w:rPr>
              <w:t>P1西、P2东</w:t>
            </w:r>
            <w:r>
              <w:rPr>
                <w:rFonts w:hint="default"/>
                <w:color w:val="000000" w:themeColor="text1"/>
                <w:sz w:val="24"/>
                <w14:textFill>
                  <w14:solidFill>
                    <w14:schemeClr w14:val="tx1"/>
                  </w14:solidFill>
                </w14:textFill>
              </w:rPr>
              <w:t>）排放，漆雾浓度满足《大气污染综合排放标准》(GB16297-1996)中二级标准要求；</w:t>
            </w:r>
            <w:r>
              <w:rPr>
                <w:rFonts w:hint="default"/>
                <w:bCs/>
                <w:snapToGrid w:val="0"/>
                <w:color w:val="000000" w:themeColor="text1"/>
                <w:kern w:val="0"/>
                <w:sz w:val="24"/>
                <w:lang w:bidi="ar"/>
                <w14:textFill>
                  <w14:solidFill>
                    <w14:schemeClr w14:val="tx1"/>
                  </w14:solidFill>
                </w14:textFill>
              </w:rPr>
              <w:t>非甲烷总烃、甲苯+乙苯、二甲苯最高排放浓度均能够满足《挥发性有机物排放控制标准》(DB 61/T1061-2017)中最高允许排放浓度限值要求。</w:t>
            </w:r>
          </w:p>
          <w:p>
            <w:pPr>
              <w:keepNext w:val="0"/>
              <w:keepLines w:val="0"/>
              <w:suppressLineNumbers w:val="0"/>
              <w:autoSpaceDE w:val="0"/>
              <w:autoSpaceDN w:val="0"/>
              <w:spacing w:before="0" w:beforeAutospacing="0" w:after="0" w:afterAutospacing="0" w:line="520" w:lineRule="exact"/>
              <w:ind w:left="0" w:right="0" w:firstLine="540" w:firstLineChars="225"/>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项目运营期，在采取环评提出的各项废气治理措施后，废气均得到妥善处理，对周围环境影响较小。</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（2）水环境</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项目废水主要是清洗废水和职工生活污水。</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项目定员54人，不涉及食宿，则生活废水产生量为573.78m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/a，维修基地设化粪池（30m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），生活污水依托维修基地现有化粪池预处理后，进入咸阳机场污水处理厂。项目飞机</w:t>
            </w:r>
            <w:r>
              <w:rPr>
                <w:rFonts w:hint="eastAsia"/>
                <w:color w:val="000000" w:themeColor="text1"/>
                <w:sz w:val="24"/>
                <w14:textFill>
                  <w14:solidFill>
                    <w14:schemeClr w14:val="tx1"/>
                  </w14:solidFill>
                </w14:textFill>
              </w:rPr>
              <w:t>清洗量为</w:t>
            </w:r>
            <w:r>
              <w:rPr>
                <w:rFonts w:hint="default"/>
                <w:color w:val="000000" w:themeColor="text1"/>
                <w:sz w:val="24"/>
                <w14:textFill>
                  <w14:solidFill>
                    <w14:schemeClr w14:val="tx1"/>
                  </w14:solidFill>
                </w14:textFill>
              </w:rPr>
              <w:t>18架次/年，则清洗废水产生量为113.4m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rFonts w:hint="default"/>
                <w:color w:val="000000" w:themeColor="text1"/>
                <w:sz w:val="24"/>
                <w14:textFill>
                  <w14:solidFill>
                    <w14:schemeClr w14:val="tx1"/>
                  </w14:solidFill>
                </w14:textFill>
              </w:rPr>
              <w:t>311m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/d。清洗废水经水泵抽至过滤桶，过滤桶内设过滤网，将过滤棉放置过滤网上，废水经过滤棉过滤后通过官网排至咸阳机场污水处理厂。</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（3）声环境</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本项目主要噪声源为泵及风机运行时产生的噪声，噪声值范围在70～90dB(A)之间。建设单位拟采取选取机库密闭、隔声减振等措施。经预测，采取上述降噪措施后，本项目各厂界噪声贡献值均符合《工业企业厂界环境噪声排放标准》（GB12348-2008）中的3类标准限值要求，不会对周边声环境产生明显影响。</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（4）固体废物</w:t>
            </w:r>
          </w:p>
          <w:p>
            <w:pPr>
              <w:keepNext w:val="0"/>
              <w:keepLines w:val="0"/>
              <w:suppressLineNumbers w:val="0"/>
              <w:tabs>
                <w:tab w:val="left" w:pos="1440"/>
                <w:tab w:val="left" w:pos="1800"/>
              </w:tabs>
              <w:adjustRightInd w:val="0"/>
              <w:snapToGrid w:val="0"/>
              <w:spacing w:before="0" w:beforeAutospacing="0" w:after="0" w:afterAutospacing="0" w:line="520" w:lineRule="exact"/>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项目维修过程中的废旧零部件、废旧包装盒经收集后统一外售。</w:t>
            </w:r>
            <w:r>
              <w:rPr>
                <w:rFonts w:hint="default"/>
                <w:color w:val="000000" w:themeColor="text1"/>
                <w:spacing w:val="4"/>
                <w:sz w:val="24"/>
                <w14:textFill>
                  <w14:solidFill>
                    <w14:schemeClr w14:val="tx1"/>
                  </w14:solidFill>
                </w14:textFill>
              </w:rPr>
              <w:t>厂区</w:t>
            </w:r>
            <w:r>
              <w:rPr>
                <w:rFonts w:hint="default"/>
                <w:color w:val="000000" w:themeColor="text1"/>
                <w:sz w:val="24"/>
                <w14:textFill>
                  <w14:solidFill>
                    <w14:schemeClr w14:val="tx1"/>
                  </w14:solidFill>
                </w14:textFill>
              </w:rPr>
              <w:t>生活垃圾产生量为9.855t/a，统一交由环卫部门处置。项目废有机溶剂桶属于危险废物HW49，代码为900-041-49；飞机维修时产生的废机油以及沾染机油的废抹布、手套等属于危险废物HW08，代码为900-214-08；项目清洗废水经过滤棉预处理后排入机场污水处理厂，废过滤棉（含杂质）属于危险废物HW08，代码为900-210-08；项目喷漆漆雾处理</w:t>
            </w:r>
            <w:r>
              <w:rPr>
                <w:rFonts w:hint="eastAsia"/>
                <w:color w:val="000000" w:themeColor="text1"/>
                <w:sz w:val="24"/>
                <w14:textFill>
                  <w14:solidFill>
                    <w14:schemeClr w14:val="tx1"/>
                  </w14:solidFill>
                </w14:textFill>
              </w:rPr>
              <w:t>过程中</w:t>
            </w:r>
            <w:r>
              <w:rPr>
                <w:rFonts w:hint="default"/>
                <w:color w:val="000000" w:themeColor="text1"/>
                <w:sz w:val="24"/>
                <w14:textFill>
                  <w14:solidFill>
                    <w14:schemeClr w14:val="tx1"/>
                  </w14:solidFill>
                </w14:textFill>
              </w:rPr>
              <w:t>产生的废</w:t>
            </w:r>
            <w:r>
              <w:rPr>
                <w:rFonts w:hint="eastAsia"/>
                <w:color w:val="000000" w:themeColor="text1"/>
                <w:sz w:val="24"/>
                <w14:textFill>
                  <w14:solidFill>
                    <w14:schemeClr w14:val="tx1"/>
                  </w14:solidFill>
                </w14:textFill>
              </w:rPr>
              <w:t>滤芯</w:t>
            </w:r>
            <w:r>
              <w:rPr>
                <w:rFonts w:hint="default"/>
                <w:color w:val="000000" w:themeColor="text1"/>
                <w:sz w:val="24"/>
                <w14:textFill>
                  <w14:solidFill>
                    <w14:schemeClr w14:val="tx1"/>
                  </w14:solidFill>
                </w14:textFill>
              </w:rPr>
              <w:t>（含漆渣）</w:t>
            </w:r>
            <w:r>
              <w:rPr>
                <w:rFonts w:hint="eastAsia"/>
                <w:color w:val="000000" w:themeColor="text1"/>
                <w:sz w:val="24"/>
                <w14:textFill>
                  <w14:solidFill>
                    <w14:schemeClr w14:val="tx1"/>
                  </w14:solidFill>
                </w14:textFill>
              </w:rPr>
              <w:t>和</w:t>
            </w:r>
            <w:r>
              <w:rPr>
                <w:rFonts w:hint="default"/>
                <w:color w:val="000000" w:themeColor="text1"/>
                <w:sz w:val="24"/>
                <w14:textFill>
                  <w14:solidFill>
                    <w14:schemeClr w14:val="tx1"/>
                  </w14:solidFill>
                </w14:textFill>
              </w:rPr>
              <w:t>打磨粉尘处理过程产生的废滤芯</w:t>
            </w:r>
            <w:r>
              <w:rPr>
                <w:rFonts w:hint="eastAsia"/>
                <w:color w:val="000000" w:themeColor="text1"/>
                <w:sz w:val="24"/>
                <w14:textFill>
                  <w14:solidFill>
                    <w14:schemeClr w14:val="tx1"/>
                  </w14:solidFill>
                </w14:textFill>
              </w:rPr>
              <w:t>（含漆粉尘）</w:t>
            </w:r>
            <w:r>
              <w:rPr>
                <w:rFonts w:hint="default"/>
                <w:color w:val="000000" w:themeColor="text1"/>
                <w:sz w:val="24"/>
                <w14:textFill>
                  <w14:solidFill>
                    <w14:schemeClr w14:val="tx1"/>
                  </w14:solidFill>
                </w14:textFill>
              </w:rPr>
              <w:t>属于危险废物HW12，代码为900-251-12；项目废活性炭属于危险废物HW49，代码为900-041-49，所有危险废物</w:t>
            </w:r>
            <w:r>
              <w:rPr>
                <w:rFonts w:hint="default"/>
                <w:color w:val="000000" w:themeColor="text1"/>
                <w:sz w:val="24"/>
                <w14:textFill>
                  <w14:solidFill>
                    <w14:schemeClr w14:val="tx1"/>
                  </w14:solidFill>
                </w14:textFill>
              </w:rPr>
              <w:t>要求按照《危险废物贮存污染控制标准》（GB18597-2001）及其修改单中相关规定进行临时储存，本项目依托维修基地危废暂存设施暂存后，统一交由有资质单位处理。</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综上所述，本项目所产生的各类固体废物均可得到妥善处置，不会对周围环境产生二次污染，对环境影响很小。</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5</w:t>
            </w:r>
            <w:r>
              <w:rPr>
                <w:rFonts w:hint="default"/>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土壤环境</w:t>
            </w:r>
          </w:p>
          <w:p>
            <w:pPr>
              <w:keepNext w:val="0"/>
              <w:keepLines w:val="0"/>
              <w:suppressLineNumbers w:val="0"/>
              <w:adjustRightInd w:val="0"/>
              <w:snapToGrid w:val="0"/>
              <w:spacing w:before="0" w:beforeAutospacing="0" w:after="0" w:afterAutospacing="0" w:line="520" w:lineRule="exact"/>
              <w:ind w:left="0" w:right="0" w:firstLine="480" w:firstLineChars="200"/>
              <w:rPr>
                <w:rFonts w:hint="default"/>
                <w:color w:val="000000" w:themeColor="text1"/>
                <w:kern w:val="0"/>
                <w:sz w:val="24"/>
                <w:szCs w:val="24"/>
                <w14:textFill>
                  <w14:solidFill>
                    <w14:schemeClr w14:val="tx1"/>
                  </w14:solidFill>
                </w14:textFill>
              </w:rPr>
            </w:pPr>
            <w:r>
              <w:rPr>
                <w:rFonts w:hint="default" w:ascii="宋体" w:hAnsi="宋体"/>
                <w:color w:val="000000" w:themeColor="text1"/>
                <w:kern w:val="0"/>
                <w:sz w:val="24"/>
                <w:szCs w:val="24"/>
                <w14:textFill>
                  <w14:solidFill>
                    <w14:schemeClr w14:val="tx1"/>
                  </w14:solidFill>
                </w14:textFill>
              </w:rPr>
              <w:t>项目运营过程中，项目所在区域均采用</w:t>
            </w:r>
            <w:r>
              <w:rPr>
                <w:rFonts w:hint="eastAsia" w:ascii="宋体" w:hAnsi="宋体"/>
                <w:color w:val="000000" w:themeColor="text1"/>
                <w:kern w:val="0"/>
                <w:sz w:val="24"/>
                <w:szCs w:val="24"/>
                <w14:textFill>
                  <w14:solidFill>
                    <w14:schemeClr w14:val="tx1"/>
                  </w14:solidFill>
                </w14:textFill>
              </w:rPr>
              <w:t>硬化</w:t>
            </w:r>
            <w:r>
              <w:rPr>
                <w:rFonts w:hint="default" w:ascii="宋体" w:hAnsi="宋体"/>
                <w:color w:val="000000" w:themeColor="text1"/>
                <w:kern w:val="0"/>
                <w:sz w:val="24"/>
                <w:szCs w:val="24"/>
                <w14:textFill>
                  <w14:solidFill>
                    <w14:schemeClr w14:val="tx1"/>
                  </w14:solidFill>
                </w14:textFill>
              </w:rPr>
              <w:t>地面，水土流失量小</w:t>
            </w:r>
            <w:r>
              <w:rPr>
                <w:rFonts w:hint="eastAsia" w:ascii="宋体" w:hAnsi="宋体"/>
                <w:color w:val="000000" w:themeColor="text1"/>
                <w:kern w:val="0"/>
                <w:sz w:val="24"/>
                <w:szCs w:val="24"/>
                <w14:textFill>
                  <w14:solidFill>
                    <w14:schemeClr w14:val="tx1"/>
                  </w14:solidFill>
                </w14:textFill>
              </w:rPr>
              <w:t>，</w:t>
            </w:r>
            <w:r>
              <w:rPr>
                <w:rFonts w:hint="default" w:ascii="宋体" w:hAnsi="宋体"/>
                <w:color w:val="000000" w:themeColor="text1"/>
                <w:kern w:val="0"/>
                <w:sz w:val="24"/>
                <w:szCs w:val="24"/>
                <w14:textFill>
                  <w14:solidFill>
                    <w14:schemeClr w14:val="tx1"/>
                  </w14:solidFill>
                </w14:textFill>
              </w:rPr>
              <w:t>基本无渗漏。</w:t>
            </w:r>
            <w:r>
              <w:rPr>
                <w:rFonts w:hint="eastAsia" w:ascii="宋体" w:hAnsi="宋体"/>
                <w:color w:val="000000" w:themeColor="text1"/>
                <w:kern w:val="0"/>
                <w:sz w:val="24"/>
                <w:szCs w:val="24"/>
                <w14:textFill>
                  <w14:solidFill>
                    <w14:schemeClr w14:val="tx1"/>
                  </w14:solidFill>
                </w14:textFill>
              </w:rPr>
              <w:t>本项目</w:t>
            </w:r>
            <w:r>
              <w:rPr>
                <w:rFonts w:hint="default" w:ascii="宋体" w:hAnsi="宋体"/>
                <w:color w:val="000000" w:themeColor="text1"/>
                <w:kern w:val="0"/>
                <w:sz w:val="24"/>
                <w:szCs w:val="24"/>
                <w14:textFill>
                  <w14:solidFill>
                    <w14:schemeClr w14:val="tx1"/>
                  </w14:solidFill>
                </w14:textFill>
              </w:rPr>
              <w:t>对土壤环境的影响主要为大气沉降，</w:t>
            </w:r>
            <w:r>
              <w:rPr>
                <w:rFonts w:hint="eastAsia" w:ascii="宋体" w:hAnsi="宋体"/>
                <w:color w:val="000000" w:themeColor="text1"/>
                <w:kern w:val="0"/>
                <w:sz w:val="24"/>
                <w:szCs w:val="24"/>
                <w14:textFill>
                  <w14:solidFill>
                    <w14:schemeClr w14:val="tx1"/>
                  </w14:solidFill>
                </w14:textFill>
              </w:rPr>
              <w:t>经</w:t>
            </w:r>
            <w:r>
              <w:rPr>
                <w:rFonts w:hint="default" w:ascii="宋体" w:hAnsi="宋体"/>
                <w:color w:val="000000" w:themeColor="text1"/>
                <w:kern w:val="0"/>
                <w:sz w:val="24"/>
                <w:szCs w:val="24"/>
                <w14:textFill>
                  <w14:solidFill>
                    <w14:schemeClr w14:val="tx1"/>
                  </w14:solidFill>
                </w14:textFill>
              </w:rPr>
              <w:t>监测</w:t>
            </w:r>
            <w:r>
              <w:rPr>
                <w:rFonts w:hint="eastAsia" w:ascii="宋体" w:hAnsi="宋体"/>
                <w:color w:val="000000" w:themeColor="text1"/>
                <w:kern w:val="0"/>
                <w:sz w:val="24"/>
                <w:szCs w:val="24"/>
                <w14:textFill>
                  <w14:solidFill>
                    <w14:schemeClr w14:val="tx1"/>
                  </w14:solidFill>
                </w14:textFill>
              </w:rPr>
              <w:t>并</w:t>
            </w:r>
            <w:r>
              <w:rPr>
                <w:rFonts w:hint="default" w:ascii="宋体" w:hAnsi="宋体"/>
                <w:color w:val="000000" w:themeColor="text1"/>
                <w:kern w:val="0"/>
                <w:sz w:val="24"/>
                <w:szCs w:val="24"/>
                <w14:textFill>
                  <w14:solidFill>
                    <w14:schemeClr w14:val="tx1"/>
                  </w14:solidFill>
                </w14:textFill>
              </w:rPr>
              <w:t>预测，监测结果</w:t>
            </w:r>
            <w:r>
              <w:rPr>
                <w:rFonts w:hint="eastAsia" w:ascii="宋体" w:hAnsi="宋体"/>
                <w:color w:val="000000" w:themeColor="text1"/>
                <w:kern w:val="0"/>
                <w:sz w:val="24"/>
                <w:szCs w:val="24"/>
                <w14:textFill>
                  <w14:solidFill>
                    <w14:schemeClr w14:val="tx1"/>
                  </w14:solidFill>
                </w14:textFill>
              </w:rPr>
              <w:t>和</w:t>
            </w:r>
            <w:r>
              <w:rPr>
                <w:rFonts w:hint="default" w:ascii="宋体" w:hAnsi="宋体"/>
                <w:color w:val="000000" w:themeColor="text1"/>
                <w:kern w:val="0"/>
                <w:sz w:val="24"/>
                <w:szCs w:val="24"/>
                <w14:textFill>
                  <w14:solidFill>
                    <w14:schemeClr w14:val="tx1"/>
                  </w14:solidFill>
                </w14:textFill>
              </w:rPr>
              <w:t>预测结果均满足《土壤环境质量</w:t>
            </w:r>
            <w:r>
              <w:rPr>
                <w:rFonts w:hint="default"/>
                <w:color w:val="000000" w:themeColor="text1"/>
                <w:kern w:val="0"/>
                <w:sz w:val="24"/>
                <w:szCs w:val="24"/>
                <w14:textFill>
                  <w14:solidFill>
                    <w14:schemeClr w14:val="tx1"/>
                  </w14:solidFill>
                </w14:textFill>
              </w:rPr>
              <w:t xml:space="preserve"> </w:t>
            </w:r>
            <w:r>
              <w:rPr>
                <w:rFonts w:hint="default" w:ascii="宋体" w:hAnsi="宋体"/>
                <w:color w:val="000000" w:themeColor="text1"/>
                <w:kern w:val="0"/>
                <w:sz w:val="24"/>
                <w:szCs w:val="24"/>
                <w14:textFill>
                  <w14:solidFill>
                    <w14:schemeClr w14:val="tx1"/>
                  </w14:solidFill>
                </w14:textFill>
              </w:rPr>
              <w:t>建设用地土壤污染风险管控标准》（</w:t>
            </w:r>
            <w:r>
              <w:rPr>
                <w:rFonts w:hint="default"/>
                <w:color w:val="000000" w:themeColor="text1"/>
                <w:kern w:val="0"/>
                <w:sz w:val="24"/>
                <w:szCs w:val="24"/>
                <w14:textFill>
                  <w14:solidFill>
                    <w14:schemeClr w14:val="tx1"/>
                  </w14:solidFill>
                </w14:textFill>
              </w:rPr>
              <w:t>GB36600-2018</w:t>
            </w:r>
            <w:r>
              <w:rPr>
                <w:rFonts w:hint="default" w:ascii="宋体" w:hAnsi="宋体"/>
                <w:color w:val="000000" w:themeColor="text1"/>
                <w:kern w:val="0"/>
                <w:sz w:val="24"/>
                <w:szCs w:val="24"/>
                <w14:textFill>
                  <w14:solidFill>
                    <w14:schemeClr w14:val="tx1"/>
                  </w14:solidFill>
                </w14:textFill>
              </w:rPr>
              <w:t>）中第二类用地筛选值标准要求</w:t>
            </w:r>
            <w:r>
              <w:rPr>
                <w:rFonts w:hint="eastAsia" w:ascii="宋体" w:hAnsi="宋体"/>
                <w:color w:val="000000" w:themeColor="text1"/>
                <w:kern w:val="0"/>
                <w:sz w:val="24"/>
                <w:szCs w:val="24"/>
                <w14:textFill>
                  <w14:solidFill>
                    <w14:schemeClr w14:val="tx1"/>
                  </w14:solidFill>
                </w14:textFill>
              </w:rPr>
              <w:t>。要求</w:t>
            </w:r>
            <w:r>
              <w:rPr>
                <w:rFonts w:hint="default" w:ascii="宋体" w:hAnsi="宋体"/>
                <w:color w:val="000000" w:themeColor="text1"/>
                <w:kern w:val="0"/>
                <w:sz w:val="24"/>
                <w:szCs w:val="24"/>
                <w14:textFill>
                  <w14:solidFill>
                    <w14:schemeClr w14:val="tx1"/>
                  </w14:solidFill>
                </w14:textFill>
              </w:rPr>
              <w:t>厂区</w:t>
            </w:r>
            <w:r>
              <w:rPr>
                <w:rFonts w:hint="eastAsia" w:ascii="宋体" w:hAnsi="宋体"/>
                <w:color w:val="000000" w:themeColor="text1"/>
                <w:kern w:val="0"/>
                <w:sz w:val="24"/>
                <w:szCs w:val="24"/>
                <w14:textFill>
                  <w14:solidFill>
                    <w14:schemeClr w14:val="tx1"/>
                  </w14:solidFill>
                </w14:textFill>
              </w:rPr>
              <w:t>加强</w:t>
            </w:r>
            <w:r>
              <w:rPr>
                <w:rFonts w:hint="default" w:ascii="宋体" w:hAnsi="宋体"/>
                <w:color w:val="000000" w:themeColor="text1"/>
                <w:kern w:val="0"/>
                <w:sz w:val="24"/>
                <w:szCs w:val="24"/>
                <w14:textFill>
                  <w14:solidFill>
                    <w14:schemeClr w14:val="tx1"/>
                  </w14:solidFill>
                </w14:textFill>
              </w:rPr>
              <w:t>绿化，定期检修</w:t>
            </w:r>
            <w:r>
              <w:rPr>
                <w:rFonts w:hint="eastAsia" w:ascii="宋体" w:hAnsi="宋体"/>
                <w:color w:val="000000" w:themeColor="text1"/>
                <w:kern w:val="0"/>
                <w:sz w:val="24"/>
                <w:szCs w:val="24"/>
                <w14:textFill>
                  <w14:solidFill>
                    <w14:schemeClr w14:val="tx1"/>
                  </w14:solidFill>
                </w14:textFill>
              </w:rPr>
              <w:t>维护</w:t>
            </w:r>
            <w:r>
              <w:rPr>
                <w:rFonts w:hint="default" w:ascii="宋体" w:hAnsi="宋体"/>
                <w:color w:val="000000" w:themeColor="text1"/>
                <w:kern w:val="0"/>
                <w:sz w:val="24"/>
                <w:szCs w:val="24"/>
                <w14:textFill>
                  <w14:solidFill>
                    <w14:schemeClr w14:val="tx1"/>
                  </w14:solidFill>
                </w14:textFill>
              </w:rPr>
              <w:t>环保设备，生产区</w:t>
            </w:r>
            <w:r>
              <w:rPr>
                <w:rFonts w:hint="eastAsia" w:ascii="宋体" w:hAnsi="宋体"/>
                <w:color w:val="000000" w:themeColor="text1"/>
                <w:kern w:val="0"/>
                <w:sz w:val="24"/>
                <w:szCs w:val="24"/>
                <w14:textFill>
                  <w14:solidFill>
                    <w14:schemeClr w14:val="tx1"/>
                  </w14:solidFill>
                </w14:textFill>
              </w:rPr>
              <w:t>危废暂存间</w:t>
            </w:r>
            <w:r>
              <w:rPr>
                <w:rFonts w:hint="default" w:ascii="宋体" w:hAnsi="宋体"/>
                <w:color w:val="000000" w:themeColor="text1"/>
                <w:kern w:val="0"/>
                <w:sz w:val="24"/>
                <w:szCs w:val="24"/>
                <w14:textFill>
                  <w14:solidFill>
                    <w14:schemeClr w14:val="tx1"/>
                  </w14:solidFill>
                </w14:textFill>
              </w:rPr>
              <w:t>做好防渗处理</w:t>
            </w:r>
            <w:r>
              <w:rPr>
                <w:rFonts w:hint="eastAsia" w:ascii="宋体" w:hAnsi="宋体"/>
                <w:color w:val="000000" w:themeColor="text1"/>
                <w:kern w:val="0"/>
                <w:sz w:val="24"/>
                <w:szCs w:val="24"/>
                <w14:textFill>
                  <w14:solidFill>
                    <w14:schemeClr w14:val="tx1"/>
                  </w14:solidFill>
                </w14:textFill>
              </w:rPr>
              <w:t>，</w:t>
            </w:r>
            <w:r>
              <w:rPr>
                <w:rFonts w:hint="default" w:ascii="宋体" w:hAnsi="宋体"/>
                <w:color w:val="000000" w:themeColor="text1"/>
                <w:kern w:val="0"/>
                <w:sz w:val="24"/>
                <w:szCs w:val="24"/>
                <w14:textFill>
                  <w14:solidFill>
                    <w14:schemeClr w14:val="tx1"/>
                  </w14:solidFill>
                </w14:textFill>
              </w:rPr>
              <w:t>同时落实跟踪监测。</w:t>
            </w:r>
            <w:r>
              <w:rPr>
                <w:rFonts w:hint="eastAsia" w:ascii="宋体" w:hAnsi="宋体"/>
                <w:color w:val="000000" w:themeColor="text1"/>
                <w:kern w:val="0"/>
                <w:sz w:val="24"/>
                <w:szCs w:val="24"/>
                <w14:textFill>
                  <w14:solidFill>
                    <w14:schemeClr w14:val="tx1"/>
                  </w14:solidFill>
                </w14:textFill>
              </w:rPr>
              <w:t>从土壤环境影响的角度，项目建设可行。</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6）环境风险</w:t>
            </w:r>
          </w:p>
          <w:p>
            <w:pPr>
              <w:keepNext w:val="0"/>
              <w:keepLines w:val="0"/>
              <w:suppressLineNumbers w:val="0"/>
              <w:spacing w:before="0" w:beforeAutospacing="0" w:after="0" w:afterAutospacing="0" w:line="520" w:lineRule="exact"/>
              <w:ind w:left="0" w:right="0" w:firstLine="480" w:firstLineChars="200"/>
              <w:rPr>
                <w:rFonts w:hint="default"/>
                <w:color w:val="000000" w:themeColor="text1"/>
                <w:sz w:val="24"/>
                <w:szCs w:val="24"/>
                <w14:textFill>
                  <w14:solidFill>
                    <w14:schemeClr w14:val="tx1"/>
                  </w14:solidFill>
                </w14:textFill>
              </w:rPr>
            </w:pPr>
            <w:r>
              <w:rPr>
                <w:rFonts w:hint="default" w:ascii="宋体" w:hAnsi="宋体"/>
                <w:color w:val="000000" w:themeColor="text1"/>
                <w:sz w:val="24"/>
                <w:szCs w:val="24"/>
                <w14:textFill>
                  <w14:solidFill>
                    <w14:schemeClr w14:val="tx1"/>
                  </w14:solidFill>
                </w14:textFill>
              </w:rPr>
              <w:t>本项目事故风险属可接受水平。建设单位应采用严格的安全防范体系，完整管理规程、作业规章和应急计划，可最大限度地降低环境风险，一旦意外事件发生，也能最大限度地减少环境污染危害和人们生命财产的损失。根据众多同类工程实际情况，可以通过政府各有关职能部门加强监督指导，企业内部制定严格的管理条例和岗位责任制，加强职工的安全生产教育，提高风险意识，制定应急预案并定期进行演练，从而最大限度地减少可能发生的环境风险。</w:t>
            </w:r>
          </w:p>
          <w:p>
            <w:pPr>
              <w:keepNext w:val="0"/>
              <w:keepLines w:val="0"/>
              <w:widowControl/>
              <w:suppressLineNumbers w:val="0"/>
              <w:tabs>
                <w:tab w:val="center" w:pos="4538"/>
              </w:tabs>
              <w:spacing w:before="0" w:beforeAutospacing="0" w:after="0" w:afterAutospacing="0" w:line="460" w:lineRule="exact"/>
              <w:ind w:left="0" w:right="0" w:firstLine="482" w:firstLineChars="20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5、环境管理与监测</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建设项目应根据环境保护工作的要求，设置专门的环境保护管理机构和配备专职的环境保护管理人员，负责日常环境管理和环境监测工作。</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本项目污染物排放监测均委托有资质的单位进行，每年对厂界废气（有组织和无组织）进行2次监测，每年对各处理设施的出水口水质进行2次监测，每季度对厂界四周噪声进行1次监测。</w:t>
            </w:r>
          </w:p>
          <w:p>
            <w:pPr>
              <w:keepNext w:val="0"/>
              <w:keepLines w:val="0"/>
              <w:widowControl/>
              <w:suppressLineNumbers w:val="0"/>
              <w:tabs>
                <w:tab w:val="center" w:pos="4538"/>
              </w:tabs>
              <w:spacing w:before="0" w:beforeAutospacing="0" w:after="0" w:afterAutospacing="0" w:line="460" w:lineRule="exact"/>
              <w:ind w:left="0" w:right="0" w:firstLine="482" w:firstLineChars="200"/>
              <w:jc w:val="left"/>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6、环保投资</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本项目总投资750万元，其中环保投入</w:t>
            </w:r>
            <w:r>
              <w:rPr>
                <w:rFonts w:hint="eastAsia"/>
                <w:bCs/>
                <w:color w:val="000000" w:themeColor="text1"/>
                <w:sz w:val="24"/>
                <w14:textFill>
                  <w14:solidFill>
                    <w14:schemeClr w14:val="tx1"/>
                  </w14:solidFill>
                </w14:textFill>
              </w:rPr>
              <w:t>510</w:t>
            </w:r>
            <w:r>
              <w:rPr>
                <w:rFonts w:hint="default"/>
                <w:bCs/>
                <w:color w:val="000000" w:themeColor="text1"/>
                <w:sz w:val="24"/>
                <w14:textFill>
                  <w14:solidFill>
                    <w14:schemeClr w14:val="tx1"/>
                  </w14:solidFill>
                </w14:textFill>
              </w:rPr>
              <w:t>万元，占总投资的6</w:t>
            </w:r>
            <w:r>
              <w:rPr>
                <w:rFonts w:hint="eastAsia"/>
                <w:bCs/>
                <w:color w:val="000000" w:themeColor="text1"/>
                <w:sz w:val="24"/>
                <w14:textFill>
                  <w14:solidFill>
                    <w14:schemeClr w14:val="tx1"/>
                  </w14:solidFill>
                </w14:textFill>
              </w:rPr>
              <w:t>8</w:t>
            </w:r>
            <w:r>
              <w:rPr>
                <w:rFonts w:hint="default"/>
                <w:bCs/>
                <w:color w:val="000000" w:themeColor="text1"/>
                <w:sz w:val="24"/>
                <w14:textFill>
                  <w14:solidFill>
                    <w14:schemeClr w14:val="tx1"/>
                  </w14:solidFill>
                </w14:textFill>
              </w:rPr>
              <w:t>%，主要用于废水治理、废气治理设施、噪声防治、固体废物处理及后期环境监测管理、设备维护等。</w:t>
            </w:r>
          </w:p>
          <w:p>
            <w:pPr>
              <w:keepNext w:val="0"/>
              <w:keepLines w:val="0"/>
              <w:suppressLineNumbers w:val="0"/>
              <w:spacing w:before="0" w:beforeAutospacing="0" w:after="0" w:afterAutospacing="0" w:line="520" w:lineRule="exact"/>
              <w:ind w:left="0" w:right="0"/>
              <w:rPr>
                <w:rFonts w:hint="default" w:eastAsia="黑体"/>
                <w:color w:val="000000" w:themeColor="text1"/>
                <w:sz w:val="30"/>
                <w:szCs w:val="30"/>
                <w14:textFill>
                  <w14:solidFill>
                    <w14:schemeClr w14:val="tx1"/>
                  </w14:solidFill>
                </w14:textFill>
              </w:rPr>
            </w:pPr>
            <w:r>
              <w:rPr>
                <w:rFonts w:hint="default" w:eastAsia="黑体"/>
                <w:color w:val="000000" w:themeColor="text1"/>
                <w:sz w:val="30"/>
                <w:szCs w:val="30"/>
                <w14:textFill>
                  <w14:solidFill>
                    <w14:schemeClr w14:val="tx1"/>
                  </w14:solidFill>
                </w14:textFill>
              </w:rPr>
              <w:t>总结论</w:t>
            </w:r>
          </w:p>
          <w:p>
            <w:pPr>
              <w:pStyle w:val="5"/>
              <w:keepLines w:val="0"/>
              <w:suppressLineNumbers w:val="0"/>
              <w:spacing w:before="0" w:beforeAutospacing="0" w:after="0" w:afterAutospacing="0" w:line="520" w:lineRule="exact"/>
              <w:ind w:left="0" w:right="0" w:firstLine="480" w:firstLineChars="200"/>
              <w:rPr>
                <w:rFonts w:hint="default"/>
                <w:bCs/>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综上所述，</w:t>
            </w:r>
            <w:r>
              <w:rPr>
                <w:rFonts w:hint="default"/>
                <w:color w:val="000000" w:themeColor="text1"/>
                <w:kern w:val="0"/>
                <w:sz w:val="24"/>
                <w:szCs w:val="24"/>
                <w:lang w:val="zh-CN"/>
                <w14:textFill>
                  <w14:solidFill>
                    <w14:schemeClr w14:val="tx1"/>
                  </w14:solidFill>
                </w14:textFill>
              </w:rPr>
              <w:t>东方航空技术有限公司西北分公司1号机库改造项目</w:t>
            </w:r>
            <w:r>
              <w:rPr>
                <w:rFonts w:hint="default"/>
                <w:bCs/>
                <w:color w:val="000000" w:themeColor="text1"/>
                <w:sz w:val="24"/>
                <w14:textFill>
                  <w14:solidFill>
                    <w14:schemeClr w14:val="tx1"/>
                  </w14:solidFill>
                </w14:textFill>
              </w:rPr>
              <w:t>符合国家产业政策、环境保护政策，建设符合当地的环境保护要求和经济发展需要，符合用地规划。要求</w:t>
            </w:r>
            <w:r>
              <w:rPr>
                <w:rFonts w:hint="default"/>
                <w:bCs/>
                <w:color w:val="000000" w:themeColor="text1"/>
                <w:kern w:val="0"/>
                <w:sz w:val="24"/>
                <w:szCs w:val="24"/>
                <w:highlight w:val="none"/>
                <w14:textFill>
                  <w14:solidFill>
                    <w14:schemeClr w14:val="tx1"/>
                  </w14:solidFill>
                </w14:textFill>
              </w:rPr>
              <w:t>编制或者修订现有环境风险应急预案，并且定期进行演练，</w:t>
            </w:r>
            <w:r>
              <w:rPr>
                <w:rFonts w:hint="default"/>
                <w:bCs/>
                <w:color w:val="000000" w:themeColor="text1"/>
                <w:sz w:val="24"/>
                <w14:textFill>
                  <w14:solidFill>
                    <w14:schemeClr w14:val="tx1"/>
                  </w14:solidFill>
                </w14:textFill>
              </w:rPr>
              <w:t>本项目在采取报告表提出的各项污染防治后，各污染物得到了有效控制，对环境的影响不大，从环境保护角度分析，项目的建设是可行的。</w:t>
            </w:r>
          </w:p>
          <w:p>
            <w:pPr>
              <w:keepNext w:val="0"/>
              <w:keepLines w:val="0"/>
              <w:suppressLineNumbers w:val="0"/>
              <w:spacing w:before="0" w:beforeAutospacing="0" w:after="0" w:afterAutospacing="0" w:line="520" w:lineRule="exact"/>
              <w:ind w:left="0" w:right="0"/>
              <w:rPr>
                <w:rFonts w:hint="default" w:eastAsia="黑体"/>
                <w:color w:val="000000" w:themeColor="text1"/>
                <w:sz w:val="30"/>
                <w:szCs w:val="30"/>
                <w14:textFill>
                  <w14:solidFill>
                    <w14:schemeClr w14:val="tx1"/>
                  </w14:solidFill>
                </w14:textFill>
              </w:rPr>
            </w:pPr>
            <w:r>
              <w:rPr>
                <w:rFonts w:hint="default" w:eastAsia="黑体"/>
                <w:color w:val="000000" w:themeColor="text1"/>
                <w:sz w:val="30"/>
                <w:szCs w:val="30"/>
                <w14:textFill>
                  <w14:solidFill>
                    <w14:schemeClr w14:val="tx1"/>
                  </w14:solidFill>
                </w14:textFill>
              </w:rPr>
              <w:t>要求与建议</w:t>
            </w:r>
          </w:p>
          <w:p>
            <w:pPr>
              <w:keepNext w:val="0"/>
              <w:keepLines w:val="0"/>
              <w:suppressLineNumbers w:val="0"/>
              <w:spacing w:before="0" w:beforeAutospacing="0" w:after="0" w:afterAutospacing="0" w:line="460" w:lineRule="exact"/>
              <w:ind w:left="0" w:right="0" w:firstLine="482" w:firstLineChars="200"/>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1、要求</w:t>
            </w:r>
          </w:p>
          <w:p>
            <w:pPr>
              <w:keepNext w:val="0"/>
              <w:keepLines w:val="0"/>
              <w:suppressLineNumbers w:val="0"/>
              <w:autoSpaceDE w:val="0"/>
              <w:autoSpaceDN w:val="0"/>
              <w:spacing w:before="0" w:beforeAutospacing="0" w:after="0" w:afterAutospacing="0" w:line="460" w:lineRule="exact"/>
              <w:ind w:left="0" w:right="0" w:firstLine="480" w:firstLineChars="200"/>
              <w:rPr>
                <w:rFonts w:hint="default"/>
                <w:color w:val="000000" w:themeColor="text1"/>
                <w:kern w:val="0"/>
                <w:sz w:val="24"/>
                <w:szCs w:val="24"/>
                <w14:textFill>
                  <w14:solidFill>
                    <w14:schemeClr w14:val="tx1"/>
                  </w14:solidFill>
                </w14:textFill>
              </w:rPr>
            </w:pPr>
            <w:r>
              <w:rPr>
                <w:rFonts w:hint="default"/>
                <w:bCs/>
                <w:color w:val="000000" w:themeColor="text1"/>
                <w:kern w:val="0"/>
                <w:sz w:val="24"/>
                <w:szCs w:val="24"/>
                <w14:textFill>
                  <w14:solidFill>
                    <w14:schemeClr w14:val="tx1"/>
                  </w14:solidFill>
                </w14:textFill>
              </w:rPr>
              <w:t>（1）加强环境管理工作，</w:t>
            </w:r>
            <w:r>
              <w:rPr>
                <w:rFonts w:hint="default"/>
                <w:color w:val="000000" w:themeColor="text1"/>
                <w:kern w:val="0"/>
                <w:sz w:val="24"/>
                <w:szCs w:val="24"/>
                <w14:textFill>
                  <w14:solidFill>
                    <w14:schemeClr w14:val="tx1"/>
                  </w14:solidFill>
                </w14:textFill>
              </w:rPr>
              <w:t>建立一套完善的环保管理制度，制定专门的环境管理规章制度，加强环境保护工作的管理；</w:t>
            </w:r>
          </w:p>
          <w:p>
            <w:pPr>
              <w:pStyle w:val="9"/>
              <w:keepNext w:val="0"/>
              <w:keepLines w:val="0"/>
              <w:suppressLineNumbers w:val="0"/>
              <w:tabs>
                <w:tab w:val="left" w:pos="6880"/>
              </w:tabs>
              <w:autoSpaceDN w:val="0"/>
              <w:adjustRightInd w:val="0"/>
              <w:snapToGrid w:val="0"/>
              <w:spacing w:before="0" w:beforeAutospacing="0" w:after="0" w:afterAutospacing="0" w:line="46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kern w:val="0"/>
                <w:sz w:val="24"/>
                <w:szCs w:val="24"/>
                <w14:textFill>
                  <w14:solidFill>
                    <w14:schemeClr w14:val="tx1"/>
                  </w14:solidFill>
                </w14:textFill>
              </w:rPr>
              <w:t>（2）加强环保设施日常管理，确保环保设施正常运转和污染物稳定达标排放</w:t>
            </w:r>
            <w:r>
              <w:rPr>
                <w:rFonts w:hint="default"/>
                <w:color w:val="000000" w:themeColor="text1"/>
                <w:sz w:val="24"/>
                <w:szCs w:val="24"/>
                <w:lang w:val="en-GB"/>
                <w14:textFill>
                  <w14:solidFill>
                    <w14:schemeClr w14:val="tx1"/>
                  </w14:solidFill>
                </w14:textFill>
              </w:rPr>
              <w:t>；</w:t>
            </w:r>
          </w:p>
          <w:p>
            <w:pPr>
              <w:keepNext w:val="0"/>
              <w:keepLines w:val="0"/>
              <w:suppressLineNumbers w:val="0"/>
              <w:spacing w:before="0" w:beforeAutospacing="0" w:after="0" w:afterAutospacing="0" w:line="460" w:lineRule="exact"/>
              <w:ind w:left="0" w:right="0" w:firstLine="480" w:firstLineChars="200"/>
              <w:rPr>
                <w:rFonts w:hint="default"/>
                <w:bCs/>
                <w:color w:val="000000" w:themeColor="text1"/>
                <w:kern w:val="0"/>
                <w:sz w:val="24"/>
                <w:szCs w:val="24"/>
                <w14:textFill>
                  <w14:solidFill>
                    <w14:schemeClr w14:val="tx1"/>
                  </w14:solidFill>
                </w14:textFill>
              </w:rPr>
            </w:pPr>
            <w:r>
              <w:rPr>
                <w:rFonts w:hint="default"/>
                <w:bCs/>
                <w:color w:val="000000" w:themeColor="text1"/>
                <w:kern w:val="0"/>
                <w:sz w:val="24"/>
                <w:szCs w:val="24"/>
                <w14:textFill>
                  <w14:solidFill>
                    <w14:schemeClr w14:val="tx1"/>
                  </w14:solidFill>
                </w14:textFill>
              </w:rPr>
              <w:t>（3）</w:t>
            </w:r>
            <w:r>
              <w:rPr>
                <w:rFonts w:hint="default"/>
                <w:color w:val="000000" w:themeColor="text1"/>
                <w:kern w:val="0"/>
                <w:sz w:val="24"/>
                <w:szCs w:val="24"/>
                <w:lang w:val="zh-CN"/>
                <w14:textFill>
                  <w14:solidFill>
                    <w14:schemeClr w14:val="tx1"/>
                  </w14:solidFill>
                </w14:textFill>
              </w:rPr>
              <w:t>本项目应认真落实本报告提出的污染防治措施，积极配合当地环境保护管理部门的监督和管理</w:t>
            </w:r>
            <w:r>
              <w:rPr>
                <w:rFonts w:hint="default"/>
                <w:bCs/>
                <w:color w:val="000000" w:themeColor="text1"/>
                <w:kern w:val="0"/>
                <w:sz w:val="24"/>
                <w:szCs w:val="24"/>
                <w14:textFill>
                  <w14:solidFill>
                    <w14:schemeClr w14:val="tx1"/>
                  </w14:solidFill>
                </w14:textFill>
              </w:rPr>
              <w:t>；</w:t>
            </w:r>
          </w:p>
          <w:p>
            <w:pPr>
              <w:keepNext w:val="0"/>
              <w:keepLines w:val="0"/>
              <w:suppressLineNumbers w:val="0"/>
              <w:spacing w:before="0" w:beforeAutospacing="0" w:after="0" w:afterAutospacing="0" w:line="460" w:lineRule="exact"/>
              <w:ind w:left="0" w:right="0" w:firstLine="480" w:firstLineChars="200"/>
              <w:rPr>
                <w:rFonts w:hint="default"/>
                <w:color w:val="000000" w:themeColor="text1"/>
                <w:highlight w:val="none"/>
                <w:lang w:val="zh-CN"/>
                <w14:textFill>
                  <w14:solidFill>
                    <w14:schemeClr w14:val="tx1"/>
                  </w14:solidFill>
                </w14:textFill>
              </w:rPr>
            </w:pPr>
            <w:r>
              <w:rPr>
                <w:rFonts w:hint="default"/>
                <w:bCs/>
                <w:color w:val="000000" w:themeColor="text1"/>
                <w:kern w:val="0"/>
                <w:sz w:val="24"/>
                <w:szCs w:val="24"/>
                <w:highlight w:val="none"/>
                <w14:textFill>
                  <w14:solidFill>
                    <w14:schemeClr w14:val="tx1"/>
                  </w14:solidFill>
                </w14:textFill>
              </w:rPr>
              <w:t>（4）项目建成后尽快办理竣工环境保护验收及排污许可证，编制或者修订现有环境风险应急预案，并且定期进行演练。</w:t>
            </w:r>
          </w:p>
          <w:p>
            <w:pPr>
              <w:keepNext w:val="0"/>
              <w:keepLines w:val="0"/>
              <w:suppressLineNumbers w:val="0"/>
              <w:spacing w:before="0" w:beforeAutospacing="0" w:after="0" w:afterAutospacing="0" w:line="460" w:lineRule="exact"/>
              <w:ind w:left="0" w:right="0" w:firstLine="482" w:firstLineChars="200"/>
              <w:rPr>
                <w:rFonts w:hint="default"/>
                <w:b/>
                <w:color w:val="000000" w:themeColor="text1"/>
                <w:kern w:val="0"/>
                <w:sz w:val="24"/>
                <w:szCs w:val="24"/>
                <w:lang w:val="zh-CN"/>
                <w14:textFill>
                  <w14:solidFill>
                    <w14:schemeClr w14:val="tx1"/>
                  </w14:solidFill>
                </w14:textFill>
              </w:rPr>
            </w:pPr>
            <w:r>
              <w:rPr>
                <w:rFonts w:hint="default"/>
                <w:b/>
                <w:color w:val="000000" w:themeColor="text1"/>
                <w:kern w:val="0"/>
                <w:sz w:val="24"/>
                <w:szCs w:val="24"/>
                <w:lang w:val="zh-CN"/>
                <w14:textFill>
                  <w14:solidFill>
                    <w14:schemeClr w14:val="tx1"/>
                  </w14:solidFill>
                </w14:textFill>
              </w:rPr>
              <w:t>2、建议</w:t>
            </w:r>
          </w:p>
          <w:p>
            <w:pPr>
              <w:keepNext w:val="0"/>
              <w:keepLines w:val="0"/>
              <w:suppressLineNumbers w:val="0"/>
              <w:autoSpaceDN w:val="0"/>
              <w:spacing w:before="0" w:beforeAutospacing="0" w:after="0" w:afterAutospacing="0" w:line="46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w:t>
            </w:r>
            <w:r>
              <w:rPr>
                <w:rFonts w:hint="default"/>
                <w:color w:val="000000" w:themeColor="text1"/>
                <w:spacing w:val="-6"/>
                <w:sz w:val="24"/>
                <w:szCs w:val="24"/>
                <w14:textFill>
                  <w14:solidFill>
                    <w14:schemeClr w14:val="tx1"/>
                  </w14:solidFill>
                </w14:textFill>
              </w:rPr>
              <w:t>加强车间卫生与安全管理，减少污染和危险事故的发生；</w:t>
            </w:r>
          </w:p>
          <w:p>
            <w:pPr>
              <w:keepNext w:val="0"/>
              <w:keepLines w:val="0"/>
              <w:suppressLineNumbers w:val="0"/>
              <w:autoSpaceDN w:val="0"/>
              <w:spacing w:before="0" w:beforeAutospacing="0" w:after="0" w:afterAutospacing="0" w:line="460" w:lineRule="exact"/>
              <w:ind w:left="0" w:right="0" w:firstLine="456" w:firstLineChars="200"/>
              <w:rPr>
                <w:rFonts w:hint="default"/>
                <w:color w:val="000000" w:themeColor="text1"/>
                <w:sz w:val="24"/>
                <w:szCs w:val="24"/>
                <w14:textFill>
                  <w14:solidFill>
                    <w14:schemeClr w14:val="tx1"/>
                  </w14:solidFill>
                </w14:textFill>
              </w:rPr>
            </w:pPr>
            <w:r>
              <w:rPr>
                <w:rFonts w:hint="default"/>
                <w:color w:val="000000" w:themeColor="text1"/>
                <w:spacing w:val="-6"/>
                <w:sz w:val="24"/>
                <w:szCs w:val="24"/>
                <w14:textFill>
                  <w14:solidFill>
                    <w14:schemeClr w14:val="tx1"/>
                  </w14:solidFill>
                </w14:textFill>
              </w:rPr>
              <w:t>（2）</w:t>
            </w:r>
            <w:r>
              <w:rPr>
                <w:rFonts w:hint="default"/>
                <w:color w:val="000000" w:themeColor="text1"/>
                <w:sz w:val="24"/>
                <w:szCs w:val="24"/>
                <w14:textFill>
                  <w14:solidFill>
                    <w14:schemeClr w14:val="tx1"/>
                  </w14:solidFill>
                </w14:textFill>
              </w:rPr>
              <w:t>在加强企业管理的同时，建议提高环境保护意识，加强环境管理，提倡清洁文明生产；</w:t>
            </w:r>
          </w:p>
          <w:p>
            <w:pPr>
              <w:keepNext w:val="0"/>
              <w:keepLines w:val="0"/>
              <w:suppressLineNumbers w:val="0"/>
              <w:autoSpaceDN w:val="0"/>
              <w:spacing w:before="0" w:beforeAutospacing="0" w:after="0" w:afterAutospacing="0" w:line="460" w:lineRule="exact"/>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（3）进一步加强对职工环境保护的宣传教育工作，提高全体员工的环保意识，做到环境保护、人人有责，落实到每个员工身上。</w:t>
            </w:r>
          </w:p>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tabs>
                <w:tab w:val="left" w:pos="915"/>
              </w:tabs>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tabs>
                <w:tab w:val="left" w:pos="915"/>
              </w:tabs>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tabs>
                <w:tab w:val="left" w:pos="915"/>
              </w:tabs>
              <w:spacing w:before="0" w:beforeAutospacing="0" w:after="0" w:afterAutospacing="0"/>
              <w:ind w:left="0" w:right="0"/>
              <w:rPr>
                <w:rFonts w:hint="default"/>
                <w:color w:val="000000" w:themeColor="text1"/>
                <w:sz w:val="24"/>
                <w:szCs w:val="24"/>
                <w14:textFill>
                  <w14:solidFill>
                    <w14:schemeClr w14:val="tx1"/>
                  </w14:solidFill>
                </w14:textFill>
              </w:rPr>
            </w:pPr>
          </w:p>
          <w:p>
            <w:pPr>
              <w:keepNext w:val="0"/>
              <w:keepLines w:val="0"/>
              <w:suppressLineNumbers w:val="0"/>
              <w:tabs>
                <w:tab w:val="left" w:pos="915"/>
              </w:tabs>
              <w:spacing w:before="0" w:beforeAutospacing="0" w:after="0" w:afterAutospacing="0"/>
              <w:ind w:left="0" w:right="0"/>
              <w:rPr>
                <w:rFonts w:hint="default"/>
                <w:color w:val="000000" w:themeColor="text1"/>
                <w:sz w:val="24"/>
                <w:szCs w:val="24"/>
                <w14:textFill>
                  <w14:solidFill>
                    <w14:schemeClr w14:val="tx1"/>
                  </w14:solidFill>
                </w14:textFill>
              </w:rPr>
            </w:pPr>
          </w:p>
        </w:tc>
      </w:tr>
    </w:tbl>
    <w:p>
      <w:pPr>
        <w:spacing w:line="0" w:lineRule="atLeast"/>
        <w:rPr>
          <w:sz w:val="10"/>
          <w:szCs w:val="10"/>
        </w:rPr>
        <w:sectPr>
          <w:headerReference r:id="rId8" w:type="first"/>
          <w:footerReference r:id="rId10" w:type="first"/>
          <w:footerReference r:id="rId9" w:type="default"/>
          <w:pgSz w:w="11906" w:h="16838"/>
          <w:pgMar w:top="1440" w:right="1287" w:bottom="1440" w:left="1440" w:header="851" w:footer="992" w:gutter="170"/>
          <w:pgBorders>
            <w:top w:val="none" w:sz="0" w:space="0"/>
            <w:left w:val="none" w:sz="0" w:space="0"/>
            <w:bottom w:val="none" w:sz="0" w:space="0"/>
            <w:right w:val="none" w:sz="0" w:space="0"/>
          </w:pgBorders>
          <w:cols w:space="720" w:num="1"/>
          <w:titlePg/>
          <w:docGrid w:type="lines" w:linePitch="382" w:charSpace="0"/>
        </w:sectPr>
      </w:pPr>
    </w:p>
    <w:p>
      <w:pPr>
        <w:spacing w:line="0" w:lineRule="atLeast"/>
        <w:rPr>
          <w:sz w:val="10"/>
          <w:szCs w:val="10"/>
        </w:rPr>
      </w:pPr>
      <w:r>
        <w:rPr>
          <w:sz w:val="10"/>
          <w:szCs w:val="10"/>
        </w:rPr>
        <w:t>　</w:t>
      </w:r>
    </w:p>
    <w:tbl>
      <w:tblPr>
        <w:tblStyle w:val="38"/>
        <w:tblW w:w="9225"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22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46" w:hRule="atLeast"/>
          <w:jc w:val="center"/>
        </w:trPr>
        <w:tc>
          <w:tcPr>
            <w:tcW w:w="9225" w:type="dxa"/>
            <w:vAlign w:val="center"/>
          </w:tcPr>
          <w:p>
            <w:pPr>
              <w:pStyle w:val="13"/>
              <w:keepNext w:val="0"/>
              <w:keepLines w:val="0"/>
              <w:suppressLineNumbers w:val="0"/>
              <w:adjustRightInd w:val="0"/>
              <w:snapToGrid w:val="0"/>
              <w:spacing w:before="0" w:beforeAutospacing="0" w:after="0" w:afterAutospacing="0" w:line="500" w:lineRule="atLeast"/>
              <w:ind w:left="0" w:right="0"/>
              <w:jc w:val="left"/>
              <w:rPr>
                <w:rFonts w:hint="default" w:ascii="Times New Roman" w:hAnsi="Times New Roman" w:cs="Times New Roman"/>
                <w:b/>
                <w:bCs/>
                <w:szCs w:val="20"/>
              </w:rPr>
            </w:pPr>
            <w:r>
              <w:rPr>
                <w:rFonts w:hint="default" w:ascii="Times New Roman" w:hAnsi="Times New Roman" w:cs="Times New Roman"/>
                <w:b/>
                <w:bCs/>
                <w:szCs w:val="20"/>
              </w:rPr>
              <w:t>预审意见：</w:t>
            </w: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w:t>
            </w: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公  章</w:t>
            </w: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经办人：                               年    月   日</w:t>
            </w:r>
          </w:p>
          <w:p>
            <w:pPr>
              <w:keepNext w:val="0"/>
              <w:keepLines w:val="0"/>
              <w:suppressLineNumbers w:val="0"/>
              <w:spacing w:before="0" w:beforeAutospacing="0" w:after="0" w:afterAutospacing="0" w:line="500" w:lineRule="atLeast"/>
              <w:ind w:left="0" w:right="0"/>
              <w:rPr>
                <w:rFonts w:hint="default"/>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7230" w:hRule="atLeast"/>
          <w:jc w:val="center"/>
        </w:trPr>
        <w:tc>
          <w:tcPr>
            <w:tcW w:w="9225" w:type="dxa"/>
            <w:vAlign w:val="center"/>
          </w:tcPr>
          <w:p>
            <w:pPr>
              <w:pStyle w:val="13"/>
              <w:keepNext w:val="0"/>
              <w:keepLines w:val="0"/>
              <w:suppressLineNumbers w:val="0"/>
              <w:adjustRightInd w:val="0"/>
              <w:snapToGrid w:val="0"/>
              <w:spacing w:before="0" w:beforeAutospacing="0" w:after="0" w:afterAutospacing="0" w:line="500" w:lineRule="atLeast"/>
              <w:ind w:left="0" w:right="0"/>
              <w:jc w:val="left"/>
              <w:rPr>
                <w:rFonts w:hint="default" w:ascii="Times New Roman" w:hAnsi="Times New Roman" w:cs="Times New Roman"/>
                <w:b/>
                <w:bCs/>
                <w:szCs w:val="20"/>
              </w:rPr>
            </w:pPr>
            <w:r>
              <w:rPr>
                <w:rFonts w:hint="default" w:ascii="Times New Roman" w:hAnsi="Times New Roman" w:cs="Times New Roman"/>
                <w:b/>
                <w:bCs/>
                <w:szCs w:val="20"/>
              </w:rPr>
              <w:t>下一级环境保护行政主管部门审查意见：</w:t>
            </w:r>
          </w:p>
          <w:p>
            <w:pPr>
              <w:pStyle w:val="13"/>
              <w:keepNext w:val="0"/>
              <w:keepLines w:val="0"/>
              <w:suppressLineNumbers w:val="0"/>
              <w:adjustRightInd w:val="0"/>
              <w:snapToGrid w:val="0"/>
              <w:spacing w:before="0" w:beforeAutospacing="0" w:after="0" w:afterAutospacing="0" w:line="500" w:lineRule="atLeast"/>
              <w:ind w:left="0" w:right="0" w:firstLine="562" w:firstLineChars="200"/>
              <w:jc w:val="left"/>
              <w:rPr>
                <w:rFonts w:hint="default" w:ascii="Times New Roman" w:hAnsi="Times New Roman" w:cs="Times New Roman"/>
                <w:b/>
                <w:bCs/>
                <w:szCs w:val="20"/>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公  章</w:t>
            </w: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经办人：                             年    月    日</w:t>
            </w: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tc>
      </w:tr>
    </w:tbl>
    <w:p>
      <w:pPr>
        <w:pStyle w:val="13"/>
        <w:adjustRightInd w:val="0"/>
        <w:snapToGrid w:val="0"/>
        <w:spacing w:after="0" w:line="500" w:lineRule="atLeast"/>
        <w:jc w:val="left"/>
        <w:rPr>
          <w:rFonts w:ascii="Times New Roman" w:hAnsi="Times New Roman" w:cs="Times New Roman"/>
          <w:b/>
          <w:bCs/>
        </w:rPr>
        <w:sectPr>
          <w:footerReference r:id="rId12" w:type="first"/>
          <w:footerReference r:id="rId11" w:type="default"/>
          <w:pgSz w:w="11906" w:h="16838"/>
          <w:pgMar w:top="1440" w:right="1287" w:bottom="1440" w:left="1440" w:header="851" w:footer="992" w:gutter="170"/>
          <w:pgBorders>
            <w:top w:val="none" w:sz="0" w:space="0"/>
            <w:left w:val="none" w:sz="0" w:space="0"/>
            <w:bottom w:val="none" w:sz="0" w:space="0"/>
            <w:right w:val="none" w:sz="0" w:space="0"/>
          </w:pgBorders>
          <w:cols w:space="720" w:num="1"/>
          <w:titlePg/>
          <w:docGrid w:type="lines" w:linePitch="382" w:charSpace="0"/>
        </w:sectPr>
      </w:pPr>
    </w:p>
    <w:tbl>
      <w:tblPr>
        <w:tblStyle w:val="38"/>
        <w:tblW w:w="9225"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22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3745" w:hRule="atLeast"/>
          <w:jc w:val="center"/>
        </w:trPr>
        <w:tc>
          <w:tcPr>
            <w:tcW w:w="9225" w:type="dxa"/>
          </w:tcPr>
          <w:p>
            <w:pPr>
              <w:pStyle w:val="13"/>
              <w:keepNext w:val="0"/>
              <w:keepLines w:val="0"/>
              <w:suppressLineNumbers w:val="0"/>
              <w:adjustRightInd w:val="0"/>
              <w:snapToGrid w:val="0"/>
              <w:spacing w:before="0" w:beforeAutospacing="0" w:after="0" w:afterAutospacing="0" w:line="500" w:lineRule="atLeast"/>
              <w:ind w:left="0" w:right="0"/>
              <w:jc w:val="left"/>
              <w:rPr>
                <w:rFonts w:hint="default" w:ascii="Times New Roman" w:hAnsi="Times New Roman" w:cs="Times New Roman"/>
                <w:b/>
                <w:bCs/>
                <w:szCs w:val="20"/>
              </w:rPr>
            </w:pPr>
            <w:r>
              <w:rPr>
                <w:rFonts w:hint="default" w:ascii="Times New Roman" w:hAnsi="Times New Roman" w:cs="Times New Roman"/>
                <w:b/>
                <w:bCs/>
                <w:szCs w:val="20"/>
              </w:rPr>
              <w:t>审批意见：</w:t>
            </w: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bookmarkStart w:id="108" w:name="_GoBack"/>
            <w:bookmarkEnd w:id="108"/>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60" w:lineRule="atLeast"/>
              <w:ind w:left="0" w:right="0"/>
              <w:rPr>
                <w:rFonts w:hint="default"/>
                <w:sz w:val="24"/>
              </w:rPr>
            </w:pPr>
          </w:p>
          <w:p>
            <w:pPr>
              <w:keepNext w:val="0"/>
              <w:keepLines w:val="0"/>
              <w:suppressLineNumbers w:val="0"/>
              <w:spacing w:before="0" w:beforeAutospacing="0" w:after="0" w:afterAutospacing="0" w:line="560" w:lineRule="atLeast"/>
              <w:ind w:left="0" w:right="0"/>
              <w:rPr>
                <w:rFonts w:hint="default"/>
                <w:sz w:val="24"/>
              </w:rPr>
            </w:pPr>
          </w:p>
          <w:p>
            <w:pPr>
              <w:keepNext w:val="0"/>
              <w:keepLines w:val="0"/>
              <w:suppressLineNumbers w:val="0"/>
              <w:spacing w:before="0" w:beforeAutospacing="0" w:after="0" w:afterAutospacing="0" w:line="560" w:lineRule="atLeast"/>
              <w:ind w:left="0" w:right="0"/>
              <w:rPr>
                <w:rFonts w:hint="default"/>
                <w:sz w:val="24"/>
              </w:rPr>
            </w:pPr>
          </w:p>
          <w:p>
            <w:pPr>
              <w:keepNext w:val="0"/>
              <w:keepLines w:val="0"/>
              <w:suppressLineNumbers w:val="0"/>
              <w:spacing w:before="0" w:beforeAutospacing="0" w:after="0" w:afterAutospacing="0" w:line="560" w:lineRule="atLeast"/>
              <w:ind w:left="0" w:right="0"/>
              <w:rPr>
                <w:rFonts w:hint="default"/>
                <w:sz w:val="24"/>
              </w:rPr>
            </w:pPr>
          </w:p>
          <w:p>
            <w:pPr>
              <w:keepNext w:val="0"/>
              <w:keepLines w:val="0"/>
              <w:suppressLineNumbers w:val="0"/>
              <w:spacing w:before="0" w:beforeAutospacing="0" w:after="0" w:afterAutospacing="0" w:line="56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公   章</w:t>
            </w:r>
          </w:p>
          <w:p>
            <w:pPr>
              <w:keepNext w:val="0"/>
              <w:keepLines w:val="0"/>
              <w:suppressLineNumbers w:val="0"/>
              <w:spacing w:before="0" w:beforeAutospacing="0" w:after="0" w:afterAutospacing="0" w:line="500" w:lineRule="atLeast"/>
              <w:ind w:left="0" w:right="0"/>
              <w:rPr>
                <w:rFonts w:hint="default"/>
                <w:sz w:val="24"/>
              </w:rPr>
            </w:pPr>
            <w:r>
              <w:rPr>
                <w:rFonts w:hint="default"/>
                <w:sz w:val="24"/>
              </w:rPr>
              <w:t xml:space="preserve">        经办人：                              年    月    日</w:t>
            </w:r>
          </w:p>
          <w:p>
            <w:pPr>
              <w:keepNext w:val="0"/>
              <w:keepLines w:val="0"/>
              <w:suppressLineNumbers w:val="0"/>
              <w:spacing w:before="0" w:beforeAutospacing="0" w:after="0" w:afterAutospacing="0" w:line="600" w:lineRule="exact"/>
              <w:ind w:left="0" w:right="0"/>
              <w:rPr>
                <w:rFonts w:hint="default"/>
              </w:rPr>
            </w:pPr>
          </w:p>
        </w:tc>
      </w:tr>
    </w:tbl>
    <w:p>
      <w:pPr>
        <w:spacing w:line="0" w:lineRule="atLeast"/>
        <w:rPr>
          <w:sz w:val="10"/>
          <w:szCs w:val="10"/>
        </w:rPr>
      </w:pPr>
      <w:r>
        <w:rPr>
          <w:sz w:val="10"/>
          <w:szCs w:val="10"/>
        </w:rPr>
        <w:t>　　　</w:t>
      </w:r>
    </w:p>
    <w:sectPr>
      <w:footerReference r:id="rId14" w:type="first"/>
      <w:footerReference r:id="rId13" w:type="default"/>
      <w:pgSz w:w="11906" w:h="16838"/>
      <w:pgMar w:top="1440" w:right="1287" w:bottom="1440" w:left="1440" w:header="851" w:footer="992" w:gutter="170"/>
      <w:pgBorders>
        <w:top w:val="none" w:sz="0" w:space="0"/>
        <w:left w:val="none" w:sz="0" w:space="0"/>
        <w:bottom w:val="none" w:sz="0" w:space="0"/>
        <w:right w:val="none" w:sz="0" w:space="0"/>
      </w:pgBorders>
      <w:cols w:space="720" w:num="1"/>
      <w:docGrid w:type="lines" w:linePitch="38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modern"/>
    <w:pitch w:val="default"/>
    <w:sig w:usb0="00000000" w:usb1="00000000" w:usb2="0000001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 w:name="华文中宋">
    <w:altName w:val="宋体"/>
    <w:panose1 w:val="00000000000000000000"/>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DengXian">
    <w:altName w:val="宋体"/>
    <w:panose1 w:val="02010600030101010101"/>
    <w:charset w:val="86"/>
    <w:family w:val="auto"/>
    <w:pitch w:val="default"/>
    <w:sig w:usb0="00000000" w:usb1="00000000" w:usb2="00000016" w:usb3="00000000" w:csb0="0004000F" w:csb1="00000000"/>
  </w:font>
  <w:font w:name="Wingdings 2">
    <w:panose1 w:val="05020102010507070707"/>
    <w:charset w:val="02"/>
    <w:family w:val="auto"/>
    <w:pitch w:val="default"/>
    <w:sig w:usb0="00000000" w:usb1="00000000" w:usb2="00000000" w:usb3="00000000" w:csb0="80000000" w:csb1="00000000"/>
  </w:font>
  <w:font w:name=".Apple Color Emoji UI">
    <w:altName w:val="AMGDT"/>
    <w:panose1 w:val="00000000000000000000"/>
    <w:charset w:val="00"/>
    <w:family w:val="auto"/>
    <w:pitch w:val="default"/>
    <w:sig w:usb0="00000000" w:usb1="00000000" w:usb2="14000000" w:usb3="00000000" w:csb0="00000001" w:csb1="00000000"/>
  </w:font>
  <w:font w:name="AMGDT">
    <w:panose1 w:val="02000400000000000000"/>
    <w:charset w:val="00"/>
    <w:family w:val="auto"/>
    <w:pitch w:val="default"/>
    <w:sig w:usb0="80000003" w:usb1="1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114935" cy="131445"/>
              <wp:effectExtent l="0" t="0" r="0" b="0"/>
              <wp:wrapNone/>
              <wp:docPr id="63"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5" o:spid="_x0000_s1026" o:spt="202" type="#_x0000_t202" style="position:absolute;left:0pt;margin-top:0pt;height:10.35pt;width:9.05pt;mso-position-horizontal:center;mso-position-horizontal-relative:margin;mso-wrap-style:none;z-index:25165516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ArivAj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14935" cy="131445"/>
              <wp:effectExtent l="0" t="0" r="0" b="0"/>
              <wp:wrapNone/>
              <wp:docPr id="62"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6" o:spid="_x0000_s1026" o:spt="202" type="#_x0000_t202" style="position:absolute;left:0pt;margin-top:0pt;height:10.35pt;width:9.05pt;mso-position-horizontal:center;mso-position-horizontal-relative:margin;mso-wrap-style:none;z-index:25165619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A0OztP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14935" cy="131445"/>
              <wp:effectExtent l="0" t="0" r="0" b="0"/>
              <wp:wrapNone/>
              <wp:docPr id="61"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7" o:spid="_x0000_s1026" o:spt="202" type="#_x0000_t202" style="position:absolute;left:0pt;margin-top:0pt;height:10.35pt;width:9.05pt;mso-position-horizontal:center;mso-position-horizontal-relative:margin;mso-wrap-style:none;z-index:25165721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N4vwNj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60"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8" o:spid="_x0000_s1026" o:spt="202" type="#_x0000_t202" style="position:absolute;left:0pt;margin-top:0pt;height:10.35pt;width:9.05pt;mso-position-horizontal:center;mso-position-horizontal-relative:margin;mso-wrap-style:none;z-index:251658240;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DXx+x7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5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9"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4vd&#10;RNAAAAACAQAADwAAAAAAAAABACAAAAAiAAAAZHJzL2Rvd25yZXYueG1sUEsBAhQAFAAAAAgAh07i&#10;QF9IbJfxAQAAtQ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58"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81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3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KhHO/bxAQAAtgMAAA4AAAAAAAAAAQAgAAAAHwEAAGRycy9lMm9Eb2MueG1sUEsFBgAAAAAGAAYA&#10;WQEAAIIFA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81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57"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82</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31"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PlfknQ&#10;AAAAAwEAAA8AAAAAAAAAAQAgAAAAIgAAAGRycy9kb3ducmV2LnhtbFBLAQIUABQAAAAIAIdO4kCs&#10;8uVs7wEAALYDAAAOAAAAAAAAAAEAIAAAAB8BAABkcnMvZTJvRG9jLnhtbFBLBQYAAAAABgAGAFkB&#10;AACABQAAAAA=&#10;">
              <v:fill on="f" focussize="0,0"/>
              <v:stroke on="f"/>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82</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414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2062"/>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45</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 2062" o:spid="_x0000_s1026" o:spt="202" type="#_x0000_t202" style="position:absolute;left:0pt;margin-top:0pt;height:10.35pt;width:9.05pt;mso-position-horizontal:center;mso-position-horizontal-relative:margin;mso-wrap-style:none;z-index:25165414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V+&#10;SdAAAAADAQAADwAAAAAAAAABACAAAAAiAAAAZHJzL2Rvd25yZXYueG1sUEsBAhQAFAAAAAgAh07i&#10;QKkKLSLxAQAAtwMAAA4AAAAAAAAAAQAgAAAAHwEAAGRycy9lMm9Eb2MueG1sUEsFBgAAAAAGAAYA&#10;WQEAAI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45</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p>
    <w:pPr>
      <w:pStyle w:val="2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tentative="0">
      <w:start w:val="1"/>
      <w:numFmt w:val="decimal"/>
      <w:lvlText w:val="%1."/>
      <w:lvlJc w:val="left"/>
      <w:pPr>
        <w:tabs>
          <w:tab w:val="left" w:pos="964"/>
        </w:tabs>
        <w:ind w:left="964" w:hanging="397"/>
      </w:pPr>
      <w:rPr>
        <w:rFonts w:hint="eastAsia"/>
        <w:sz w:val="24"/>
        <w:szCs w:val="24"/>
      </w:rPr>
    </w:lvl>
  </w:abstractNum>
  <w:abstractNum w:abstractNumId="1">
    <w:nsid w:val="59CB0CE5"/>
    <w:multiLevelType w:val="singleLevel"/>
    <w:tmpl w:val="59CB0CE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hideSpellingErrors/>
  <w:hideGrammaticalErrors/>
  <w:documentProtection w:enforcement="0"/>
  <w:defaultTabStop w:val="420"/>
  <w:drawingGridHorizontalSpacing w:val="140"/>
  <w:drawingGridVerticalSpacing w:val="381"/>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5A"/>
    <w:rsid w:val="00000D27"/>
    <w:rsid w:val="00000DD2"/>
    <w:rsid w:val="00001263"/>
    <w:rsid w:val="00001A47"/>
    <w:rsid w:val="00001A9E"/>
    <w:rsid w:val="00001D8C"/>
    <w:rsid w:val="000024D5"/>
    <w:rsid w:val="000027BA"/>
    <w:rsid w:val="0000397D"/>
    <w:rsid w:val="00003D22"/>
    <w:rsid w:val="00003F88"/>
    <w:rsid w:val="00004206"/>
    <w:rsid w:val="000047E7"/>
    <w:rsid w:val="00004DD0"/>
    <w:rsid w:val="000050FD"/>
    <w:rsid w:val="00005438"/>
    <w:rsid w:val="000062A5"/>
    <w:rsid w:val="000065EE"/>
    <w:rsid w:val="00006A34"/>
    <w:rsid w:val="00006FA6"/>
    <w:rsid w:val="0000703C"/>
    <w:rsid w:val="00007193"/>
    <w:rsid w:val="00007312"/>
    <w:rsid w:val="0000738C"/>
    <w:rsid w:val="000073A4"/>
    <w:rsid w:val="00007AA3"/>
    <w:rsid w:val="00007CE7"/>
    <w:rsid w:val="00007D82"/>
    <w:rsid w:val="00007FDA"/>
    <w:rsid w:val="0001028B"/>
    <w:rsid w:val="0001041B"/>
    <w:rsid w:val="000105B9"/>
    <w:rsid w:val="00010A30"/>
    <w:rsid w:val="0001173E"/>
    <w:rsid w:val="00011A7E"/>
    <w:rsid w:val="00011ACE"/>
    <w:rsid w:val="00012881"/>
    <w:rsid w:val="00012F91"/>
    <w:rsid w:val="000130D9"/>
    <w:rsid w:val="00013859"/>
    <w:rsid w:val="00013A1C"/>
    <w:rsid w:val="00013D64"/>
    <w:rsid w:val="000140B0"/>
    <w:rsid w:val="000148B5"/>
    <w:rsid w:val="00014B61"/>
    <w:rsid w:val="00014E74"/>
    <w:rsid w:val="00015716"/>
    <w:rsid w:val="00015882"/>
    <w:rsid w:val="00016060"/>
    <w:rsid w:val="000163BB"/>
    <w:rsid w:val="00016698"/>
    <w:rsid w:val="0001694E"/>
    <w:rsid w:val="00016ADF"/>
    <w:rsid w:val="00016E6C"/>
    <w:rsid w:val="00017935"/>
    <w:rsid w:val="00017C3A"/>
    <w:rsid w:val="00017D3F"/>
    <w:rsid w:val="00017F7B"/>
    <w:rsid w:val="0002063A"/>
    <w:rsid w:val="0002072A"/>
    <w:rsid w:val="00020BCB"/>
    <w:rsid w:val="00020C78"/>
    <w:rsid w:val="00020CB5"/>
    <w:rsid w:val="00021446"/>
    <w:rsid w:val="000216CA"/>
    <w:rsid w:val="000218EE"/>
    <w:rsid w:val="00021DE2"/>
    <w:rsid w:val="00022372"/>
    <w:rsid w:val="00022D7A"/>
    <w:rsid w:val="00022E6A"/>
    <w:rsid w:val="000232AA"/>
    <w:rsid w:val="000232B3"/>
    <w:rsid w:val="00023AC2"/>
    <w:rsid w:val="00023E6D"/>
    <w:rsid w:val="00023FE3"/>
    <w:rsid w:val="00024494"/>
    <w:rsid w:val="0002473D"/>
    <w:rsid w:val="00024FEB"/>
    <w:rsid w:val="000259E1"/>
    <w:rsid w:val="00025B4F"/>
    <w:rsid w:val="0002680F"/>
    <w:rsid w:val="0002684E"/>
    <w:rsid w:val="0002693C"/>
    <w:rsid w:val="00026D3F"/>
    <w:rsid w:val="00027134"/>
    <w:rsid w:val="00027136"/>
    <w:rsid w:val="0002767C"/>
    <w:rsid w:val="00027A30"/>
    <w:rsid w:val="00027D4F"/>
    <w:rsid w:val="00027E1E"/>
    <w:rsid w:val="0003037D"/>
    <w:rsid w:val="00030653"/>
    <w:rsid w:val="0003065B"/>
    <w:rsid w:val="00030934"/>
    <w:rsid w:val="00030C90"/>
    <w:rsid w:val="00031350"/>
    <w:rsid w:val="000313DD"/>
    <w:rsid w:val="000315A3"/>
    <w:rsid w:val="0003162C"/>
    <w:rsid w:val="00031677"/>
    <w:rsid w:val="00031B2B"/>
    <w:rsid w:val="00031BFA"/>
    <w:rsid w:val="00031CFD"/>
    <w:rsid w:val="0003200D"/>
    <w:rsid w:val="000323D8"/>
    <w:rsid w:val="00032671"/>
    <w:rsid w:val="00032B84"/>
    <w:rsid w:val="0003306C"/>
    <w:rsid w:val="000330E1"/>
    <w:rsid w:val="00033E3D"/>
    <w:rsid w:val="0003441E"/>
    <w:rsid w:val="000347D6"/>
    <w:rsid w:val="00034949"/>
    <w:rsid w:val="00034E4D"/>
    <w:rsid w:val="00034E55"/>
    <w:rsid w:val="00035017"/>
    <w:rsid w:val="000358FA"/>
    <w:rsid w:val="000359F3"/>
    <w:rsid w:val="00035CF7"/>
    <w:rsid w:val="00035EE8"/>
    <w:rsid w:val="000362A4"/>
    <w:rsid w:val="000363CE"/>
    <w:rsid w:val="0003658D"/>
    <w:rsid w:val="0003669C"/>
    <w:rsid w:val="00036902"/>
    <w:rsid w:val="00036B3F"/>
    <w:rsid w:val="00036C58"/>
    <w:rsid w:val="00036E6A"/>
    <w:rsid w:val="0003737A"/>
    <w:rsid w:val="00037D51"/>
    <w:rsid w:val="00037DB4"/>
    <w:rsid w:val="00040327"/>
    <w:rsid w:val="00040781"/>
    <w:rsid w:val="000409CE"/>
    <w:rsid w:val="00040C83"/>
    <w:rsid w:val="00040F11"/>
    <w:rsid w:val="00040F4E"/>
    <w:rsid w:val="00041133"/>
    <w:rsid w:val="0004136D"/>
    <w:rsid w:val="00041B06"/>
    <w:rsid w:val="00041B6B"/>
    <w:rsid w:val="00041F4E"/>
    <w:rsid w:val="00042216"/>
    <w:rsid w:val="00042C0C"/>
    <w:rsid w:val="0004378C"/>
    <w:rsid w:val="00043BB0"/>
    <w:rsid w:val="00043EE5"/>
    <w:rsid w:val="0004414B"/>
    <w:rsid w:val="00044426"/>
    <w:rsid w:val="000445BB"/>
    <w:rsid w:val="00044646"/>
    <w:rsid w:val="000447FE"/>
    <w:rsid w:val="000449FE"/>
    <w:rsid w:val="00044F39"/>
    <w:rsid w:val="000457C9"/>
    <w:rsid w:val="000459ED"/>
    <w:rsid w:val="00045E79"/>
    <w:rsid w:val="00046AE3"/>
    <w:rsid w:val="00046F67"/>
    <w:rsid w:val="0004738A"/>
    <w:rsid w:val="00047523"/>
    <w:rsid w:val="000478C7"/>
    <w:rsid w:val="000479E1"/>
    <w:rsid w:val="00051115"/>
    <w:rsid w:val="000514F9"/>
    <w:rsid w:val="000517AD"/>
    <w:rsid w:val="000518F9"/>
    <w:rsid w:val="00051E0A"/>
    <w:rsid w:val="00052A87"/>
    <w:rsid w:val="00052BAD"/>
    <w:rsid w:val="00052DD4"/>
    <w:rsid w:val="00053516"/>
    <w:rsid w:val="000537FF"/>
    <w:rsid w:val="00053974"/>
    <w:rsid w:val="00053CE9"/>
    <w:rsid w:val="000542F9"/>
    <w:rsid w:val="0005468C"/>
    <w:rsid w:val="00054D9F"/>
    <w:rsid w:val="000556E0"/>
    <w:rsid w:val="000560C9"/>
    <w:rsid w:val="000568AF"/>
    <w:rsid w:val="00056E7A"/>
    <w:rsid w:val="00056F3A"/>
    <w:rsid w:val="0005705C"/>
    <w:rsid w:val="000575A3"/>
    <w:rsid w:val="000575D8"/>
    <w:rsid w:val="00057911"/>
    <w:rsid w:val="00057B70"/>
    <w:rsid w:val="00057BFF"/>
    <w:rsid w:val="00057DDA"/>
    <w:rsid w:val="00060110"/>
    <w:rsid w:val="0006018A"/>
    <w:rsid w:val="00061E3D"/>
    <w:rsid w:val="00061EFC"/>
    <w:rsid w:val="00062476"/>
    <w:rsid w:val="00062F45"/>
    <w:rsid w:val="00062FC2"/>
    <w:rsid w:val="000635E9"/>
    <w:rsid w:val="00063DAC"/>
    <w:rsid w:val="00063EAA"/>
    <w:rsid w:val="00063ED2"/>
    <w:rsid w:val="0006431D"/>
    <w:rsid w:val="000644D9"/>
    <w:rsid w:val="00064EAC"/>
    <w:rsid w:val="00064EDC"/>
    <w:rsid w:val="000650AE"/>
    <w:rsid w:val="0006539B"/>
    <w:rsid w:val="00065B78"/>
    <w:rsid w:val="00065C78"/>
    <w:rsid w:val="00066B24"/>
    <w:rsid w:val="00066BE2"/>
    <w:rsid w:val="0006734A"/>
    <w:rsid w:val="0006758E"/>
    <w:rsid w:val="000679CD"/>
    <w:rsid w:val="00067F31"/>
    <w:rsid w:val="00070288"/>
    <w:rsid w:val="00070324"/>
    <w:rsid w:val="000705D0"/>
    <w:rsid w:val="00070D97"/>
    <w:rsid w:val="000712A2"/>
    <w:rsid w:val="00071364"/>
    <w:rsid w:val="000715DB"/>
    <w:rsid w:val="000715EF"/>
    <w:rsid w:val="0007168F"/>
    <w:rsid w:val="0007189E"/>
    <w:rsid w:val="00071B0E"/>
    <w:rsid w:val="00072299"/>
    <w:rsid w:val="000728C9"/>
    <w:rsid w:val="00072E74"/>
    <w:rsid w:val="00073467"/>
    <w:rsid w:val="0007358A"/>
    <w:rsid w:val="000738D7"/>
    <w:rsid w:val="00073BD7"/>
    <w:rsid w:val="00073BF1"/>
    <w:rsid w:val="00073FC6"/>
    <w:rsid w:val="00074BEF"/>
    <w:rsid w:val="000757E4"/>
    <w:rsid w:val="00075A4B"/>
    <w:rsid w:val="00076DE1"/>
    <w:rsid w:val="00076FF5"/>
    <w:rsid w:val="000770A6"/>
    <w:rsid w:val="00077157"/>
    <w:rsid w:val="0007721B"/>
    <w:rsid w:val="00077E5A"/>
    <w:rsid w:val="0008083B"/>
    <w:rsid w:val="00080A85"/>
    <w:rsid w:val="00080DB7"/>
    <w:rsid w:val="00081897"/>
    <w:rsid w:val="000827A2"/>
    <w:rsid w:val="00082879"/>
    <w:rsid w:val="00083828"/>
    <w:rsid w:val="00083993"/>
    <w:rsid w:val="00083F31"/>
    <w:rsid w:val="000848B4"/>
    <w:rsid w:val="00084E45"/>
    <w:rsid w:val="00085020"/>
    <w:rsid w:val="00085149"/>
    <w:rsid w:val="00085461"/>
    <w:rsid w:val="000854A4"/>
    <w:rsid w:val="0008574F"/>
    <w:rsid w:val="00086853"/>
    <w:rsid w:val="00086BF7"/>
    <w:rsid w:val="00086E29"/>
    <w:rsid w:val="000874C7"/>
    <w:rsid w:val="00087C0D"/>
    <w:rsid w:val="00087CB2"/>
    <w:rsid w:val="00090109"/>
    <w:rsid w:val="00090324"/>
    <w:rsid w:val="00090A16"/>
    <w:rsid w:val="00090DFF"/>
    <w:rsid w:val="0009120A"/>
    <w:rsid w:val="000912B9"/>
    <w:rsid w:val="000912F0"/>
    <w:rsid w:val="0009147C"/>
    <w:rsid w:val="00091945"/>
    <w:rsid w:val="000928F8"/>
    <w:rsid w:val="00093272"/>
    <w:rsid w:val="000932CA"/>
    <w:rsid w:val="0009332A"/>
    <w:rsid w:val="00093972"/>
    <w:rsid w:val="00093A76"/>
    <w:rsid w:val="00093AC5"/>
    <w:rsid w:val="00093AE9"/>
    <w:rsid w:val="00093CBA"/>
    <w:rsid w:val="00093D85"/>
    <w:rsid w:val="00093FBA"/>
    <w:rsid w:val="00094FFB"/>
    <w:rsid w:val="00095158"/>
    <w:rsid w:val="00095332"/>
    <w:rsid w:val="00095719"/>
    <w:rsid w:val="000958A4"/>
    <w:rsid w:val="00095CF0"/>
    <w:rsid w:val="00095DC5"/>
    <w:rsid w:val="00095EC5"/>
    <w:rsid w:val="00096098"/>
    <w:rsid w:val="00096ABB"/>
    <w:rsid w:val="00097700"/>
    <w:rsid w:val="00097814"/>
    <w:rsid w:val="000A082E"/>
    <w:rsid w:val="000A0E2D"/>
    <w:rsid w:val="000A172D"/>
    <w:rsid w:val="000A1879"/>
    <w:rsid w:val="000A22DC"/>
    <w:rsid w:val="000A2310"/>
    <w:rsid w:val="000A2C30"/>
    <w:rsid w:val="000A2E64"/>
    <w:rsid w:val="000A2FFA"/>
    <w:rsid w:val="000A3342"/>
    <w:rsid w:val="000A33E1"/>
    <w:rsid w:val="000A3506"/>
    <w:rsid w:val="000A3D96"/>
    <w:rsid w:val="000A40F8"/>
    <w:rsid w:val="000A4220"/>
    <w:rsid w:val="000A499B"/>
    <w:rsid w:val="000A49E0"/>
    <w:rsid w:val="000A4F69"/>
    <w:rsid w:val="000A5068"/>
    <w:rsid w:val="000A5E84"/>
    <w:rsid w:val="000A6401"/>
    <w:rsid w:val="000A676C"/>
    <w:rsid w:val="000A6CEF"/>
    <w:rsid w:val="000A6D31"/>
    <w:rsid w:val="000A6F6F"/>
    <w:rsid w:val="000A708E"/>
    <w:rsid w:val="000A709E"/>
    <w:rsid w:val="000A73E8"/>
    <w:rsid w:val="000A7401"/>
    <w:rsid w:val="000A7910"/>
    <w:rsid w:val="000A7CEF"/>
    <w:rsid w:val="000A7F70"/>
    <w:rsid w:val="000B025A"/>
    <w:rsid w:val="000B0C7D"/>
    <w:rsid w:val="000B0EDA"/>
    <w:rsid w:val="000B136E"/>
    <w:rsid w:val="000B1932"/>
    <w:rsid w:val="000B21D3"/>
    <w:rsid w:val="000B2A55"/>
    <w:rsid w:val="000B2BEF"/>
    <w:rsid w:val="000B2E19"/>
    <w:rsid w:val="000B2E5A"/>
    <w:rsid w:val="000B2EAF"/>
    <w:rsid w:val="000B3630"/>
    <w:rsid w:val="000B3D30"/>
    <w:rsid w:val="000B40E9"/>
    <w:rsid w:val="000B4301"/>
    <w:rsid w:val="000B483C"/>
    <w:rsid w:val="000B4C72"/>
    <w:rsid w:val="000B5444"/>
    <w:rsid w:val="000B55B5"/>
    <w:rsid w:val="000B57CC"/>
    <w:rsid w:val="000B5C06"/>
    <w:rsid w:val="000B6902"/>
    <w:rsid w:val="000B708C"/>
    <w:rsid w:val="000B73CE"/>
    <w:rsid w:val="000B7A01"/>
    <w:rsid w:val="000C0622"/>
    <w:rsid w:val="000C06DE"/>
    <w:rsid w:val="000C0B1E"/>
    <w:rsid w:val="000C0E5D"/>
    <w:rsid w:val="000C10B3"/>
    <w:rsid w:val="000C1125"/>
    <w:rsid w:val="000C11F0"/>
    <w:rsid w:val="000C12F3"/>
    <w:rsid w:val="000C18CE"/>
    <w:rsid w:val="000C199F"/>
    <w:rsid w:val="000C1D86"/>
    <w:rsid w:val="000C206C"/>
    <w:rsid w:val="000C2450"/>
    <w:rsid w:val="000C2823"/>
    <w:rsid w:val="000C2DA9"/>
    <w:rsid w:val="000C3049"/>
    <w:rsid w:val="000C3105"/>
    <w:rsid w:val="000C3A0B"/>
    <w:rsid w:val="000C3B40"/>
    <w:rsid w:val="000C3DAC"/>
    <w:rsid w:val="000C3F70"/>
    <w:rsid w:val="000C463B"/>
    <w:rsid w:val="000C4CE6"/>
    <w:rsid w:val="000C4D6B"/>
    <w:rsid w:val="000C4E99"/>
    <w:rsid w:val="000C5255"/>
    <w:rsid w:val="000C56A7"/>
    <w:rsid w:val="000C58F3"/>
    <w:rsid w:val="000C596B"/>
    <w:rsid w:val="000C5D18"/>
    <w:rsid w:val="000C5ED3"/>
    <w:rsid w:val="000C66E0"/>
    <w:rsid w:val="000C67B4"/>
    <w:rsid w:val="000C77C4"/>
    <w:rsid w:val="000C7F5A"/>
    <w:rsid w:val="000D0404"/>
    <w:rsid w:val="000D0626"/>
    <w:rsid w:val="000D0C89"/>
    <w:rsid w:val="000D0D42"/>
    <w:rsid w:val="000D0FA8"/>
    <w:rsid w:val="000D0FBD"/>
    <w:rsid w:val="000D114F"/>
    <w:rsid w:val="000D11F5"/>
    <w:rsid w:val="000D17C6"/>
    <w:rsid w:val="000D185C"/>
    <w:rsid w:val="000D1B3E"/>
    <w:rsid w:val="000D1CC4"/>
    <w:rsid w:val="000D2750"/>
    <w:rsid w:val="000D298A"/>
    <w:rsid w:val="000D2BD1"/>
    <w:rsid w:val="000D2CD8"/>
    <w:rsid w:val="000D2DE9"/>
    <w:rsid w:val="000D2EAD"/>
    <w:rsid w:val="000D2EFA"/>
    <w:rsid w:val="000D3362"/>
    <w:rsid w:val="000D3D55"/>
    <w:rsid w:val="000D44DA"/>
    <w:rsid w:val="000D45BA"/>
    <w:rsid w:val="000D4991"/>
    <w:rsid w:val="000D4DBE"/>
    <w:rsid w:val="000D55B7"/>
    <w:rsid w:val="000D57CA"/>
    <w:rsid w:val="000D5908"/>
    <w:rsid w:val="000D5C24"/>
    <w:rsid w:val="000D5DB3"/>
    <w:rsid w:val="000D6179"/>
    <w:rsid w:val="000D62C2"/>
    <w:rsid w:val="000D651F"/>
    <w:rsid w:val="000D65EC"/>
    <w:rsid w:val="000D6692"/>
    <w:rsid w:val="000D67FC"/>
    <w:rsid w:val="000D68DB"/>
    <w:rsid w:val="000D6BB0"/>
    <w:rsid w:val="000D6D79"/>
    <w:rsid w:val="000D76A9"/>
    <w:rsid w:val="000E0254"/>
    <w:rsid w:val="000E0687"/>
    <w:rsid w:val="000E0ABA"/>
    <w:rsid w:val="000E0ADB"/>
    <w:rsid w:val="000E0AF4"/>
    <w:rsid w:val="000E10EF"/>
    <w:rsid w:val="000E11F3"/>
    <w:rsid w:val="000E13D9"/>
    <w:rsid w:val="000E1B4E"/>
    <w:rsid w:val="000E1FDA"/>
    <w:rsid w:val="000E2099"/>
    <w:rsid w:val="000E24DC"/>
    <w:rsid w:val="000E2632"/>
    <w:rsid w:val="000E26EF"/>
    <w:rsid w:val="000E2C19"/>
    <w:rsid w:val="000E2FD5"/>
    <w:rsid w:val="000E3185"/>
    <w:rsid w:val="000E32EE"/>
    <w:rsid w:val="000E4201"/>
    <w:rsid w:val="000E425C"/>
    <w:rsid w:val="000E451A"/>
    <w:rsid w:val="000E4A46"/>
    <w:rsid w:val="000E4FD5"/>
    <w:rsid w:val="000E510F"/>
    <w:rsid w:val="000E5613"/>
    <w:rsid w:val="000E5719"/>
    <w:rsid w:val="000E58CB"/>
    <w:rsid w:val="000E5AEB"/>
    <w:rsid w:val="000E638B"/>
    <w:rsid w:val="000E6A3D"/>
    <w:rsid w:val="000E6B52"/>
    <w:rsid w:val="000E78AA"/>
    <w:rsid w:val="000E7917"/>
    <w:rsid w:val="000F0019"/>
    <w:rsid w:val="000F0F7B"/>
    <w:rsid w:val="000F0F7C"/>
    <w:rsid w:val="000F1841"/>
    <w:rsid w:val="000F1AF8"/>
    <w:rsid w:val="000F1D36"/>
    <w:rsid w:val="000F2356"/>
    <w:rsid w:val="000F273D"/>
    <w:rsid w:val="000F2E4B"/>
    <w:rsid w:val="000F30F5"/>
    <w:rsid w:val="000F3136"/>
    <w:rsid w:val="000F37C6"/>
    <w:rsid w:val="000F3880"/>
    <w:rsid w:val="000F38F4"/>
    <w:rsid w:val="000F3974"/>
    <w:rsid w:val="000F4D0C"/>
    <w:rsid w:val="000F5801"/>
    <w:rsid w:val="000F59C1"/>
    <w:rsid w:val="000F5F97"/>
    <w:rsid w:val="000F6192"/>
    <w:rsid w:val="000F6689"/>
    <w:rsid w:val="000F6783"/>
    <w:rsid w:val="000F6812"/>
    <w:rsid w:val="000F6C89"/>
    <w:rsid w:val="000F7037"/>
    <w:rsid w:val="000F75D7"/>
    <w:rsid w:val="000F7696"/>
    <w:rsid w:val="000F76D5"/>
    <w:rsid w:val="000F78B6"/>
    <w:rsid w:val="00100914"/>
    <w:rsid w:val="00100F24"/>
    <w:rsid w:val="00100FA2"/>
    <w:rsid w:val="00101100"/>
    <w:rsid w:val="0010112E"/>
    <w:rsid w:val="00101590"/>
    <w:rsid w:val="001015BA"/>
    <w:rsid w:val="0010187D"/>
    <w:rsid w:val="00101AC2"/>
    <w:rsid w:val="00101C15"/>
    <w:rsid w:val="00101E1E"/>
    <w:rsid w:val="001035B1"/>
    <w:rsid w:val="00103707"/>
    <w:rsid w:val="00104032"/>
    <w:rsid w:val="00104539"/>
    <w:rsid w:val="00104551"/>
    <w:rsid w:val="00104615"/>
    <w:rsid w:val="00104EAE"/>
    <w:rsid w:val="00105069"/>
    <w:rsid w:val="00105292"/>
    <w:rsid w:val="001052C1"/>
    <w:rsid w:val="001056C5"/>
    <w:rsid w:val="00105AEB"/>
    <w:rsid w:val="00105CFD"/>
    <w:rsid w:val="00106321"/>
    <w:rsid w:val="001069C3"/>
    <w:rsid w:val="00106E46"/>
    <w:rsid w:val="0010716A"/>
    <w:rsid w:val="001078E0"/>
    <w:rsid w:val="00107950"/>
    <w:rsid w:val="00107C5A"/>
    <w:rsid w:val="00107F24"/>
    <w:rsid w:val="0011073D"/>
    <w:rsid w:val="001111F9"/>
    <w:rsid w:val="00111666"/>
    <w:rsid w:val="001119CA"/>
    <w:rsid w:val="00111D4B"/>
    <w:rsid w:val="00112BAE"/>
    <w:rsid w:val="00112CBB"/>
    <w:rsid w:val="00112CCB"/>
    <w:rsid w:val="0011358B"/>
    <w:rsid w:val="0011362A"/>
    <w:rsid w:val="0011399D"/>
    <w:rsid w:val="00114750"/>
    <w:rsid w:val="00115801"/>
    <w:rsid w:val="00115AA7"/>
    <w:rsid w:val="00116A0A"/>
    <w:rsid w:val="00116F2A"/>
    <w:rsid w:val="00117453"/>
    <w:rsid w:val="001176AF"/>
    <w:rsid w:val="00117F10"/>
    <w:rsid w:val="00117F11"/>
    <w:rsid w:val="00120AF5"/>
    <w:rsid w:val="001219C1"/>
    <w:rsid w:val="001220C3"/>
    <w:rsid w:val="001223E3"/>
    <w:rsid w:val="00122474"/>
    <w:rsid w:val="00122B02"/>
    <w:rsid w:val="00122D9F"/>
    <w:rsid w:val="00122DD0"/>
    <w:rsid w:val="00122EDC"/>
    <w:rsid w:val="00122F0D"/>
    <w:rsid w:val="00123F44"/>
    <w:rsid w:val="00124338"/>
    <w:rsid w:val="00124768"/>
    <w:rsid w:val="0012485B"/>
    <w:rsid w:val="00124B17"/>
    <w:rsid w:val="00124CE6"/>
    <w:rsid w:val="001256B5"/>
    <w:rsid w:val="00125BEE"/>
    <w:rsid w:val="00125DDB"/>
    <w:rsid w:val="001264A7"/>
    <w:rsid w:val="00126C50"/>
    <w:rsid w:val="00127149"/>
    <w:rsid w:val="0012796A"/>
    <w:rsid w:val="00127A02"/>
    <w:rsid w:val="00127D8E"/>
    <w:rsid w:val="00127F42"/>
    <w:rsid w:val="00130245"/>
    <w:rsid w:val="0013029E"/>
    <w:rsid w:val="00130307"/>
    <w:rsid w:val="001308F1"/>
    <w:rsid w:val="00130CED"/>
    <w:rsid w:val="001318EC"/>
    <w:rsid w:val="0013197F"/>
    <w:rsid w:val="00131BA5"/>
    <w:rsid w:val="00132237"/>
    <w:rsid w:val="0013278D"/>
    <w:rsid w:val="00132F47"/>
    <w:rsid w:val="0013304A"/>
    <w:rsid w:val="00133473"/>
    <w:rsid w:val="00133700"/>
    <w:rsid w:val="0013373E"/>
    <w:rsid w:val="00133FAE"/>
    <w:rsid w:val="00134277"/>
    <w:rsid w:val="001343D9"/>
    <w:rsid w:val="0013470A"/>
    <w:rsid w:val="00134973"/>
    <w:rsid w:val="00134EF8"/>
    <w:rsid w:val="001350ED"/>
    <w:rsid w:val="00135480"/>
    <w:rsid w:val="0013563C"/>
    <w:rsid w:val="00135738"/>
    <w:rsid w:val="00135B33"/>
    <w:rsid w:val="00135F93"/>
    <w:rsid w:val="001364F7"/>
    <w:rsid w:val="001367F9"/>
    <w:rsid w:val="00136A9C"/>
    <w:rsid w:val="00136BAD"/>
    <w:rsid w:val="00136C26"/>
    <w:rsid w:val="0013708D"/>
    <w:rsid w:val="0013715D"/>
    <w:rsid w:val="0013759C"/>
    <w:rsid w:val="00137955"/>
    <w:rsid w:val="00137D32"/>
    <w:rsid w:val="0014043F"/>
    <w:rsid w:val="00140718"/>
    <w:rsid w:val="001408FE"/>
    <w:rsid w:val="00141BB4"/>
    <w:rsid w:val="00141DF2"/>
    <w:rsid w:val="00141FFE"/>
    <w:rsid w:val="00142311"/>
    <w:rsid w:val="001423B6"/>
    <w:rsid w:val="00142E0A"/>
    <w:rsid w:val="001430B6"/>
    <w:rsid w:val="00143388"/>
    <w:rsid w:val="00143A0E"/>
    <w:rsid w:val="00143B9A"/>
    <w:rsid w:val="00144061"/>
    <w:rsid w:val="0014438D"/>
    <w:rsid w:val="001445E8"/>
    <w:rsid w:val="00144D21"/>
    <w:rsid w:val="00144F02"/>
    <w:rsid w:val="00144FB4"/>
    <w:rsid w:val="00145014"/>
    <w:rsid w:val="00145544"/>
    <w:rsid w:val="00146134"/>
    <w:rsid w:val="00146221"/>
    <w:rsid w:val="001463FC"/>
    <w:rsid w:val="001465C1"/>
    <w:rsid w:val="00146732"/>
    <w:rsid w:val="00146751"/>
    <w:rsid w:val="00146AA0"/>
    <w:rsid w:val="00146FDC"/>
    <w:rsid w:val="00147CFA"/>
    <w:rsid w:val="00147D65"/>
    <w:rsid w:val="00150142"/>
    <w:rsid w:val="001504E2"/>
    <w:rsid w:val="0015050C"/>
    <w:rsid w:val="0015062D"/>
    <w:rsid w:val="0015144B"/>
    <w:rsid w:val="00151933"/>
    <w:rsid w:val="00151B1F"/>
    <w:rsid w:val="00151D77"/>
    <w:rsid w:val="00151E37"/>
    <w:rsid w:val="001526BC"/>
    <w:rsid w:val="00152849"/>
    <w:rsid w:val="00152C27"/>
    <w:rsid w:val="00152DFB"/>
    <w:rsid w:val="001535D3"/>
    <w:rsid w:val="00153654"/>
    <w:rsid w:val="00153700"/>
    <w:rsid w:val="001538A3"/>
    <w:rsid w:val="00153DEA"/>
    <w:rsid w:val="0015438F"/>
    <w:rsid w:val="00154732"/>
    <w:rsid w:val="0015483C"/>
    <w:rsid w:val="001551AF"/>
    <w:rsid w:val="00155213"/>
    <w:rsid w:val="00155AAA"/>
    <w:rsid w:val="00155E4D"/>
    <w:rsid w:val="00155EF8"/>
    <w:rsid w:val="001568A1"/>
    <w:rsid w:val="001571C4"/>
    <w:rsid w:val="0015779C"/>
    <w:rsid w:val="001579F9"/>
    <w:rsid w:val="00157DD3"/>
    <w:rsid w:val="00157ED8"/>
    <w:rsid w:val="0016022F"/>
    <w:rsid w:val="001606A9"/>
    <w:rsid w:val="00160993"/>
    <w:rsid w:val="00160A88"/>
    <w:rsid w:val="00160E03"/>
    <w:rsid w:val="0016168F"/>
    <w:rsid w:val="00161700"/>
    <w:rsid w:val="00161D2B"/>
    <w:rsid w:val="0016264F"/>
    <w:rsid w:val="00162727"/>
    <w:rsid w:val="00162A96"/>
    <w:rsid w:val="00163025"/>
    <w:rsid w:val="001630F2"/>
    <w:rsid w:val="001633B7"/>
    <w:rsid w:val="001635A7"/>
    <w:rsid w:val="00163C32"/>
    <w:rsid w:val="00163D58"/>
    <w:rsid w:val="00163D72"/>
    <w:rsid w:val="00163EF2"/>
    <w:rsid w:val="001644A7"/>
    <w:rsid w:val="00164608"/>
    <w:rsid w:val="00164D39"/>
    <w:rsid w:val="001652A6"/>
    <w:rsid w:val="001652E1"/>
    <w:rsid w:val="0016554B"/>
    <w:rsid w:val="00165703"/>
    <w:rsid w:val="0016591A"/>
    <w:rsid w:val="00165A9C"/>
    <w:rsid w:val="00166376"/>
    <w:rsid w:val="00166AE7"/>
    <w:rsid w:val="00166CB8"/>
    <w:rsid w:val="00166EF2"/>
    <w:rsid w:val="00166F98"/>
    <w:rsid w:val="00167162"/>
    <w:rsid w:val="001672E0"/>
    <w:rsid w:val="00167C39"/>
    <w:rsid w:val="00170732"/>
    <w:rsid w:val="00170FB4"/>
    <w:rsid w:val="0017108C"/>
    <w:rsid w:val="00171244"/>
    <w:rsid w:val="0017157C"/>
    <w:rsid w:val="001715C4"/>
    <w:rsid w:val="00171607"/>
    <w:rsid w:val="00171B3D"/>
    <w:rsid w:val="00171EA6"/>
    <w:rsid w:val="00171F63"/>
    <w:rsid w:val="001728CB"/>
    <w:rsid w:val="00172A27"/>
    <w:rsid w:val="00172C7F"/>
    <w:rsid w:val="00173163"/>
    <w:rsid w:val="00173463"/>
    <w:rsid w:val="001734F9"/>
    <w:rsid w:val="00173549"/>
    <w:rsid w:val="00173574"/>
    <w:rsid w:val="00174093"/>
    <w:rsid w:val="001742A4"/>
    <w:rsid w:val="001745E1"/>
    <w:rsid w:val="00174A45"/>
    <w:rsid w:val="00174B52"/>
    <w:rsid w:val="00174BD8"/>
    <w:rsid w:val="00174E13"/>
    <w:rsid w:val="001753E2"/>
    <w:rsid w:val="001755E2"/>
    <w:rsid w:val="00175AC2"/>
    <w:rsid w:val="001761E2"/>
    <w:rsid w:val="00177112"/>
    <w:rsid w:val="001773BE"/>
    <w:rsid w:val="00177506"/>
    <w:rsid w:val="00177AC7"/>
    <w:rsid w:val="00177DD1"/>
    <w:rsid w:val="00180617"/>
    <w:rsid w:val="00180724"/>
    <w:rsid w:val="00180A77"/>
    <w:rsid w:val="00181DEA"/>
    <w:rsid w:val="00181E34"/>
    <w:rsid w:val="00181EF0"/>
    <w:rsid w:val="00181F6D"/>
    <w:rsid w:val="00181F9F"/>
    <w:rsid w:val="00182079"/>
    <w:rsid w:val="00182308"/>
    <w:rsid w:val="001827D5"/>
    <w:rsid w:val="00182C6E"/>
    <w:rsid w:val="00183D42"/>
    <w:rsid w:val="001840B1"/>
    <w:rsid w:val="00184357"/>
    <w:rsid w:val="00184392"/>
    <w:rsid w:val="00184EA8"/>
    <w:rsid w:val="001851BC"/>
    <w:rsid w:val="00185A4B"/>
    <w:rsid w:val="001861E5"/>
    <w:rsid w:val="0018639B"/>
    <w:rsid w:val="001865AB"/>
    <w:rsid w:val="0018692D"/>
    <w:rsid w:val="0018693D"/>
    <w:rsid w:val="00186FED"/>
    <w:rsid w:val="001873C8"/>
    <w:rsid w:val="00187484"/>
    <w:rsid w:val="00187665"/>
    <w:rsid w:val="001879CA"/>
    <w:rsid w:val="00187E5C"/>
    <w:rsid w:val="00187F73"/>
    <w:rsid w:val="0019017D"/>
    <w:rsid w:val="001902D3"/>
    <w:rsid w:val="00190A1B"/>
    <w:rsid w:val="00190ACF"/>
    <w:rsid w:val="00190B2A"/>
    <w:rsid w:val="0019120A"/>
    <w:rsid w:val="001916A2"/>
    <w:rsid w:val="001917F7"/>
    <w:rsid w:val="00191F1B"/>
    <w:rsid w:val="0019238E"/>
    <w:rsid w:val="00192C05"/>
    <w:rsid w:val="00192C70"/>
    <w:rsid w:val="00193262"/>
    <w:rsid w:val="00193416"/>
    <w:rsid w:val="00194345"/>
    <w:rsid w:val="0019435E"/>
    <w:rsid w:val="001944E9"/>
    <w:rsid w:val="00194A30"/>
    <w:rsid w:val="00195110"/>
    <w:rsid w:val="001953A8"/>
    <w:rsid w:val="00195ADE"/>
    <w:rsid w:val="00195CE3"/>
    <w:rsid w:val="00196780"/>
    <w:rsid w:val="00196803"/>
    <w:rsid w:val="00196ADD"/>
    <w:rsid w:val="001977BD"/>
    <w:rsid w:val="00197BAC"/>
    <w:rsid w:val="001A00D8"/>
    <w:rsid w:val="001A08A7"/>
    <w:rsid w:val="001A0BB8"/>
    <w:rsid w:val="001A0EE7"/>
    <w:rsid w:val="001A12DF"/>
    <w:rsid w:val="001A138E"/>
    <w:rsid w:val="001A285E"/>
    <w:rsid w:val="001A2D74"/>
    <w:rsid w:val="001A2D8D"/>
    <w:rsid w:val="001A3B0B"/>
    <w:rsid w:val="001A3E7F"/>
    <w:rsid w:val="001A441F"/>
    <w:rsid w:val="001A45B0"/>
    <w:rsid w:val="001A48AC"/>
    <w:rsid w:val="001A4B2E"/>
    <w:rsid w:val="001A4BD8"/>
    <w:rsid w:val="001A52D7"/>
    <w:rsid w:val="001A5991"/>
    <w:rsid w:val="001A5A21"/>
    <w:rsid w:val="001A5A9B"/>
    <w:rsid w:val="001A5AE7"/>
    <w:rsid w:val="001A62B8"/>
    <w:rsid w:val="001A667C"/>
    <w:rsid w:val="001A6B54"/>
    <w:rsid w:val="001A6DA5"/>
    <w:rsid w:val="001B047A"/>
    <w:rsid w:val="001B0C05"/>
    <w:rsid w:val="001B1D08"/>
    <w:rsid w:val="001B1EF9"/>
    <w:rsid w:val="001B2D0B"/>
    <w:rsid w:val="001B37E4"/>
    <w:rsid w:val="001B3EA2"/>
    <w:rsid w:val="001B41B8"/>
    <w:rsid w:val="001B42C3"/>
    <w:rsid w:val="001B43B5"/>
    <w:rsid w:val="001B47B8"/>
    <w:rsid w:val="001B4FE0"/>
    <w:rsid w:val="001B551D"/>
    <w:rsid w:val="001B5E3F"/>
    <w:rsid w:val="001B6175"/>
    <w:rsid w:val="001B622A"/>
    <w:rsid w:val="001B64D7"/>
    <w:rsid w:val="001B65EC"/>
    <w:rsid w:val="001B66DF"/>
    <w:rsid w:val="001B6C48"/>
    <w:rsid w:val="001B6C52"/>
    <w:rsid w:val="001B6FEF"/>
    <w:rsid w:val="001B70CC"/>
    <w:rsid w:val="001B73BA"/>
    <w:rsid w:val="001B7CBC"/>
    <w:rsid w:val="001B7ED2"/>
    <w:rsid w:val="001B7F6E"/>
    <w:rsid w:val="001B7FC9"/>
    <w:rsid w:val="001C0297"/>
    <w:rsid w:val="001C0DE7"/>
    <w:rsid w:val="001C0FE9"/>
    <w:rsid w:val="001C116F"/>
    <w:rsid w:val="001C1334"/>
    <w:rsid w:val="001C16FF"/>
    <w:rsid w:val="001C192C"/>
    <w:rsid w:val="001C20E9"/>
    <w:rsid w:val="001C244C"/>
    <w:rsid w:val="001C2516"/>
    <w:rsid w:val="001C28E4"/>
    <w:rsid w:val="001C2928"/>
    <w:rsid w:val="001C2A8B"/>
    <w:rsid w:val="001C31D1"/>
    <w:rsid w:val="001C31D9"/>
    <w:rsid w:val="001C382C"/>
    <w:rsid w:val="001C3A05"/>
    <w:rsid w:val="001C3BD9"/>
    <w:rsid w:val="001C3CF2"/>
    <w:rsid w:val="001C3DE7"/>
    <w:rsid w:val="001C4293"/>
    <w:rsid w:val="001C47CB"/>
    <w:rsid w:val="001C4A55"/>
    <w:rsid w:val="001C5226"/>
    <w:rsid w:val="001C5D30"/>
    <w:rsid w:val="001C5DD6"/>
    <w:rsid w:val="001C6744"/>
    <w:rsid w:val="001C6ED2"/>
    <w:rsid w:val="001C7174"/>
    <w:rsid w:val="001C7D73"/>
    <w:rsid w:val="001C7FAD"/>
    <w:rsid w:val="001D19CB"/>
    <w:rsid w:val="001D1A9F"/>
    <w:rsid w:val="001D1BF0"/>
    <w:rsid w:val="001D1C47"/>
    <w:rsid w:val="001D1C79"/>
    <w:rsid w:val="001D2306"/>
    <w:rsid w:val="001D3183"/>
    <w:rsid w:val="001D3197"/>
    <w:rsid w:val="001D329D"/>
    <w:rsid w:val="001D38D5"/>
    <w:rsid w:val="001D3ECA"/>
    <w:rsid w:val="001D3F4C"/>
    <w:rsid w:val="001D47A3"/>
    <w:rsid w:val="001D4898"/>
    <w:rsid w:val="001D4D6B"/>
    <w:rsid w:val="001D5007"/>
    <w:rsid w:val="001D5296"/>
    <w:rsid w:val="001D68C1"/>
    <w:rsid w:val="001D69E4"/>
    <w:rsid w:val="001D6F3F"/>
    <w:rsid w:val="001D7777"/>
    <w:rsid w:val="001D7AEB"/>
    <w:rsid w:val="001E0A9C"/>
    <w:rsid w:val="001E0FF1"/>
    <w:rsid w:val="001E10D6"/>
    <w:rsid w:val="001E1192"/>
    <w:rsid w:val="001E1326"/>
    <w:rsid w:val="001E1724"/>
    <w:rsid w:val="001E18C8"/>
    <w:rsid w:val="001E1ED8"/>
    <w:rsid w:val="001E2084"/>
    <w:rsid w:val="001E226B"/>
    <w:rsid w:val="001E2612"/>
    <w:rsid w:val="001E2A17"/>
    <w:rsid w:val="001E2A70"/>
    <w:rsid w:val="001E2B90"/>
    <w:rsid w:val="001E3D02"/>
    <w:rsid w:val="001E3FD6"/>
    <w:rsid w:val="001E42D0"/>
    <w:rsid w:val="001E4AFA"/>
    <w:rsid w:val="001E5228"/>
    <w:rsid w:val="001E559C"/>
    <w:rsid w:val="001E5687"/>
    <w:rsid w:val="001E5914"/>
    <w:rsid w:val="001E5BAE"/>
    <w:rsid w:val="001E5E5B"/>
    <w:rsid w:val="001E5FC5"/>
    <w:rsid w:val="001E6479"/>
    <w:rsid w:val="001E6510"/>
    <w:rsid w:val="001E73E2"/>
    <w:rsid w:val="001E743E"/>
    <w:rsid w:val="001E7CB1"/>
    <w:rsid w:val="001F03BA"/>
    <w:rsid w:val="001F05B2"/>
    <w:rsid w:val="001F0877"/>
    <w:rsid w:val="001F0A09"/>
    <w:rsid w:val="001F0E28"/>
    <w:rsid w:val="001F0E2C"/>
    <w:rsid w:val="001F0F88"/>
    <w:rsid w:val="001F1606"/>
    <w:rsid w:val="001F17FD"/>
    <w:rsid w:val="001F1863"/>
    <w:rsid w:val="001F1A73"/>
    <w:rsid w:val="001F1C41"/>
    <w:rsid w:val="001F1DA8"/>
    <w:rsid w:val="001F2279"/>
    <w:rsid w:val="001F291F"/>
    <w:rsid w:val="001F2CB7"/>
    <w:rsid w:val="001F2F94"/>
    <w:rsid w:val="001F3853"/>
    <w:rsid w:val="001F3D78"/>
    <w:rsid w:val="001F3E0C"/>
    <w:rsid w:val="001F4932"/>
    <w:rsid w:val="001F49C5"/>
    <w:rsid w:val="001F49D6"/>
    <w:rsid w:val="001F4B6A"/>
    <w:rsid w:val="001F4C2D"/>
    <w:rsid w:val="001F4CD2"/>
    <w:rsid w:val="001F515F"/>
    <w:rsid w:val="001F5485"/>
    <w:rsid w:val="001F5800"/>
    <w:rsid w:val="001F5FE8"/>
    <w:rsid w:val="001F6502"/>
    <w:rsid w:val="001F6676"/>
    <w:rsid w:val="001F6699"/>
    <w:rsid w:val="001F66B5"/>
    <w:rsid w:val="001F6921"/>
    <w:rsid w:val="001F69DF"/>
    <w:rsid w:val="001F6B9C"/>
    <w:rsid w:val="001F6FE9"/>
    <w:rsid w:val="001F71F4"/>
    <w:rsid w:val="001F72BE"/>
    <w:rsid w:val="001F74A9"/>
    <w:rsid w:val="001F79F4"/>
    <w:rsid w:val="001F7D00"/>
    <w:rsid w:val="001F7D2B"/>
    <w:rsid w:val="002000A7"/>
    <w:rsid w:val="0020077A"/>
    <w:rsid w:val="00200D46"/>
    <w:rsid w:val="00200DB3"/>
    <w:rsid w:val="00200E88"/>
    <w:rsid w:val="002013AB"/>
    <w:rsid w:val="002014B2"/>
    <w:rsid w:val="00201901"/>
    <w:rsid w:val="002019B0"/>
    <w:rsid w:val="00201CB0"/>
    <w:rsid w:val="00202962"/>
    <w:rsid w:val="002034A8"/>
    <w:rsid w:val="002037A8"/>
    <w:rsid w:val="00203BC5"/>
    <w:rsid w:val="0020473A"/>
    <w:rsid w:val="002051D6"/>
    <w:rsid w:val="002058E5"/>
    <w:rsid w:val="002059B1"/>
    <w:rsid w:val="0020648A"/>
    <w:rsid w:val="00206646"/>
    <w:rsid w:val="002075FB"/>
    <w:rsid w:val="002077B1"/>
    <w:rsid w:val="002078B0"/>
    <w:rsid w:val="002078E5"/>
    <w:rsid w:val="0020792D"/>
    <w:rsid w:val="00210147"/>
    <w:rsid w:val="00210370"/>
    <w:rsid w:val="00210EA9"/>
    <w:rsid w:val="002111C8"/>
    <w:rsid w:val="00211360"/>
    <w:rsid w:val="002113FE"/>
    <w:rsid w:val="002116CD"/>
    <w:rsid w:val="0021181A"/>
    <w:rsid w:val="002119F5"/>
    <w:rsid w:val="00211A7F"/>
    <w:rsid w:val="00211EC0"/>
    <w:rsid w:val="002120E8"/>
    <w:rsid w:val="00212256"/>
    <w:rsid w:val="0021320F"/>
    <w:rsid w:val="0021365C"/>
    <w:rsid w:val="00214BB2"/>
    <w:rsid w:val="00214BD0"/>
    <w:rsid w:val="00215268"/>
    <w:rsid w:val="00215AD7"/>
    <w:rsid w:val="00215DC5"/>
    <w:rsid w:val="00216938"/>
    <w:rsid w:val="002169C0"/>
    <w:rsid w:val="00216A7F"/>
    <w:rsid w:val="00216C36"/>
    <w:rsid w:val="00216D71"/>
    <w:rsid w:val="00216EFF"/>
    <w:rsid w:val="00217354"/>
    <w:rsid w:val="00217358"/>
    <w:rsid w:val="002174A1"/>
    <w:rsid w:val="002175CF"/>
    <w:rsid w:val="002209E1"/>
    <w:rsid w:val="00220A5F"/>
    <w:rsid w:val="00220C93"/>
    <w:rsid w:val="00220CFE"/>
    <w:rsid w:val="00220F2C"/>
    <w:rsid w:val="0022101E"/>
    <w:rsid w:val="00221445"/>
    <w:rsid w:val="002215E1"/>
    <w:rsid w:val="002217EC"/>
    <w:rsid w:val="00221E55"/>
    <w:rsid w:val="00222045"/>
    <w:rsid w:val="00222704"/>
    <w:rsid w:val="002229FB"/>
    <w:rsid w:val="00222FB7"/>
    <w:rsid w:val="0022303B"/>
    <w:rsid w:val="00223A4D"/>
    <w:rsid w:val="00223A63"/>
    <w:rsid w:val="00224120"/>
    <w:rsid w:val="002243F1"/>
    <w:rsid w:val="00224993"/>
    <w:rsid w:val="00224DE5"/>
    <w:rsid w:val="00225156"/>
    <w:rsid w:val="0022521E"/>
    <w:rsid w:val="00226707"/>
    <w:rsid w:val="00226ABB"/>
    <w:rsid w:val="00226F40"/>
    <w:rsid w:val="00227401"/>
    <w:rsid w:val="00227974"/>
    <w:rsid w:val="00227ED4"/>
    <w:rsid w:val="002302FF"/>
    <w:rsid w:val="00230512"/>
    <w:rsid w:val="002308AD"/>
    <w:rsid w:val="002309F5"/>
    <w:rsid w:val="0023125D"/>
    <w:rsid w:val="002313C1"/>
    <w:rsid w:val="0023167C"/>
    <w:rsid w:val="00231986"/>
    <w:rsid w:val="002319ED"/>
    <w:rsid w:val="00231AD4"/>
    <w:rsid w:val="0023205C"/>
    <w:rsid w:val="00232097"/>
    <w:rsid w:val="00232156"/>
    <w:rsid w:val="002321BE"/>
    <w:rsid w:val="002326C0"/>
    <w:rsid w:val="00233237"/>
    <w:rsid w:val="002332C1"/>
    <w:rsid w:val="00233821"/>
    <w:rsid w:val="00234053"/>
    <w:rsid w:val="00234103"/>
    <w:rsid w:val="00234224"/>
    <w:rsid w:val="0023483B"/>
    <w:rsid w:val="00234E05"/>
    <w:rsid w:val="00234E5A"/>
    <w:rsid w:val="00234E6C"/>
    <w:rsid w:val="0023556F"/>
    <w:rsid w:val="00235D65"/>
    <w:rsid w:val="002361FC"/>
    <w:rsid w:val="0023666B"/>
    <w:rsid w:val="00236C6C"/>
    <w:rsid w:val="00237693"/>
    <w:rsid w:val="00237777"/>
    <w:rsid w:val="00240415"/>
    <w:rsid w:val="002404A6"/>
    <w:rsid w:val="002409B7"/>
    <w:rsid w:val="00240CCC"/>
    <w:rsid w:val="00240CE6"/>
    <w:rsid w:val="00240D12"/>
    <w:rsid w:val="002415D5"/>
    <w:rsid w:val="00241612"/>
    <w:rsid w:val="0024172E"/>
    <w:rsid w:val="00241798"/>
    <w:rsid w:val="00241DDB"/>
    <w:rsid w:val="00242968"/>
    <w:rsid w:val="002435C0"/>
    <w:rsid w:val="002436E0"/>
    <w:rsid w:val="00243797"/>
    <w:rsid w:val="002437BF"/>
    <w:rsid w:val="0024401B"/>
    <w:rsid w:val="00244129"/>
    <w:rsid w:val="002441CD"/>
    <w:rsid w:val="0024474A"/>
    <w:rsid w:val="0024480C"/>
    <w:rsid w:val="00244888"/>
    <w:rsid w:val="00244C90"/>
    <w:rsid w:val="00245F5B"/>
    <w:rsid w:val="00246455"/>
    <w:rsid w:val="002467A9"/>
    <w:rsid w:val="002468C1"/>
    <w:rsid w:val="002468DB"/>
    <w:rsid w:val="002468E7"/>
    <w:rsid w:val="00246C88"/>
    <w:rsid w:val="00246E76"/>
    <w:rsid w:val="00247A38"/>
    <w:rsid w:val="002500CA"/>
    <w:rsid w:val="0025091B"/>
    <w:rsid w:val="00250AD9"/>
    <w:rsid w:val="00251414"/>
    <w:rsid w:val="002518C9"/>
    <w:rsid w:val="002518EE"/>
    <w:rsid w:val="00251B9A"/>
    <w:rsid w:val="00251C25"/>
    <w:rsid w:val="00251ED2"/>
    <w:rsid w:val="002524FF"/>
    <w:rsid w:val="00252546"/>
    <w:rsid w:val="0025274C"/>
    <w:rsid w:val="00252884"/>
    <w:rsid w:val="00252B3B"/>
    <w:rsid w:val="00252B64"/>
    <w:rsid w:val="00252DC9"/>
    <w:rsid w:val="002533EB"/>
    <w:rsid w:val="00253863"/>
    <w:rsid w:val="00253983"/>
    <w:rsid w:val="00254241"/>
    <w:rsid w:val="00254386"/>
    <w:rsid w:val="00254BC8"/>
    <w:rsid w:val="00254D1F"/>
    <w:rsid w:val="002554C3"/>
    <w:rsid w:val="0025582A"/>
    <w:rsid w:val="00255FD8"/>
    <w:rsid w:val="002564E5"/>
    <w:rsid w:val="00257085"/>
    <w:rsid w:val="002571B8"/>
    <w:rsid w:val="002572E3"/>
    <w:rsid w:val="00257319"/>
    <w:rsid w:val="002576C9"/>
    <w:rsid w:val="00257B94"/>
    <w:rsid w:val="00257DC8"/>
    <w:rsid w:val="00260CAB"/>
    <w:rsid w:val="00260D0A"/>
    <w:rsid w:val="00260DBB"/>
    <w:rsid w:val="002615F3"/>
    <w:rsid w:val="0026172A"/>
    <w:rsid w:val="00261C4C"/>
    <w:rsid w:val="00261C8F"/>
    <w:rsid w:val="00262201"/>
    <w:rsid w:val="00262848"/>
    <w:rsid w:val="00262DA9"/>
    <w:rsid w:val="0026303F"/>
    <w:rsid w:val="0026315E"/>
    <w:rsid w:val="002631AA"/>
    <w:rsid w:val="002634EC"/>
    <w:rsid w:val="0026394A"/>
    <w:rsid w:val="002641B0"/>
    <w:rsid w:val="00264269"/>
    <w:rsid w:val="00264834"/>
    <w:rsid w:val="0026491B"/>
    <w:rsid w:val="00264E04"/>
    <w:rsid w:val="00264F0A"/>
    <w:rsid w:val="00264F61"/>
    <w:rsid w:val="00265958"/>
    <w:rsid w:val="00265C47"/>
    <w:rsid w:val="00265CA3"/>
    <w:rsid w:val="00265CC5"/>
    <w:rsid w:val="00265CE7"/>
    <w:rsid w:val="00265EA4"/>
    <w:rsid w:val="002664D0"/>
    <w:rsid w:val="00266772"/>
    <w:rsid w:val="00266D7F"/>
    <w:rsid w:val="002673A2"/>
    <w:rsid w:val="0026767D"/>
    <w:rsid w:val="0026789C"/>
    <w:rsid w:val="00267AA1"/>
    <w:rsid w:val="00267AC3"/>
    <w:rsid w:val="002703A3"/>
    <w:rsid w:val="00270768"/>
    <w:rsid w:val="00270AB6"/>
    <w:rsid w:val="00270ADE"/>
    <w:rsid w:val="00270C90"/>
    <w:rsid w:val="00270CAB"/>
    <w:rsid w:val="00270CAF"/>
    <w:rsid w:val="00270D55"/>
    <w:rsid w:val="002710B6"/>
    <w:rsid w:val="00271386"/>
    <w:rsid w:val="002718E4"/>
    <w:rsid w:val="00272857"/>
    <w:rsid w:val="00272DE3"/>
    <w:rsid w:val="00272FBF"/>
    <w:rsid w:val="002735D1"/>
    <w:rsid w:val="002747BE"/>
    <w:rsid w:val="00275032"/>
    <w:rsid w:val="00275A59"/>
    <w:rsid w:val="00275EDA"/>
    <w:rsid w:val="0027615F"/>
    <w:rsid w:val="00276661"/>
    <w:rsid w:val="00276CBD"/>
    <w:rsid w:val="00276DB0"/>
    <w:rsid w:val="00277375"/>
    <w:rsid w:val="00277A04"/>
    <w:rsid w:val="00277BE2"/>
    <w:rsid w:val="00277CD8"/>
    <w:rsid w:val="00277EA6"/>
    <w:rsid w:val="002800A7"/>
    <w:rsid w:val="002805F2"/>
    <w:rsid w:val="002806E9"/>
    <w:rsid w:val="00280D38"/>
    <w:rsid w:val="00280E1D"/>
    <w:rsid w:val="00280F54"/>
    <w:rsid w:val="00281340"/>
    <w:rsid w:val="00281809"/>
    <w:rsid w:val="00281EA1"/>
    <w:rsid w:val="00282161"/>
    <w:rsid w:val="00282322"/>
    <w:rsid w:val="0028234B"/>
    <w:rsid w:val="002823AC"/>
    <w:rsid w:val="00282C66"/>
    <w:rsid w:val="00283514"/>
    <w:rsid w:val="00285447"/>
    <w:rsid w:val="00285B43"/>
    <w:rsid w:val="00285BE0"/>
    <w:rsid w:val="00285EF1"/>
    <w:rsid w:val="00285F9C"/>
    <w:rsid w:val="002862A1"/>
    <w:rsid w:val="002862EF"/>
    <w:rsid w:val="0028630E"/>
    <w:rsid w:val="00286868"/>
    <w:rsid w:val="00286AFF"/>
    <w:rsid w:val="0028700C"/>
    <w:rsid w:val="00287091"/>
    <w:rsid w:val="00287277"/>
    <w:rsid w:val="0028758D"/>
    <w:rsid w:val="00287C1D"/>
    <w:rsid w:val="00287D57"/>
    <w:rsid w:val="002905C0"/>
    <w:rsid w:val="00290A09"/>
    <w:rsid w:val="00290A86"/>
    <w:rsid w:val="00291EE9"/>
    <w:rsid w:val="002920B0"/>
    <w:rsid w:val="00292574"/>
    <w:rsid w:val="00292F56"/>
    <w:rsid w:val="002934F2"/>
    <w:rsid w:val="0029397A"/>
    <w:rsid w:val="00293C19"/>
    <w:rsid w:val="00293D6F"/>
    <w:rsid w:val="00293FE0"/>
    <w:rsid w:val="0029417D"/>
    <w:rsid w:val="002945E0"/>
    <w:rsid w:val="002947DF"/>
    <w:rsid w:val="0029547D"/>
    <w:rsid w:val="00295992"/>
    <w:rsid w:val="00295995"/>
    <w:rsid w:val="00295F41"/>
    <w:rsid w:val="00296834"/>
    <w:rsid w:val="002968CC"/>
    <w:rsid w:val="00296DCB"/>
    <w:rsid w:val="00296DF1"/>
    <w:rsid w:val="002978EB"/>
    <w:rsid w:val="00297B86"/>
    <w:rsid w:val="00297DC7"/>
    <w:rsid w:val="002A00E3"/>
    <w:rsid w:val="002A0E8C"/>
    <w:rsid w:val="002A23A1"/>
    <w:rsid w:val="002A2A40"/>
    <w:rsid w:val="002A325C"/>
    <w:rsid w:val="002A33F3"/>
    <w:rsid w:val="002A3703"/>
    <w:rsid w:val="002A3ADA"/>
    <w:rsid w:val="002A4240"/>
    <w:rsid w:val="002A44CB"/>
    <w:rsid w:val="002A4BAF"/>
    <w:rsid w:val="002A4C2D"/>
    <w:rsid w:val="002A510A"/>
    <w:rsid w:val="002A57BC"/>
    <w:rsid w:val="002A5976"/>
    <w:rsid w:val="002A5C66"/>
    <w:rsid w:val="002A5D01"/>
    <w:rsid w:val="002A5F1B"/>
    <w:rsid w:val="002A5F25"/>
    <w:rsid w:val="002A63DA"/>
    <w:rsid w:val="002A690C"/>
    <w:rsid w:val="002A6B28"/>
    <w:rsid w:val="002A732F"/>
    <w:rsid w:val="002A7508"/>
    <w:rsid w:val="002A7E08"/>
    <w:rsid w:val="002A7E2E"/>
    <w:rsid w:val="002B031F"/>
    <w:rsid w:val="002B0570"/>
    <w:rsid w:val="002B0C1D"/>
    <w:rsid w:val="002B1198"/>
    <w:rsid w:val="002B13BF"/>
    <w:rsid w:val="002B165C"/>
    <w:rsid w:val="002B1683"/>
    <w:rsid w:val="002B1EBD"/>
    <w:rsid w:val="002B250D"/>
    <w:rsid w:val="002B26D9"/>
    <w:rsid w:val="002B28BB"/>
    <w:rsid w:val="002B28D5"/>
    <w:rsid w:val="002B2DE2"/>
    <w:rsid w:val="002B2EE3"/>
    <w:rsid w:val="002B33FE"/>
    <w:rsid w:val="002B3DF4"/>
    <w:rsid w:val="002B3EA7"/>
    <w:rsid w:val="002B4478"/>
    <w:rsid w:val="002B475E"/>
    <w:rsid w:val="002B47EE"/>
    <w:rsid w:val="002B4E4A"/>
    <w:rsid w:val="002B5230"/>
    <w:rsid w:val="002B5D4F"/>
    <w:rsid w:val="002B5F22"/>
    <w:rsid w:val="002B5F2E"/>
    <w:rsid w:val="002B6561"/>
    <w:rsid w:val="002B65D4"/>
    <w:rsid w:val="002B69B5"/>
    <w:rsid w:val="002B71F9"/>
    <w:rsid w:val="002B75C0"/>
    <w:rsid w:val="002B79FC"/>
    <w:rsid w:val="002B7D46"/>
    <w:rsid w:val="002C0148"/>
    <w:rsid w:val="002C0671"/>
    <w:rsid w:val="002C0F10"/>
    <w:rsid w:val="002C0FA7"/>
    <w:rsid w:val="002C174F"/>
    <w:rsid w:val="002C1924"/>
    <w:rsid w:val="002C1A3E"/>
    <w:rsid w:val="002C264E"/>
    <w:rsid w:val="002C2818"/>
    <w:rsid w:val="002C2AFC"/>
    <w:rsid w:val="002C2C28"/>
    <w:rsid w:val="002C375F"/>
    <w:rsid w:val="002C379C"/>
    <w:rsid w:val="002C3C5B"/>
    <w:rsid w:val="002C538E"/>
    <w:rsid w:val="002C5571"/>
    <w:rsid w:val="002C57D9"/>
    <w:rsid w:val="002C5AA7"/>
    <w:rsid w:val="002C5BA9"/>
    <w:rsid w:val="002C5C98"/>
    <w:rsid w:val="002C6F2B"/>
    <w:rsid w:val="002C78B5"/>
    <w:rsid w:val="002D004F"/>
    <w:rsid w:val="002D0190"/>
    <w:rsid w:val="002D0D02"/>
    <w:rsid w:val="002D1358"/>
    <w:rsid w:val="002D162A"/>
    <w:rsid w:val="002D1D36"/>
    <w:rsid w:val="002D2094"/>
    <w:rsid w:val="002D2A90"/>
    <w:rsid w:val="002D2AFD"/>
    <w:rsid w:val="002D2FCE"/>
    <w:rsid w:val="002D310A"/>
    <w:rsid w:val="002D31B1"/>
    <w:rsid w:val="002D32D5"/>
    <w:rsid w:val="002D399A"/>
    <w:rsid w:val="002D3CA6"/>
    <w:rsid w:val="002D41F4"/>
    <w:rsid w:val="002D4726"/>
    <w:rsid w:val="002D47C1"/>
    <w:rsid w:val="002D49C5"/>
    <w:rsid w:val="002D4F7C"/>
    <w:rsid w:val="002D5803"/>
    <w:rsid w:val="002D5BAB"/>
    <w:rsid w:val="002D5C81"/>
    <w:rsid w:val="002D5DEC"/>
    <w:rsid w:val="002D6480"/>
    <w:rsid w:val="002D6702"/>
    <w:rsid w:val="002D6E92"/>
    <w:rsid w:val="002D721D"/>
    <w:rsid w:val="002D79FF"/>
    <w:rsid w:val="002D7B37"/>
    <w:rsid w:val="002D7CFB"/>
    <w:rsid w:val="002D7FDB"/>
    <w:rsid w:val="002E0011"/>
    <w:rsid w:val="002E029C"/>
    <w:rsid w:val="002E0401"/>
    <w:rsid w:val="002E078B"/>
    <w:rsid w:val="002E0840"/>
    <w:rsid w:val="002E092D"/>
    <w:rsid w:val="002E0989"/>
    <w:rsid w:val="002E0BAE"/>
    <w:rsid w:val="002E0C88"/>
    <w:rsid w:val="002E0D35"/>
    <w:rsid w:val="002E0E2F"/>
    <w:rsid w:val="002E10DF"/>
    <w:rsid w:val="002E1127"/>
    <w:rsid w:val="002E114D"/>
    <w:rsid w:val="002E1341"/>
    <w:rsid w:val="002E16F8"/>
    <w:rsid w:val="002E1C4F"/>
    <w:rsid w:val="002E2593"/>
    <w:rsid w:val="002E26A1"/>
    <w:rsid w:val="002E2A33"/>
    <w:rsid w:val="002E2D23"/>
    <w:rsid w:val="002E2DC3"/>
    <w:rsid w:val="002E2F95"/>
    <w:rsid w:val="002E30BA"/>
    <w:rsid w:val="002E30E5"/>
    <w:rsid w:val="002E3137"/>
    <w:rsid w:val="002E3D00"/>
    <w:rsid w:val="002E4415"/>
    <w:rsid w:val="002E44A6"/>
    <w:rsid w:val="002E5659"/>
    <w:rsid w:val="002E61DE"/>
    <w:rsid w:val="002E6321"/>
    <w:rsid w:val="002E64FD"/>
    <w:rsid w:val="002E654D"/>
    <w:rsid w:val="002E66C9"/>
    <w:rsid w:val="002E6B30"/>
    <w:rsid w:val="002E6ED2"/>
    <w:rsid w:val="002E7AE2"/>
    <w:rsid w:val="002E7E32"/>
    <w:rsid w:val="002F0172"/>
    <w:rsid w:val="002F033F"/>
    <w:rsid w:val="002F0409"/>
    <w:rsid w:val="002F0588"/>
    <w:rsid w:val="002F0E28"/>
    <w:rsid w:val="002F0FC0"/>
    <w:rsid w:val="002F158C"/>
    <w:rsid w:val="002F171E"/>
    <w:rsid w:val="002F17B4"/>
    <w:rsid w:val="002F196D"/>
    <w:rsid w:val="002F1B05"/>
    <w:rsid w:val="002F1BDB"/>
    <w:rsid w:val="002F223F"/>
    <w:rsid w:val="002F267D"/>
    <w:rsid w:val="002F2844"/>
    <w:rsid w:val="002F3069"/>
    <w:rsid w:val="002F338A"/>
    <w:rsid w:val="002F342F"/>
    <w:rsid w:val="002F3B15"/>
    <w:rsid w:val="002F3B7E"/>
    <w:rsid w:val="002F3C99"/>
    <w:rsid w:val="002F3D6D"/>
    <w:rsid w:val="002F491C"/>
    <w:rsid w:val="002F4A4E"/>
    <w:rsid w:val="002F4EF4"/>
    <w:rsid w:val="002F4F68"/>
    <w:rsid w:val="002F56F1"/>
    <w:rsid w:val="002F5884"/>
    <w:rsid w:val="002F58CA"/>
    <w:rsid w:val="002F5C88"/>
    <w:rsid w:val="002F61CC"/>
    <w:rsid w:val="002F63C6"/>
    <w:rsid w:val="002F6461"/>
    <w:rsid w:val="002F7278"/>
    <w:rsid w:val="002F74B7"/>
    <w:rsid w:val="002F7768"/>
    <w:rsid w:val="002F79F1"/>
    <w:rsid w:val="003004DE"/>
    <w:rsid w:val="00300502"/>
    <w:rsid w:val="003005EC"/>
    <w:rsid w:val="00300CE7"/>
    <w:rsid w:val="00300D98"/>
    <w:rsid w:val="00300DA7"/>
    <w:rsid w:val="00300E61"/>
    <w:rsid w:val="00301063"/>
    <w:rsid w:val="003011CB"/>
    <w:rsid w:val="00301DAD"/>
    <w:rsid w:val="003023E9"/>
    <w:rsid w:val="003025D0"/>
    <w:rsid w:val="0030275C"/>
    <w:rsid w:val="00302B11"/>
    <w:rsid w:val="00303477"/>
    <w:rsid w:val="00303A16"/>
    <w:rsid w:val="00304228"/>
    <w:rsid w:val="00304E06"/>
    <w:rsid w:val="00305395"/>
    <w:rsid w:val="003056E3"/>
    <w:rsid w:val="00305C1F"/>
    <w:rsid w:val="00305E91"/>
    <w:rsid w:val="003064AD"/>
    <w:rsid w:val="0030687F"/>
    <w:rsid w:val="00306FA3"/>
    <w:rsid w:val="003071CD"/>
    <w:rsid w:val="00307B36"/>
    <w:rsid w:val="00307E79"/>
    <w:rsid w:val="0031019A"/>
    <w:rsid w:val="00310A6D"/>
    <w:rsid w:val="00310CCF"/>
    <w:rsid w:val="00310DA0"/>
    <w:rsid w:val="00310E07"/>
    <w:rsid w:val="00311426"/>
    <w:rsid w:val="00311796"/>
    <w:rsid w:val="0031200A"/>
    <w:rsid w:val="00312606"/>
    <w:rsid w:val="003126BA"/>
    <w:rsid w:val="00312753"/>
    <w:rsid w:val="00312CC0"/>
    <w:rsid w:val="0031349B"/>
    <w:rsid w:val="00313D64"/>
    <w:rsid w:val="00313E6F"/>
    <w:rsid w:val="003149DA"/>
    <w:rsid w:val="003149F0"/>
    <w:rsid w:val="0031539F"/>
    <w:rsid w:val="0031591F"/>
    <w:rsid w:val="00315B64"/>
    <w:rsid w:val="00315CCF"/>
    <w:rsid w:val="00315EB9"/>
    <w:rsid w:val="00316A0C"/>
    <w:rsid w:val="003171DF"/>
    <w:rsid w:val="003171F7"/>
    <w:rsid w:val="00317445"/>
    <w:rsid w:val="0031745E"/>
    <w:rsid w:val="003175CC"/>
    <w:rsid w:val="003176A4"/>
    <w:rsid w:val="003176D0"/>
    <w:rsid w:val="00317D2A"/>
    <w:rsid w:val="00320254"/>
    <w:rsid w:val="0032074B"/>
    <w:rsid w:val="00320BF6"/>
    <w:rsid w:val="00320CFC"/>
    <w:rsid w:val="003213F0"/>
    <w:rsid w:val="00321604"/>
    <w:rsid w:val="00322134"/>
    <w:rsid w:val="00322C8E"/>
    <w:rsid w:val="003231F4"/>
    <w:rsid w:val="00323206"/>
    <w:rsid w:val="00323584"/>
    <w:rsid w:val="00323711"/>
    <w:rsid w:val="00323FAB"/>
    <w:rsid w:val="003247DC"/>
    <w:rsid w:val="00324A20"/>
    <w:rsid w:val="00324C75"/>
    <w:rsid w:val="003250A6"/>
    <w:rsid w:val="003252DF"/>
    <w:rsid w:val="003252E6"/>
    <w:rsid w:val="00325D34"/>
    <w:rsid w:val="00325F16"/>
    <w:rsid w:val="0032664F"/>
    <w:rsid w:val="00326870"/>
    <w:rsid w:val="00326875"/>
    <w:rsid w:val="0032738E"/>
    <w:rsid w:val="0032741A"/>
    <w:rsid w:val="003276B7"/>
    <w:rsid w:val="003277DE"/>
    <w:rsid w:val="00327D58"/>
    <w:rsid w:val="00327F3D"/>
    <w:rsid w:val="00330046"/>
    <w:rsid w:val="0033013F"/>
    <w:rsid w:val="0033090C"/>
    <w:rsid w:val="00331524"/>
    <w:rsid w:val="00331649"/>
    <w:rsid w:val="003319DE"/>
    <w:rsid w:val="00331A31"/>
    <w:rsid w:val="00331BAB"/>
    <w:rsid w:val="00331BCD"/>
    <w:rsid w:val="00332027"/>
    <w:rsid w:val="003321F8"/>
    <w:rsid w:val="00332212"/>
    <w:rsid w:val="0033249D"/>
    <w:rsid w:val="0033286D"/>
    <w:rsid w:val="00332E9C"/>
    <w:rsid w:val="0033350A"/>
    <w:rsid w:val="00333AE1"/>
    <w:rsid w:val="00333D96"/>
    <w:rsid w:val="003343F5"/>
    <w:rsid w:val="00334D62"/>
    <w:rsid w:val="00334E72"/>
    <w:rsid w:val="00335292"/>
    <w:rsid w:val="00335B3B"/>
    <w:rsid w:val="003364FA"/>
    <w:rsid w:val="00336A62"/>
    <w:rsid w:val="00336AD4"/>
    <w:rsid w:val="0033734B"/>
    <w:rsid w:val="003379F5"/>
    <w:rsid w:val="00337EEB"/>
    <w:rsid w:val="003407B1"/>
    <w:rsid w:val="0034080D"/>
    <w:rsid w:val="00340B62"/>
    <w:rsid w:val="00341486"/>
    <w:rsid w:val="00341AF6"/>
    <w:rsid w:val="00341E10"/>
    <w:rsid w:val="00342266"/>
    <w:rsid w:val="00342C54"/>
    <w:rsid w:val="00342E6A"/>
    <w:rsid w:val="00342FB7"/>
    <w:rsid w:val="00343EFA"/>
    <w:rsid w:val="003447B1"/>
    <w:rsid w:val="00344C60"/>
    <w:rsid w:val="00344D57"/>
    <w:rsid w:val="00344F36"/>
    <w:rsid w:val="00345374"/>
    <w:rsid w:val="00345958"/>
    <w:rsid w:val="00345E63"/>
    <w:rsid w:val="00347C73"/>
    <w:rsid w:val="003501B3"/>
    <w:rsid w:val="00351247"/>
    <w:rsid w:val="00351352"/>
    <w:rsid w:val="003513A4"/>
    <w:rsid w:val="00351B26"/>
    <w:rsid w:val="00351F60"/>
    <w:rsid w:val="003525F5"/>
    <w:rsid w:val="00353411"/>
    <w:rsid w:val="003534A8"/>
    <w:rsid w:val="003534C4"/>
    <w:rsid w:val="0035360B"/>
    <w:rsid w:val="0035390B"/>
    <w:rsid w:val="00353D36"/>
    <w:rsid w:val="00354255"/>
    <w:rsid w:val="003543A6"/>
    <w:rsid w:val="00354718"/>
    <w:rsid w:val="0035513A"/>
    <w:rsid w:val="00355EF5"/>
    <w:rsid w:val="00355F09"/>
    <w:rsid w:val="003560F8"/>
    <w:rsid w:val="0035687C"/>
    <w:rsid w:val="003568DE"/>
    <w:rsid w:val="0035690C"/>
    <w:rsid w:val="00356C9B"/>
    <w:rsid w:val="00356D34"/>
    <w:rsid w:val="003571A4"/>
    <w:rsid w:val="003571D6"/>
    <w:rsid w:val="00357485"/>
    <w:rsid w:val="0035769A"/>
    <w:rsid w:val="00357D20"/>
    <w:rsid w:val="00357E8F"/>
    <w:rsid w:val="003600DB"/>
    <w:rsid w:val="00360109"/>
    <w:rsid w:val="0036016A"/>
    <w:rsid w:val="0036055A"/>
    <w:rsid w:val="003605AD"/>
    <w:rsid w:val="003611D5"/>
    <w:rsid w:val="00361643"/>
    <w:rsid w:val="003617F6"/>
    <w:rsid w:val="003618B1"/>
    <w:rsid w:val="00361BC2"/>
    <w:rsid w:val="003624C0"/>
    <w:rsid w:val="0036296A"/>
    <w:rsid w:val="003629E1"/>
    <w:rsid w:val="00362C10"/>
    <w:rsid w:val="00362CD8"/>
    <w:rsid w:val="00363373"/>
    <w:rsid w:val="003639BE"/>
    <w:rsid w:val="00363BA5"/>
    <w:rsid w:val="00363BC8"/>
    <w:rsid w:val="00363E40"/>
    <w:rsid w:val="0036475C"/>
    <w:rsid w:val="00364BBF"/>
    <w:rsid w:val="00364DAB"/>
    <w:rsid w:val="00364DDE"/>
    <w:rsid w:val="00365103"/>
    <w:rsid w:val="00365243"/>
    <w:rsid w:val="00365449"/>
    <w:rsid w:val="00365942"/>
    <w:rsid w:val="003661B7"/>
    <w:rsid w:val="003666DB"/>
    <w:rsid w:val="003667BB"/>
    <w:rsid w:val="00366870"/>
    <w:rsid w:val="00366A8E"/>
    <w:rsid w:val="00366EDB"/>
    <w:rsid w:val="00367022"/>
    <w:rsid w:val="003670DF"/>
    <w:rsid w:val="003676A2"/>
    <w:rsid w:val="00367879"/>
    <w:rsid w:val="00367958"/>
    <w:rsid w:val="0037000C"/>
    <w:rsid w:val="003700D0"/>
    <w:rsid w:val="00370E5A"/>
    <w:rsid w:val="003711AB"/>
    <w:rsid w:val="0037165B"/>
    <w:rsid w:val="0037187F"/>
    <w:rsid w:val="003723D5"/>
    <w:rsid w:val="0037260E"/>
    <w:rsid w:val="00373AB6"/>
    <w:rsid w:val="00373BA9"/>
    <w:rsid w:val="003741D3"/>
    <w:rsid w:val="003743D7"/>
    <w:rsid w:val="003746B5"/>
    <w:rsid w:val="0037472F"/>
    <w:rsid w:val="00374CEA"/>
    <w:rsid w:val="00374F5E"/>
    <w:rsid w:val="0037580E"/>
    <w:rsid w:val="003758C5"/>
    <w:rsid w:val="00375B18"/>
    <w:rsid w:val="00375B45"/>
    <w:rsid w:val="00376694"/>
    <w:rsid w:val="00376D15"/>
    <w:rsid w:val="0038006D"/>
    <w:rsid w:val="003800E9"/>
    <w:rsid w:val="003800F8"/>
    <w:rsid w:val="00380521"/>
    <w:rsid w:val="003805DD"/>
    <w:rsid w:val="00380D2B"/>
    <w:rsid w:val="00380EBA"/>
    <w:rsid w:val="00381247"/>
    <w:rsid w:val="00381574"/>
    <w:rsid w:val="003817E5"/>
    <w:rsid w:val="00381F1E"/>
    <w:rsid w:val="00382229"/>
    <w:rsid w:val="00382590"/>
    <w:rsid w:val="003833F4"/>
    <w:rsid w:val="003836B8"/>
    <w:rsid w:val="00383B61"/>
    <w:rsid w:val="00383BB7"/>
    <w:rsid w:val="00383CB6"/>
    <w:rsid w:val="00383F0F"/>
    <w:rsid w:val="00384028"/>
    <w:rsid w:val="0038487A"/>
    <w:rsid w:val="00384A64"/>
    <w:rsid w:val="0038514B"/>
    <w:rsid w:val="00385541"/>
    <w:rsid w:val="00385DF9"/>
    <w:rsid w:val="00385E2C"/>
    <w:rsid w:val="003860A4"/>
    <w:rsid w:val="00386415"/>
    <w:rsid w:val="003867D5"/>
    <w:rsid w:val="0038693E"/>
    <w:rsid w:val="00386A52"/>
    <w:rsid w:val="003871C8"/>
    <w:rsid w:val="00387762"/>
    <w:rsid w:val="00387770"/>
    <w:rsid w:val="00387982"/>
    <w:rsid w:val="00387AD8"/>
    <w:rsid w:val="00387E20"/>
    <w:rsid w:val="00387F19"/>
    <w:rsid w:val="00387FF3"/>
    <w:rsid w:val="00390082"/>
    <w:rsid w:val="00390716"/>
    <w:rsid w:val="0039087B"/>
    <w:rsid w:val="00390961"/>
    <w:rsid w:val="00390BBC"/>
    <w:rsid w:val="00390C6A"/>
    <w:rsid w:val="00391077"/>
    <w:rsid w:val="003910FF"/>
    <w:rsid w:val="00391650"/>
    <w:rsid w:val="003916F4"/>
    <w:rsid w:val="003917FC"/>
    <w:rsid w:val="003920E6"/>
    <w:rsid w:val="003921C4"/>
    <w:rsid w:val="0039271C"/>
    <w:rsid w:val="00392A12"/>
    <w:rsid w:val="00392A68"/>
    <w:rsid w:val="00393358"/>
    <w:rsid w:val="0039378C"/>
    <w:rsid w:val="00393DAD"/>
    <w:rsid w:val="00394A69"/>
    <w:rsid w:val="00395700"/>
    <w:rsid w:val="00395866"/>
    <w:rsid w:val="00395E7F"/>
    <w:rsid w:val="00395F4F"/>
    <w:rsid w:val="00396342"/>
    <w:rsid w:val="0039650D"/>
    <w:rsid w:val="00396737"/>
    <w:rsid w:val="00396952"/>
    <w:rsid w:val="00397BAA"/>
    <w:rsid w:val="00397C83"/>
    <w:rsid w:val="00397CBE"/>
    <w:rsid w:val="00397E00"/>
    <w:rsid w:val="00397E83"/>
    <w:rsid w:val="003A0032"/>
    <w:rsid w:val="003A00A0"/>
    <w:rsid w:val="003A0389"/>
    <w:rsid w:val="003A087A"/>
    <w:rsid w:val="003A0902"/>
    <w:rsid w:val="003A1816"/>
    <w:rsid w:val="003A19E7"/>
    <w:rsid w:val="003A19F2"/>
    <w:rsid w:val="003A1A91"/>
    <w:rsid w:val="003A1AC8"/>
    <w:rsid w:val="003A1BF5"/>
    <w:rsid w:val="003A1C6F"/>
    <w:rsid w:val="003A1F13"/>
    <w:rsid w:val="003A20AC"/>
    <w:rsid w:val="003A2226"/>
    <w:rsid w:val="003A270A"/>
    <w:rsid w:val="003A2D45"/>
    <w:rsid w:val="003A2D83"/>
    <w:rsid w:val="003A2F7B"/>
    <w:rsid w:val="003A31E5"/>
    <w:rsid w:val="003A31FC"/>
    <w:rsid w:val="003A34B0"/>
    <w:rsid w:val="003A3CA7"/>
    <w:rsid w:val="003A3D1D"/>
    <w:rsid w:val="003A4277"/>
    <w:rsid w:val="003A4553"/>
    <w:rsid w:val="003A456A"/>
    <w:rsid w:val="003A45B0"/>
    <w:rsid w:val="003A486B"/>
    <w:rsid w:val="003A48F3"/>
    <w:rsid w:val="003A49BD"/>
    <w:rsid w:val="003A4E06"/>
    <w:rsid w:val="003A4E8B"/>
    <w:rsid w:val="003A53B7"/>
    <w:rsid w:val="003A57B0"/>
    <w:rsid w:val="003A5C86"/>
    <w:rsid w:val="003A5F25"/>
    <w:rsid w:val="003A682A"/>
    <w:rsid w:val="003A6DDF"/>
    <w:rsid w:val="003A72F4"/>
    <w:rsid w:val="003A73CB"/>
    <w:rsid w:val="003A79B4"/>
    <w:rsid w:val="003A7F7B"/>
    <w:rsid w:val="003B01F3"/>
    <w:rsid w:val="003B0264"/>
    <w:rsid w:val="003B03FE"/>
    <w:rsid w:val="003B079F"/>
    <w:rsid w:val="003B07CF"/>
    <w:rsid w:val="003B09C5"/>
    <w:rsid w:val="003B0E27"/>
    <w:rsid w:val="003B0EC9"/>
    <w:rsid w:val="003B17DE"/>
    <w:rsid w:val="003B20E0"/>
    <w:rsid w:val="003B27BC"/>
    <w:rsid w:val="003B285C"/>
    <w:rsid w:val="003B28FC"/>
    <w:rsid w:val="003B2960"/>
    <w:rsid w:val="003B2E69"/>
    <w:rsid w:val="003B304E"/>
    <w:rsid w:val="003B382E"/>
    <w:rsid w:val="003B40F7"/>
    <w:rsid w:val="003B458F"/>
    <w:rsid w:val="003B4E34"/>
    <w:rsid w:val="003B4FE3"/>
    <w:rsid w:val="003B514F"/>
    <w:rsid w:val="003B51C3"/>
    <w:rsid w:val="003B56CD"/>
    <w:rsid w:val="003B6229"/>
    <w:rsid w:val="003B62AA"/>
    <w:rsid w:val="003B6307"/>
    <w:rsid w:val="003B6E77"/>
    <w:rsid w:val="003B6EA5"/>
    <w:rsid w:val="003B76A5"/>
    <w:rsid w:val="003C0539"/>
    <w:rsid w:val="003C08C4"/>
    <w:rsid w:val="003C0B54"/>
    <w:rsid w:val="003C1228"/>
    <w:rsid w:val="003C1A12"/>
    <w:rsid w:val="003C246F"/>
    <w:rsid w:val="003C25F8"/>
    <w:rsid w:val="003C28C9"/>
    <w:rsid w:val="003C2ADC"/>
    <w:rsid w:val="003C3085"/>
    <w:rsid w:val="003C3442"/>
    <w:rsid w:val="003C34CD"/>
    <w:rsid w:val="003C4848"/>
    <w:rsid w:val="003C4BC7"/>
    <w:rsid w:val="003C4CCF"/>
    <w:rsid w:val="003C51B2"/>
    <w:rsid w:val="003C54BC"/>
    <w:rsid w:val="003C563E"/>
    <w:rsid w:val="003C5A70"/>
    <w:rsid w:val="003C5E03"/>
    <w:rsid w:val="003C6EC1"/>
    <w:rsid w:val="003C6FE1"/>
    <w:rsid w:val="003C7543"/>
    <w:rsid w:val="003C76E7"/>
    <w:rsid w:val="003C7D59"/>
    <w:rsid w:val="003C7DE0"/>
    <w:rsid w:val="003D004D"/>
    <w:rsid w:val="003D019A"/>
    <w:rsid w:val="003D0329"/>
    <w:rsid w:val="003D0404"/>
    <w:rsid w:val="003D0703"/>
    <w:rsid w:val="003D0837"/>
    <w:rsid w:val="003D1456"/>
    <w:rsid w:val="003D1493"/>
    <w:rsid w:val="003D1E77"/>
    <w:rsid w:val="003D23AD"/>
    <w:rsid w:val="003D24C3"/>
    <w:rsid w:val="003D2CFC"/>
    <w:rsid w:val="003D2FFB"/>
    <w:rsid w:val="003D33B6"/>
    <w:rsid w:val="003D3A60"/>
    <w:rsid w:val="003D3BF6"/>
    <w:rsid w:val="003D450C"/>
    <w:rsid w:val="003D4E8C"/>
    <w:rsid w:val="003D5219"/>
    <w:rsid w:val="003D54EE"/>
    <w:rsid w:val="003D5E12"/>
    <w:rsid w:val="003D5F0F"/>
    <w:rsid w:val="003D6273"/>
    <w:rsid w:val="003D7C8E"/>
    <w:rsid w:val="003D7F38"/>
    <w:rsid w:val="003E0001"/>
    <w:rsid w:val="003E016C"/>
    <w:rsid w:val="003E0484"/>
    <w:rsid w:val="003E06CD"/>
    <w:rsid w:val="003E0D14"/>
    <w:rsid w:val="003E1849"/>
    <w:rsid w:val="003E2D8A"/>
    <w:rsid w:val="003E34AA"/>
    <w:rsid w:val="003E350B"/>
    <w:rsid w:val="003E354A"/>
    <w:rsid w:val="003E4193"/>
    <w:rsid w:val="003E48CF"/>
    <w:rsid w:val="003E4982"/>
    <w:rsid w:val="003E4EB4"/>
    <w:rsid w:val="003E5163"/>
    <w:rsid w:val="003E524B"/>
    <w:rsid w:val="003E5287"/>
    <w:rsid w:val="003E5389"/>
    <w:rsid w:val="003E53B9"/>
    <w:rsid w:val="003E582C"/>
    <w:rsid w:val="003E5B94"/>
    <w:rsid w:val="003E614E"/>
    <w:rsid w:val="003E631A"/>
    <w:rsid w:val="003E651D"/>
    <w:rsid w:val="003E685E"/>
    <w:rsid w:val="003E68CD"/>
    <w:rsid w:val="003E6A3F"/>
    <w:rsid w:val="003E6E41"/>
    <w:rsid w:val="003E7181"/>
    <w:rsid w:val="003E7C69"/>
    <w:rsid w:val="003F0088"/>
    <w:rsid w:val="003F01E0"/>
    <w:rsid w:val="003F10B4"/>
    <w:rsid w:val="003F14CF"/>
    <w:rsid w:val="003F15F6"/>
    <w:rsid w:val="003F168E"/>
    <w:rsid w:val="003F1815"/>
    <w:rsid w:val="003F195F"/>
    <w:rsid w:val="003F1B92"/>
    <w:rsid w:val="003F2009"/>
    <w:rsid w:val="003F26A5"/>
    <w:rsid w:val="003F2E1B"/>
    <w:rsid w:val="003F3372"/>
    <w:rsid w:val="003F394F"/>
    <w:rsid w:val="003F3CCD"/>
    <w:rsid w:val="003F475E"/>
    <w:rsid w:val="003F4B79"/>
    <w:rsid w:val="003F4EC0"/>
    <w:rsid w:val="003F5536"/>
    <w:rsid w:val="003F5722"/>
    <w:rsid w:val="003F5CF5"/>
    <w:rsid w:val="003F5EBD"/>
    <w:rsid w:val="003F61BF"/>
    <w:rsid w:val="003F6909"/>
    <w:rsid w:val="003F69D0"/>
    <w:rsid w:val="003F724C"/>
    <w:rsid w:val="003F747E"/>
    <w:rsid w:val="003F784F"/>
    <w:rsid w:val="003F792C"/>
    <w:rsid w:val="003F7B92"/>
    <w:rsid w:val="004005B7"/>
    <w:rsid w:val="00400A32"/>
    <w:rsid w:val="0040143E"/>
    <w:rsid w:val="00401A1C"/>
    <w:rsid w:val="00401AA3"/>
    <w:rsid w:val="00401FBF"/>
    <w:rsid w:val="004020CE"/>
    <w:rsid w:val="00402125"/>
    <w:rsid w:val="004026C8"/>
    <w:rsid w:val="00402C2B"/>
    <w:rsid w:val="00403280"/>
    <w:rsid w:val="00403AC2"/>
    <w:rsid w:val="00404151"/>
    <w:rsid w:val="0040475B"/>
    <w:rsid w:val="00404881"/>
    <w:rsid w:val="004051D6"/>
    <w:rsid w:val="00405A98"/>
    <w:rsid w:val="00405B03"/>
    <w:rsid w:val="00405B92"/>
    <w:rsid w:val="00405CA0"/>
    <w:rsid w:val="00405EBF"/>
    <w:rsid w:val="0040633F"/>
    <w:rsid w:val="0040640A"/>
    <w:rsid w:val="00406DE7"/>
    <w:rsid w:val="004072D7"/>
    <w:rsid w:val="00407383"/>
    <w:rsid w:val="004075E4"/>
    <w:rsid w:val="004075FA"/>
    <w:rsid w:val="00410159"/>
    <w:rsid w:val="0041021F"/>
    <w:rsid w:val="00410555"/>
    <w:rsid w:val="00410A79"/>
    <w:rsid w:val="00411B36"/>
    <w:rsid w:val="00412E6A"/>
    <w:rsid w:val="0041328C"/>
    <w:rsid w:val="004135A9"/>
    <w:rsid w:val="004138BD"/>
    <w:rsid w:val="00413C11"/>
    <w:rsid w:val="00413C21"/>
    <w:rsid w:val="00414A09"/>
    <w:rsid w:val="00414A9B"/>
    <w:rsid w:val="00414BE4"/>
    <w:rsid w:val="00414E03"/>
    <w:rsid w:val="00415001"/>
    <w:rsid w:val="00415311"/>
    <w:rsid w:val="00415758"/>
    <w:rsid w:val="00415B1A"/>
    <w:rsid w:val="00415D6A"/>
    <w:rsid w:val="0041614F"/>
    <w:rsid w:val="0041633E"/>
    <w:rsid w:val="00416873"/>
    <w:rsid w:val="00416F21"/>
    <w:rsid w:val="00416F91"/>
    <w:rsid w:val="00417A6A"/>
    <w:rsid w:val="00417C74"/>
    <w:rsid w:val="00417CDC"/>
    <w:rsid w:val="00417DB2"/>
    <w:rsid w:val="004203D2"/>
    <w:rsid w:val="004203DF"/>
    <w:rsid w:val="004212AE"/>
    <w:rsid w:val="00421E17"/>
    <w:rsid w:val="004222F7"/>
    <w:rsid w:val="0042291E"/>
    <w:rsid w:val="00422BA1"/>
    <w:rsid w:val="00422BBE"/>
    <w:rsid w:val="0042536B"/>
    <w:rsid w:val="00425560"/>
    <w:rsid w:val="00425955"/>
    <w:rsid w:val="0042598A"/>
    <w:rsid w:val="00426273"/>
    <w:rsid w:val="004268B3"/>
    <w:rsid w:val="00426BDA"/>
    <w:rsid w:val="00426BFA"/>
    <w:rsid w:val="00427024"/>
    <w:rsid w:val="0042705B"/>
    <w:rsid w:val="0042753F"/>
    <w:rsid w:val="0042763B"/>
    <w:rsid w:val="004304A0"/>
    <w:rsid w:val="00430723"/>
    <w:rsid w:val="00430C53"/>
    <w:rsid w:val="00430E00"/>
    <w:rsid w:val="00430FF0"/>
    <w:rsid w:val="00431135"/>
    <w:rsid w:val="0043179A"/>
    <w:rsid w:val="00431B83"/>
    <w:rsid w:val="00431D3C"/>
    <w:rsid w:val="00431EE8"/>
    <w:rsid w:val="0043212E"/>
    <w:rsid w:val="00432378"/>
    <w:rsid w:val="00432E1B"/>
    <w:rsid w:val="00433467"/>
    <w:rsid w:val="004334FA"/>
    <w:rsid w:val="004336B6"/>
    <w:rsid w:val="004337BE"/>
    <w:rsid w:val="00433C63"/>
    <w:rsid w:val="00433CB4"/>
    <w:rsid w:val="00433F48"/>
    <w:rsid w:val="00433F96"/>
    <w:rsid w:val="00434591"/>
    <w:rsid w:val="0043474C"/>
    <w:rsid w:val="004350D1"/>
    <w:rsid w:val="00435533"/>
    <w:rsid w:val="00435B64"/>
    <w:rsid w:val="0043605C"/>
    <w:rsid w:val="004364C1"/>
    <w:rsid w:val="00436619"/>
    <w:rsid w:val="00436659"/>
    <w:rsid w:val="00436C4F"/>
    <w:rsid w:val="004372A8"/>
    <w:rsid w:val="004374C0"/>
    <w:rsid w:val="00437A93"/>
    <w:rsid w:val="00437AE2"/>
    <w:rsid w:val="00437D91"/>
    <w:rsid w:val="00440013"/>
    <w:rsid w:val="00440169"/>
    <w:rsid w:val="00440288"/>
    <w:rsid w:val="004402F3"/>
    <w:rsid w:val="00440520"/>
    <w:rsid w:val="004408B4"/>
    <w:rsid w:val="004408BA"/>
    <w:rsid w:val="00440F38"/>
    <w:rsid w:val="00441198"/>
    <w:rsid w:val="00441B96"/>
    <w:rsid w:val="00441C79"/>
    <w:rsid w:val="004426E7"/>
    <w:rsid w:val="00442A77"/>
    <w:rsid w:val="00443051"/>
    <w:rsid w:val="004432A2"/>
    <w:rsid w:val="0044376C"/>
    <w:rsid w:val="00443777"/>
    <w:rsid w:val="004437B2"/>
    <w:rsid w:val="00443F30"/>
    <w:rsid w:val="0044404A"/>
    <w:rsid w:val="00444440"/>
    <w:rsid w:val="00444DFC"/>
    <w:rsid w:val="00445276"/>
    <w:rsid w:val="0044548C"/>
    <w:rsid w:val="00445860"/>
    <w:rsid w:val="004459D9"/>
    <w:rsid w:val="00445BF1"/>
    <w:rsid w:val="00445C17"/>
    <w:rsid w:val="00445C40"/>
    <w:rsid w:val="00445C85"/>
    <w:rsid w:val="004462ED"/>
    <w:rsid w:val="00446909"/>
    <w:rsid w:val="004469D3"/>
    <w:rsid w:val="00446A4F"/>
    <w:rsid w:val="00446ABC"/>
    <w:rsid w:val="00446CDA"/>
    <w:rsid w:val="0044713F"/>
    <w:rsid w:val="00447639"/>
    <w:rsid w:val="004478AF"/>
    <w:rsid w:val="004479EF"/>
    <w:rsid w:val="00447B1F"/>
    <w:rsid w:val="00447BE6"/>
    <w:rsid w:val="00447E76"/>
    <w:rsid w:val="0045089E"/>
    <w:rsid w:val="0045091D"/>
    <w:rsid w:val="00450B38"/>
    <w:rsid w:val="00450C93"/>
    <w:rsid w:val="0045117B"/>
    <w:rsid w:val="00451677"/>
    <w:rsid w:val="00451F2B"/>
    <w:rsid w:val="004523E8"/>
    <w:rsid w:val="00452940"/>
    <w:rsid w:val="00452D7B"/>
    <w:rsid w:val="00452E43"/>
    <w:rsid w:val="0045349B"/>
    <w:rsid w:val="00453937"/>
    <w:rsid w:val="004544DB"/>
    <w:rsid w:val="004548EB"/>
    <w:rsid w:val="0045504A"/>
    <w:rsid w:val="0045528D"/>
    <w:rsid w:val="00455400"/>
    <w:rsid w:val="00455B60"/>
    <w:rsid w:val="00455C4C"/>
    <w:rsid w:val="00456032"/>
    <w:rsid w:val="0045617E"/>
    <w:rsid w:val="004572DE"/>
    <w:rsid w:val="00461124"/>
    <w:rsid w:val="00461129"/>
    <w:rsid w:val="004616B1"/>
    <w:rsid w:val="004619AE"/>
    <w:rsid w:val="00461C0C"/>
    <w:rsid w:val="00461E89"/>
    <w:rsid w:val="00461F07"/>
    <w:rsid w:val="004628E3"/>
    <w:rsid w:val="00462B34"/>
    <w:rsid w:val="00462DF2"/>
    <w:rsid w:val="00463299"/>
    <w:rsid w:val="0046345F"/>
    <w:rsid w:val="00463678"/>
    <w:rsid w:val="004637D7"/>
    <w:rsid w:val="0046399C"/>
    <w:rsid w:val="00463A92"/>
    <w:rsid w:val="00463E2F"/>
    <w:rsid w:val="00464251"/>
    <w:rsid w:val="00464D91"/>
    <w:rsid w:val="00464E0C"/>
    <w:rsid w:val="00464E76"/>
    <w:rsid w:val="00464EC4"/>
    <w:rsid w:val="00465195"/>
    <w:rsid w:val="00465244"/>
    <w:rsid w:val="00465319"/>
    <w:rsid w:val="0046549C"/>
    <w:rsid w:val="004663BD"/>
    <w:rsid w:val="00466710"/>
    <w:rsid w:val="004669FC"/>
    <w:rsid w:val="00467414"/>
    <w:rsid w:val="004675F7"/>
    <w:rsid w:val="00470086"/>
    <w:rsid w:val="0047021D"/>
    <w:rsid w:val="0047058D"/>
    <w:rsid w:val="00470868"/>
    <w:rsid w:val="004714E5"/>
    <w:rsid w:val="00471880"/>
    <w:rsid w:val="00471C71"/>
    <w:rsid w:val="00471E24"/>
    <w:rsid w:val="00471EE3"/>
    <w:rsid w:val="00472017"/>
    <w:rsid w:val="00472C13"/>
    <w:rsid w:val="00473411"/>
    <w:rsid w:val="004735F7"/>
    <w:rsid w:val="0047368E"/>
    <w:rsid w:val="00473B2B"/>
    <w:rsid w:val="00473B7F"/>
    <w:rsid w:val="00474127"/>
    <w:rsid w:val="0047428E"/>
    <w:rsid w:val="004743A5"/>
    <w:rsid w:val="004743B6"/>
    <w:rsid w:val="00474A2E"/>
    <w:rsid w:val="00474F27"/>
    <w:rsid w:val="0047505A"/>
    <w:rsid w:val="0047536D"/>
    <w:rsid w:val="004756E9"/>
    <w:rsid w:val="00475D4A"/>
    <w:rsid w:val="00476170"/>
    <w:rsid w:val="00476335"/>
    <w:rsid w:val="0047646D"/>
    <w:rsid w:val="004769D7"/>
    <w:rsid w:val="00476B84"/>
    <w:rsid w:val="00476E27"/>
    <w:rsid w:val="0047719A"/>
    <w:rsid w:val="00477696"/>
    <w:rsid w:val="00477C4C"/>
    <w:rsid w:val="00477E6A"/>
    <w:rsid w:val="00477F5F"/>
    <w:rsid w:val="00480192"/>
    <w:rsid w:val="00480252"/>
    <w:rsid w:val="00480540"/>
    <w:rsid w:val="0048097D"/>
    <w:rsid w:val="00480B4A"/>
    <w:rsid w:val="004814FC"/>
    <w:rsid w:val="00481803"/>
    <w:rsid w:val="00481E20"/>
    <w:rsid w:val="004824E8"/>
    <w:rsid w:val="00482821"/>
    <w:rsid w:val="00482923"/>
    <w:rsid w:val="00483078"/>
    <w:rsid w:val="00483101"/>
    <w:rsid w:val="0048319D"/>
    <w:rsid w:val="00483C9B"/>
    <w:rsid w:val="00483F5E"/>
    <w:rsid w:val="00484126"/>
    <w:rsid w:val="00484C20"/>
    <w:rsid w:val="00484DF5"/>
    <w:rsid w:val="00485032"/>
    <w:rsid w:val="00485360"/>
    <w:rsid w:val="00485C36"/>
    <w:rsid w:val="004860D3"/>
    <w:rsid w:val="00486382"/>
    <w:rsid w:val="004869D7"/>
    <w:rsid w:val="00486E63"/>
    <w:rsid w:val="0048767C"/>
    <w:rsid w:val="004876DF"/>
    <w:rsid w:val="0048795D"/>
    <w:rsid w:val="00487D87"/>
    <w:rsid w:val="00487F81"/>
    <w:rsid w:val="00490238"/>
    <w:rsid w:val="00490245"/>
    <w:rsid w:val="0049077F"/>
    <w:rsid w:val="00490A2D"/>
    <w:rsid w:val="00490CAA"/>
    <w:rsid w:val="0049155C"/>
    <w:rsid w:val="00491805"/>
    <w:rsid w:val="00491D1A"/>
    <w:rsid w:val="00491D2E"/>
    <w:rsid w:val="00492908"/>
    <w:rsid w:val="00492BE8"/>
    <w:rsid w:val="00492DE7"/>
    <w:rsid w:val="00493415"/>
    <w:rsid w:val="00493C4B"/>
    <w:rsid w:val="00493E78"/>
    <w:rsid w:val="00493FB8"/>
    <w:rsid w:val="004944D3"/>
    <w:rsid w:val="00496055"/>
    <w:rsid w:val="004961CF"/>
    <w:rsid w:val="004967E7"/>
    <w:rsid w:val="0049684D"/>
    <w:rsid w:val="00496B14"/>
    <w:rsid w:val="00496BDB"/>
    <w:rsid w:val="00496CA2"/>
    <w:rsid w:val="00496F18"/>
    <w:rsid w:val="00497018"/>
    <w:rsid w:val="00497931"/>
    <w:rsid w:val="00497DAD"/>
    <w:rsid w:val="00497EC9"/>
    <w:rsid w:val="004A0467"/>
    <w:rsid w:val="004A04FB"/>
    <w:rsid w:val="004A0B54"/>
    <w:rsid w:val="004A0CF9"/>
    <w:rsid w:val="004A0ED1"/>
    <w:rsid w:val="004A0FD8"/>
    <w:rsid w:val="004A12A8"/>
    <w:rsid w:val="004A1322"/>
    <w:rsid w:val="004A1408"/>
    <w:rsid w:val="004A1855"/>
    <w:rsid w:val="004A1CEA"/>
    <w:rsid w:val="004A27FA"/>
    <w:rsid w:val="004A2B79"/>
    <w:rsid w:val="004A2DF4"/>
    <w:rsid w:val="004A3A83"/>
    <w:rsid w:val="004A4799"/>
    <w:rsid w:val="004A4A21"/>
    <w:rsid w:val="004A4BF1"/>
    <w:rsid w:val="004A4E3F"/>
    <w:rsid w:val="004A5261"/>
    <w:rsid w:val="004A5294"/>
    <w:rsid w:val="004A53A9"/>
    <w:rsid w:val="004A6C05"/>
    <w:rsid w:val="004A6E23"/>
    <w:rsid w:val="004A785C"/>
    <w:rsid w:val="004A7F1F"/>
    <w:rsid w:val="004A7FCA"/>
    <w:rsid w:val="004B0138"/>
    <w:rsid w:val="004B02B6"/>
    <w:rsid w:val="004B0E08"/>
    <w:rsid w:val="004B0FF7"/>
    <w:rsid w:val="004B1057"/>
    <w:rsid w:val="004B149D"/>
    <w:rsid w:val="004B19A1"/>
    <w:rsid w:val="004B19C8"/>
    <w:rsid w:val="004B1E38"/>
    <w:rsid w:val="004B20AF"/>
    <w:rsid w:val="004B2AB8"/>
    <w:rsid w:val="004B3E33"/>
    <w:rsid w:val="004B429D"/>
    <w:rsid w:val="004B44B2"/>
    <w:rsid w:val="004B53A6"/>
    <w:rsid w:val="004B5505"/>
    <w:rsid w:val="004B5683"/>
    <w:rsid w:val="004B591E"/>
    <w:rsid w:val="004B6660"/>
    <w:rsid w:val="004B669C"/>
    <w:rsid w:val="004B6828"/>
    <w:rsid w:val="004B6C3D"/>
    <w:rsid w:val="004B6EBC"/>
    <w:rsid w:val="004B736B"/>
    <w:rsid w:val="004B79B0"/>
    <w:rsid w:val="004B79DB"/>
    <w:rsid w:val="004B7BC1"/>
    <w:rsid w:val="004B7F90"/>
    <w:rsid w:val="004C102D"/>
    <w:rsid w:val="004C1812"/>
    <w:rsid w:val="004C183C"/>
    <w:rsid w:val="004C1E9B"/>
    <w:rsid w:val="004C1F52"/>
    <w:rsid w:val="004C21F5"/>
    <w:rsid w:val="004C37A7"/>
    <w:rsid w:val="004C38BE"/>
    <w:rsid w:val="004C3934"/>
    <w:rsid w:val="004C3D60"/>
    <w:rsid w:val="004C3F6B"/>
    <w:rsid w:val="004C43F0"/>
    <w:rsid w:val="004C470A"/>
    <w:rsid w:val="004C48ED"/>
    <w:rsid w:val="004C49A1"/>
    <w:rsid w:val="004C4FF7"/>
    <w:rsid w:val="004C59F8"/>
    <w:rsid w:val="004C5BC5"/>
    <w:rsid w:val="004C5D62"/>
    <w:rsid w:val="004C6FC8"/>
    <w:rsid w:val="004C735D"/>
    <w:rsid w:val="004C7848"/>
    <w:rsid w:val="004C7D30"/>
    <w:rsid w:val="004C7E64"/>
    <w:rsid w:val="004D062E"/>
    <w:rsid w:val="004D079A"/>
    <w:rsid w:val="004D0E41"/>
    <w:rsid w:val="004D0F95"/>
    <w:rsid w:val="004D186F"/>
    <w:rsid w:val="004D1A9F"/>
    <w:rsid w:val="004D1FED"/>
    <w:rsid w:val="004D2250"/>
    <w:rsid w:val="004D2274"/>
    <w:rsid w:val="004D251F"/>
    <w:rsid w:val="004D2800"/>
    <w:rsid w:val="004D2843"/>
    <w:rsid w:val="004D2F0B"/>
    <w:rsid w:val="004D2F82"/>
    <w:rsid w:val="004D31DD"/>
    <w:rsid w:val="004D31EF"/>
    <w:rsid w:val="004D39D6"/>
    <w:rsid w:val="004D3BAA"/>
    <w:rsid w:val="004D40B3"/>
    <w:rsid w:val="004D431D"/>
    <w:rsid w:val="004D48F1"/>
    <w:rsid w:val="004D5213"/>
    <w:rsid w:val="004D5521"/>
    <w:rsid w:val="004D5BC3"/>
    <w:rsid w:val="004D5BE9"/>
    <w:rsid w:val="004D61E4"/>
    <w:rsid w:val="004D67C3"/>
    <w:rsid w:val="004D6E74"/>
    <w:rsid w:val="004D7F75"/>
    <w:rsid w:val="004E079E"/>
    <w:rsid w:val="004E0D39"/>
    <w:rsid w:val="004E0DD4"/>
    <w:rsid w:val="004E11EC"/>
    <w:rsid w:val="004E14BC"/>
    <w:rsid w:val="004E177F"/>
    <w:rsid w:val="004E1887"/>
    <w:rsid w:val="004E1F57"/>
    <w:rsid w:val="004E2112"/>
    <w:rsid w:val="004E29AD"/>
    <w:rsid w:val="004E2A05"/>
    <w:rsid w:val="004E2A92"/>
    <w:rsid w:val="004E2EB4"/>
    <w:rsid w:val="004E3559"/>
    <w:rsid w:val="004E3673"/>
    <w:rsid w:val="004E40AE"/>
    <w:rsid w:val="004E44A4"/>
    <w:rsid w:val="004E50FB"/>
    <w:rsid w:val="004E51CB"/>
    <w:rsid w:val="004E5459"/>
    <w:rsid w:val="004E5E95"/>
    <w:rsid w:val="004E61E6"/>
    <w:rsid w:val="004E6BA0"/>
    <w:rsid w:val="004E6D2C"/>
    <w:rsid w:val="004E70D2"/>
    <w:rsid w:val="004E716B"/>
    <w:rsid w:val="004E71DD"/>
    <w:rsid w:val="004E764F"/>
    <w:rsid w:val="004E7EBE"/>
    <w:rsid w:val="004E7FED"/>
    <w:rsid w:val="004F01A9"/>
    <w:rsid w:val="004F0DDC"/>
    <w:rsid w:val="004F11E9"/>
    <w:rsid w:val="004F1829"/>
    <w:rsid w:val="004F1BBE"/>
    <w:rsid w:val="004F221A"/>
    <w:rsid w:val="004F2486"/>
    <w:rsid w:val="004F25D4"/>
    <w:rsid w:val="004F2F55"/>
    <w:rsid w:val="004F2F56"/>
    <w:rsid w:val="004F3AC7"/>
    <w:rsid w:val="004F3BEC"/>
    <w:rsid w:val="004F3F27"/>
    <w:rsid w:val="004F4083"/>
    <w:rsid w:val="004F44B6"/>
    <w:rsid w:val="004F46E0"/>
    <w:rsid w:val="004F479D"/>
    <w:rsid w:val="004F50A8"/>
    <w:rsid w:val="004F5574"/>
    <w:rsid w:val="004F5BCD"/>
    <w:rsid w:val="004F6138"/>
    <w:rsid w:val="004F6283"/>
    <w:rsid w:val="004F6563"/>
    <w:rsid w:val="004F743C"/>
    <w:rsid w:val="004F77B9"/>
    <w:rsid w:val="00500C2F"/>
    <w:rsid w:val="0050102D"/>
    <w:rsid w:val="005011F9"/>
    <w:rsid w:val="0050162C"/>
    <w:rsid w:val="00501845"/>
    <w:rsid w:val="00501B98"/>
    <w:rsid w:val="00503134"/>
    <w:rsid w:val="005031C6"/>
    <w:rsid w:val="005031E8"/>
    <w:rsid w:val="00503222"/>
    <w:rsid w:val="00503572"/>
    <w:rsid w:val="005036EF"/>
    <w:rsid w:val="005037C5"/>
    <w:rsid w:val="00503B7D"/>
    <w:rsid w:val="00504111"/>
    <w:rsid w:val="0050454A"/>
    <w:rsid w:val="005046EA"/>
    <w:rsid w:val="0050494C"/>
    <w:rsid w:val="00504CFD"/>
    <w:rsid w:val="0050561B"/>
    <w:rsid w:val="00506447"/>
    <w:rsid w:val="005065F2"/>
    <w:rsid w:val="0050661C"/>
    <w:rsid w:val="00506A7A"/>
    <w:rsid w:val="00507418"/>
    <w:rsid w:val="005074E8"/>
    <w:rsid w:val="005100E1"/>
    <w:rsid w:val="0051053F"/>
    <w:rsid w:val="005105E8"/>
    <w:rsid w:val="00510B76"/>
    <w:rsid w:val="00510B8C"/>
    <w:rsid w:val="00510BD5"/>
    <w:rsid w:val="00510C55"/>
    <w:rsid w:val="00510D08"/>
    <w:rsid w:val="00510D15"/>
    <w:rsid w:val="00510DBE"/>
    <w:rsid w:val="00510FC1"/>
    <w:rsid w:val="0051106C"/>
    <w:rsid w:val="0051158A"/>
    <w:rsid w:val="00511702"/>
    <w:rsid w:val="00511812"/>
    <w:rsid w:val="00511A98"/>
    <w:rsid w:val="00511BFA"/>
    <w:rsid w:val="00511C3B"/>
    <w:rsid w:val="00511CC6"/>
    <w:rsid w:val="00512725"/>
    <w:rsid w:val="00512952"/>
    <w:rsid w:val="00513090"/>
    <w:rsid w:val="0051313A"/>
    <w:rsid w:val="0051371E"/>
    <w:rsid w:val="0051389D"/>
    <w:rsid w:val="00513A52"/>
    <w:rsid w:val="00513BE7"/>
    <w:rsid w:val="00514074"/>
    <w:rsid w:val="00514178"/>
    <w:rsid w:val="0051442B"/>
    <w:rsid w:val="00514476"/>
    <w:rsid w:val="00514960"/>
    <w:rsid w:val="00514979"/>
    <w:rsid w:val="00514A43"/>
    <w:rsid w:val="00514B52"/>
    <w:rsid w:val="005155DF"/>
    <w:rsid w:val="005155F1"/>
    <w:rsid w:val="00515917"/>
    <w:rsid w:val="00515A41"/>
    <w:rsid w:val="00515D37"/>
    <w:rsid w:val="005160A1"/>
    <w:rsid w:val="00516296"/>
    <w:rsid w:val="00516540"/>
    <w:rsid w:val="005168F5"/>
    <w:rsid w:val="0051695D"/>
    <w:rsid w:val="00516CC7"/>
    <w:rsid w:val="005175CB"/>
    <w:rsid w:val="00517FBC"/>
    <w:rsid w:val="005201D5"/>
    <w:rsid w:val="00520C17"/>
    <w:rsid w:val="00520D03"/>
    <w:rsid w:val="00520E80"/>
    <w:rsid w:val="0052102D"/>
    <w:rsid w:val="0052108C"/>
    <w:rsid w:val="00521667"/>
    <w:rsid w:val="00521D27"/>
    <w:rsid w:val="00521E32"/>
    <w:rsid w:val="00522724"/>
    <w:rsid w:val="00522D02"/>
    <w:rsid w:val="00522F8E"/>
    <w:rsid w:val="00523428"/>
    <w:rsid w:val="0052432C"/>
    <w:rsid w:val="00524827"/>
    <w:rsid w:val="0052490E"/>
    <w:rsid w:val="0052494F"/>
    <w:rsid w:val="00524AC0"/>
    <w:rsid w:val="00524EA2"/>
    <w:rsid w:val="00525053"/>
    <w:rsid w:val="0052511B"/>
    <w:rsid w:val="005258CC"/>
    <w:rsid w:val="00525E35"/>
    <w:rsid w:val="00525EC4"/>
    <w:rsid w:val="00525F8C"/>
    <w:rsid w:val="00526985"/>
    <w:rsid w:val="00527403"/>
    <w:rsid w:val="00530099"/>
    <w:rsid w:val="00530597"/>
    <w:rsid w:val="00530C2F"/>
    <w:rsid w:val="00530FF0"/>
    <w:rsid w:val="0053107F"/>
    <w:rsid w:val="0053128D"/>
    <w:rsid w:val="00531816"/>
    <w:rsid w:val="005322F8"/>
    <w:rsid w:val="005328E8"/>
    <w:rsid w:val="00532FE9"/>
    <w:rsid w:val="005337FE"/>
    <w:rsid w:val="00533DA7"/>
    <w:rsid w:val="005341DF"/>
    <w:rsid w:val="005343BF"/>
    <w:rsid w:val="005343F0"/>
    <w:rsid w:val="00534930"/>
    <w:rsid w:val="00534BBB"/>
    <w:rsid w:val="005350C5"/>
    <w:rsid w:val="00535254"/>
    <w:rsid w:val="0053543B"/>
    <w:rsid w:val="005356F8"/>
    <w:rsid w:val="0053579C"/>
    <w:rsid w:val="00535D64"/>
    <w:rsid w:val="00536056"/>
    <w:rsid w:val="00536851"/>
    <w:rsid w:val="00537406"/>
    <w:rsid w:val="00537E6E"/>
    <w:rsid w:val="005400AD"/>
    <w:rsid w:val="00540D8D"/>
    <w:rsid w:val="00540F1F"/>
    <w:rsid w:val="00541EDE"/>
    <w:rsid w:val="005424BC"/>
    <w:rsid w:val="0054270C"/>
    <w:rsid w:val="005427DB"/>
    <w:rsid w:val="00542C9E"/>
    <w:rsid w:val="00543020"/>
    <w:rsid w:val="00543122"/>
    <w:rsid w:val="0054384C"/>
    <w:rsid w:val="00543883"/>
    <w:rsid w:val="0054391F"/>
    <w:rsid w:val="00543A40"/>
    <w:rsid w:val="005442AA"/>
    <w:rsid w:val="00544CD8"/>
    <w:rsid w:val="00544CE5"/>
    <w:rsid w:val="00545523"/>
    <w:rsid w:val="00545ADD"/>
    <w:rsid w:val="00545CC3"/>
    <w:rsid w:val="00545D41"/>
    <w:rsid w:val="00545FEF"/>
    <w:rsid w:val="00546DF3"/>
    <w:rsid w:val="00547028"/>
    <w:rsid w:val="005475A4"/>
    <w:rsid w:val="0055025C"/>
    <w:rsid w:val="005509A3"/>
    <w:rsid w:val="00550A4F"/>
    <w:rsid w:val="00550DE6"/>
    <w:rsid w:val="0055172C"/>
    <w:rsid w:val="00551BE1"/>
    <w:rsid w:val="00552572"/>
    <w:rsid w:val="005532F2"/>
    <w:rsid w:val="00553BA7"/>
    <w:rsid w:val="00553C92"/>
    <w:rsid w:val="0055402F"/>
    <w:rsid w:val="005543A0"/>
    <w:rsid w:val="005546A5"/>
    <w:rsid w:val="005546AD"/>
    <w:rsid w:val="00554D8D"/>
    <w:rsid w:val="00554E41"/>
    <w:rsid w:val="00554E5F"/>
    <w:rsid w:val="0055505C"/>
    <w:rsid w:val="0055574E"/>
    <w:rsid w:val="00555A52"/>
    <w:rsid w:val="00555EB5"/>
    <w:rsid w:val="00555EFA"/>
    <w:rsid w:val="00555FA6"/>
    <w:rsid w:val="005560FF"/>
    <w:rsid w:val="005561CB"/>
    <w:rsid w:val="005561DF"/>
    <w:rsid w:val="0055659A"/>
    <w:rsid w:val="00556720"/>
    <w:rsid w:val="00557233"/>
    <w:rsid w:val="0055743A"/>
    <w:rsid w:val="00557EF7"/>
    <w:rsid w:val="00560006"/>
    <w:rsid w:val="005600CD"/>
    <w:rsid w:val="0056013B"/>
    <w:rsid w:val="005605FB"/>
    <w:rsid w:val="005609F4"/>
    <w:rsid w:val="00560E85"/>
    <w:rsid w:val="00560E8E"/>
    <w:rsid w:val="00560F13"/>
    <w:rsid w:val="005615C0"/>
    <w:rsid w:val="00561B72"/>
    <w:rsid w:val="00562736"/>
    <w:rsid w:val="00562D0D"/>
    <w:rsid w:val="00563072"/>
    <w:rsid w:val="00563DD2"/>
    <w:rsid w:val="0056439B"/>
    <w:rsid w:val="00564522"/>
    <w:rsid w:val="00564551"/>
    <w:rsid w:val="005648B4"/>
    <w:rsid w:val="005655EA"/>
    <w:rsid w:val="00565CFF"/>
    <w:rsid w:val="00565F21"/>
    <w:rsid w:val="00565FE9"/>
    <w:rsid w:val="005660BB"/>
    <w:rsid w:val="00566120"/>
    <w:rsid w:val="00566155"/>
    <w:rsid w:val="005677BA"/>
    <w:rsid w:val="00567C3A"/>
    <w:rsid w:val="00567E14"/>
    <w:rsid w:val="005701CE"/>
    <w:rsid w:val="00570FAA"/>
    <w:rsid w:val="0057179E"/>
    <w:rsid w:val="00571B0B"/>
    <w:rsid w:val="00571CFF"/>
    <w:rsid w:val="0057212F"/>
    <w:rsid w:val="00572487"/>
    <w:rsid w:val="005724F3"/>
    <w:rsid w:val="00572BBF"/>
    <w:rsid w:val="00572F3A"/>
    <w:rsid w:val="00572F86"/>
    <w:rsid w:val="00572F89"/>
    <w:rsid w:val="005734C8"/>
    <w:rsid w:val="00574041"/>
    <w:rsid w:val="0057452C"/>
    <w:rsid w:val="00574F89"/>
    <w:rsid w:val="00574FB2"/>
    <w:rsid w:val="00575641"/>
    <w:rsid w:val="005758BE"/>
    <w:rsid w:val="00575C4F"/>
    <w:rsid w:val="00575FEE"/>
    <w:rsid w:val="005766A1"/>
    <w:rsid w:val="00576997"/>
    <w:rsid w:val="005774BE"/>
    <w:rsid w:val="00577626"/>
    <w:rsid w:val="0057796B"/>
    <w:rsid w:val="00577F53"/>
    <w:rsid w:val="005802BA"/>
    <w:rsid w:val="005805C4"/>
    <w:rsid w:val="005805DD"/>
    <w:rsid w:val="0058065B"/>
    <w:rsid w:val="00580AF8"/>
    <w:rsid w:val="0058132B"/>
    <w:rsid w:val="00581373"/>
    <w:rsid w:val="005816F2"/>
    <w:rsid w:val="005817F7"/>
    <w:rsid w:val="00581AC8"/>
    <w:rsid w:val="00581C0C"/>
    <w:rsid w:val="00581DC8"/>
    <w:rsid w:val="005822CD"/>
    <w:rsid w:val="005822D5"/>
    <w:rsid w:val="005839D1"/>
    <w:rsid w:val="005840A4"/>
    <w:rsid w:val="005844BA"/>
    <w:rsid w:val="00584BC1"/>
    <w:rsid w:val="0058535E"/>
    <w:rsid w:val="00585363"/>
    <w:rsid w:val="005856A0"/>
    <w:rsid w:val="005859D7"/>
    <w:rsid w:val="00586256"/>
    <w:rsid w:val="0058671A"/>
    <w:rsid w:val="00586A4A"/>
    <w:rsid w:val="0058708B"/>
    <w:rsid w:val="00587514"/>
    <w:rsid w:val="00587FC5"/>
    <w:rsid w:val="00590978"/>
    <w:rsid w:val="00590D6F"/>
    <w:rsid w:val="00591128"/>
    <w:rsid w:val="005911DF"/>
    <w:rsid w:val="005915E8"/>
    <w:rsid w:val="00591E37"/>
    <w:rsid w:val="005924DC"/>
    <w:rsid w:val="005926CC"/>
    <w:rsid w:val="00592746"/>
    <w:rsid w:val="00592826"/>
    <w:rsid w:val="00592F70"/>
    <w:rsid w:val="00593010"/>
    <w:rsid w:val="0059321C"/>
    <w:rsid w:val="0059345F"/>
    <w:rsid w:val="0059361C"/>
    <w:rsid w:val="005942E0"/>
    <w:rsid w:val="00594B37"/>
    <w:rsid w:val="005951D8"/>
    <w:rsid w:val="00595AEB"/>
    <w:rsid w:val="00595EAB"/>
    <w:rsid w:val="005968AE"/>
    <w:rsid w:val="00596921"/>
    <w:rsid w:val="005970EB"/>
    <w:rsid w:val="00597F71"/>
    <w:rsid w:val="005A0483"/>
    <w:rsid w:val="005A0ABE"/>
    <w:rsid w:val="005A0C6D"/>
    <w:rsid w:val="005A0DBE"/>
    <w:rsid w:val="005A0ECB"/>
    <w:rsid w:val="005A10FE"/>
    <w:rsid w:val="005A124F"/>
    <w:rsid w:val="005A1685"/>
    <w:rsid w:val="005A1A51"/>
    <w:rsid w:val="005A21F1"/>
    <w:rsid w:val="005A2478"/>
    <w:rsid w:val="005A27E5"/>
    <w:rsid w:val="005A2989"/>
    <w:rsid w:val="005A2ACD"/>
    <w:rsid w:val="005A2AE3"/>
    <w:rsid w:val="005A2DB4"/>
    <w:rsid w:val="005A3438"/>
    <w:rsid w:val="005A37C4"/>
    <w:rsid w:val="005A3984"/>
    <w:rsid w:val="005A3EA6"/>
    <w:rsid w:val="005A4A09"/>
    <w:rsid w:val="005A4B1C"/>
    <w:rsid w:val="005A4E04"/>
    <w:rsid w:val="005A500C"/>
    <w:rsid w:val="005A51A6"/>
    <w:rsid w:val="005A5464"/>
    <w:rsid w:val="005A54B9"/>
    <w:rsid w:val="005A5AE2"/>
    <w:rsid w:val="005A631F"/>
    <w:rsid w:val="005A65B1"/>
    <w:rsid w:val="005A65C9"/>
    <w:rsid w:val="005A6AD9"/>
    <w:rsid w:val="005A6DAF"/>
    <w:rsid w:val="005A6FEA"/>
    <w:rsid w:val="005A75AE"/>
    <w:rsid w:val="005A7D7E"/>
    <w:rsid w:val="005A7F6F"/>
    <w:rsid w:val="005A7FCF"/>
    <w:rsid w:val="005B0034"/>
    <w:rsid w:val="005B0051"/>
    <w:rsid w:val="005B077A"/>
    <w:rsid w:val="005B0969"/>
    <w:rsid w:val="005B09FD"/>
    <w:rsid w:val="005B0A18"/>
    <w:rsid w:val="005B10EC"/>
    <w:rsid w:val="005B130D"/>
    <w:rsid w:val="005B1447"/>
    <w:rsid w:val="005B1946"/>
    <w:rsid w:val="005B227A"/>
    <w:rsid w:val="005B24EF"/>
    <w:rsid w:val="005B2609"/>
    <w:rsid w:val="005B27CB"/>
    <w:rsid w:val="005B286B"/>
    <w:rsid w:val="005B2A05"/>
    <w:rsid w:val="005B2D53"/>
    <w:rsid w:val="005B36C6"/>
    <w:rsid w:val="005B3BCA"/>
    <w:rsid w:val="005B41A1"/>
    <w:rsid w:val="005B429B"/>
    <w:rsid w:val="005B42C6"/>
    <w:rsid w:val="005B4447"/>
    <w:rsid w:val="005B4870"/>
    <w:rsid w:val="005B4AF1"/>
    <w:rsid w:val="005B4D61"/>
    <w:rsid w:val="005B5B49"/>
    <w:rsid w:val="005B5B72"/>
    <w:rsid w:val="005B5FFA"/>
    <w:rsid w:val="005B61F2"/>
    <w:rsid w:val="005B633B"/>
    <w:rsid w:val="005B67F8"/>
    <w:rsid w:val="005B6D97"/>
    <w:rsid w:val="005B6E4B"/>
    <w:rsid w:val="005B6F40"/>
    <w:rsid w:val="005B7076"/>
    <w:rsid w:val="005B70C2"/>
    <w:rsid w:val="005B72D2"/>
    <w:rsid w:val="005B7398"/>
    <w:rsid w:val="005B744C"/>
    <w:rsid w:val="005B7A3F"/>
    <w:rsid w:val="005B7C2C"/>
    <w:rsid w:val="005B7C61"/>
    <w:rsid w:val="005B7E4F"/>
    <w:rsid w:val="005C01E9"/>
    <w:rsid w:val="005C05E9"/>
    <w:rsid w:val="005C06D3"/>
    <w:rsid w:val="005C0CD6"/>
    <w:rsid w:val="005C0DE3"/>
    <w:rsid w:val="005C0FDF"/>
    <w:rsid w:val="005C15C5"/>
    <w:rsid w:val="005C180D"/>
    <w:rsid w:val="005C19DC"/>
    <w:rsid w:val="005C1F3B"/>
    <w:rsid w:val="005C1FFE"/>
    <w:rsid w:val="005C2795"/>
    <w:rsid w:val="005C28EA"/>
    <w:rsid w:val="005C2E03"/>
    <w:rsid w:val="005C33E4"/>
    <w:rsid w:val="005C466B"/>
    <w:rsid w:val="005C4703"/>
    <w:rsid w:val="005C488F"/>
    <w:rsid w:val="005C4A50"/>
    <w:rsid w:val="005C4DD7"/>
    <w:rsid w:val="005C5725"/>
    <w:rsid w:val="005C5ADF"/>
    <w:rsid w:val="005C6514"/>
    <w:rsid w:val="005C6589"/>
    <w:rsid w:val="005C6617"/>
    <w:rsid w:val="005C672A"/>
    <w:rsid w:val="005C6EEC"/>
    <w:rsid w:val="005C71B2"/>
    <w:rsid w:val="005C7A1B"/>
    <w:rsid w:val="005C7B73"/>
    <w:rsid w:val="005C7E0B"/>
    <w:rsid w:val="005D00C7"/>
    <w:rsid w:val="005D01BC"/>
    <w:rsid w:val="005D0698"/>
    <w:rsid w:val="005D0A3A"/>
    <w:rsid w:val="005D137E"/>
    <w:rsid w:val="005D157D"/>
    <w:rsid w:val="005D1A7D"/>
    <w:rsid w:val="005D1BBF"/>
    <w:rsid w:val="005D1F28"/>
    <w:rsid w:val="005D1F43"/>
    <w:rsid w:val="005D2781"/>
    <w:rsid w:val="005D2797"/>
    <w:rsid w:val="005D2BA4"/>
    <w:rsid w:val="005D2CBF"/>
    <w:rsid w:val="005D34BF"/>
    <w:rsid w:val="005D38BB"/>
    <w:rsid w:val="005D3DC5"/>
    <w:rsid w:val="005D3EE9"/>
    <w:rsid w:val="005D4040"/>
    <w:rsid w:val="005D41F8"/>
    <w:rsid w:val="005D4207"/>
    <w:rsid w:val="005D43F0"/>
    <w:rsid w:val="005D5A91"/>
    <w:rsid w:val="005D5A9F"/>
    <w:rsid w:val="005D5C4D"/>
    <w:rsid w:val="005D622F"/>
    <w:rsid w:val="005D6905"/>
    <w:rsid w:val="005D6FA9"/>
    <w:rsid w:val="005D7382"/>
    <w:rsid w:val="005D7A81"/>
    <w:rsid w:val="005E020D"/>
    <w:rsid w:val="005E04B8"/>
    <w:rsid w:val="005E0753"/>
    <w:rsid w:val="005E0CB2"/>
    <w:rsid w:val="005E0DE7"/>
    <w:rsid w:val="005E12FF"/>
    <w:rsid w:val="005E1675"/>
    <w:rsid w:val="005E18B2"/>
    <w:rsid w:val="005E1B0D"/>
    <w:rsid w:val="005E1D4D"/>
    <w:rsid w:val="005E228E"/>
    <w:rsid w:val="005E24A3"/>
    <w:rsid w:val="005E2513"/>
    <w:rsid w:val="005E272B"/>
    <w:rsid w:val="005E294F"/>
    <w:rsid w:val="005E2A9F"/>
    <w:rsid w:val="005E2CF7"/>
    <w:rsid w:val="005E2D58"/>
    <w:rsid w:val="005E2DB1"/>
    <w:rsid w:val="005E2E38"/>
    <w:rsid w:val="005E2FED"/>
    <w:rsid w:val="005E342E"/>
    <w:rsid w:val="005E39E2"/>
    <w:rsid w:val="005E3D16"/>
    <w:rsid w:val="005E3DC6"/>
    <w:rsid w:val="005E3FBC"/>
    <w:rsid w:val="005E449B"/>
    <w:rsid w:val="005E466D"/>
    <w:rsid w:val="005E4A67"/>
    <w:rsid w:val="005E51D2"/>
    <w:rsid w:val="005E5DB1"/>
    <w:rsid w:val="005E6314"/>
    <w:rsid w:val="005E6A35"/>
    <w:rsid w:val="005E7139"/>
    <w:rsid w:val="005E7319"/>
    <w:rsid w:val="005E735B"/>
    <w:rsid w:val="005E738E"/>
    <w:rsid w:val="005F01FE"/>
    <w:rsid w:val="005F04E5"/>
    <w:rsid w:val="005F06B1"/>
    <w:rsid w:val="005F0BC6"/>
    <w:rsid w:val="005F0C46"/>
    <w:rsid w:val="005F13FD"/>
    <w:rsid w:val="005F1948"/>
    <w:rsid w:val="005F244A"/>
    <w:rsid w:val="005F273D"/>
    <w:rsid w:val="005F302A"/>
    <w:rsid w:val="005F34CA"/>
    <w:rsid w:val="005F35E1"/>
    <w:rsid w:val="005F36D2"/>
    <w:rsid w:val="005F4589"/>
    <w:rsid w:val="005F4666"/>
    <w:rsid w:val="005F47DE"/>
    <w:rsid w:val="005F57B0"/>
    <w:rsid w:val="005F5EDE"/>
    <w:rsid w:val="005F619D"/>
    <w:rsid w:val="005F6962"/>
    <w:rsid w:val="005F697C"/>
    <w:rsid w:val="005F6B5E"/>
    <w:rsid w:val="005F6D0A"/>
    <w:rsid w:val="005F6FBB"/>
    <w:rsid w:val="005F7168"/>
    <w:rsid w:val="005F7BDC"/>
    <w:rsid w:val="005F7F29"/>
    <w:rsid w:val="005F7F69"/>
    <w:rsid w:val="006001DC"/>
    <w:rsid w:val="0060083E"/>
    <w:rsid w:val="006009A6"/>
    <w:rsid w:val="00600D62"/>
    <w:rsid w:val="006012FA"/>
    <w:rsid w:val="006013AC"/>
    <w:rsid w:val="006014F0"/>
    <w:rsid w:val="00601570"/>
    <w:rsid w:val="006017CA"/>
    <w:rsid w:val="00601D51"/>
    <w:rsid w:val="00601F99"/>
    <w:rsid w:val="00602104"/>
    <w:rsid w:val="00603246"/>
    <w:rsid w:val="006035AD"/>
    <w:rsid w:val="00603ACC"/>
    <w:rsid w:val="00603C6D"/>
    <w:rsid w:val="0060403E"/>
    <w:rsid w:val="006042C2"/>
    <w:rsid w:val="00604C21"/>
    <w:rsid w:val="00604DD0"/>
    <w:rsid w:val="0060592B"/>
    <w:rsid w:val="00605CDD"/>
    <w:rsid w:val="006062B1"/>
    <w:rsid w:val="00606761"/>
    <w:rsid w:val="00606EA0"/>
    <w:rsid w:val="00606EFD"/>
    <w:rsid w:val="00606F3F"/>
    <w:rsid w:val="0060714B"/>
    <w:rsid w:val="006076C3"/>
    <w:rsid w:val="0060771D"/>
    <w:rsid w:val="0060774B"/>
    <w:rsid w:val="00607CC4"/>
    <w:rsid w:val="00610284"/>
    <w:rsid w:val="0061030B"/>
    <w:rsid w:val="006104AE"/>
    <w:rsid w:val="00610C49"/>
    <w:rsid w:val="00610E5E"/>
    <w:rsid w:val="00610F1D"/>
    <w:rsid w:val="00611128"/>
    <w:rsid w:val="0061134B"/>
    <w:rsid w:val="006114A2"/>
    <w:rsid w:val="00611B30"/>
    <w:rsid w:val="00613320"/>
    <w:rsid w:val="006135FD"/>
    <w:rsid w:val="006137E7"/>
    <w:rsid w:val="006137F5"/>
    <w:rsid w:val="006138AD"/>
    <w:rsid w:val="00613DE6"/>
    <w:rsid w:val="00613E64"/>
    <w:rsid w:val="0061416F"/>
    <w:rsid w:val="006141D0"/>
    <w:rsid w:val="00614ACF"/>
    <w:rsid w:val="00614BEC"/>
    <w:rsid w:val="00614F9C"/>
    <w:rsid w:val="00615837"/>
    <w:rsid w:val="00615C58"/>
    <w:rsid w:val="00615E5C"/>
    <w:rsid w:val="00615F18"/>
    <w:rsid w:val="006161A1"/>
    <w:rsid w:val="006165CA"/>
    <w:rsid w:val="006167B0"/>
    <w:rsid w:val="00616A29"/>
    <w:rsid w:val="00617C2C"/>
    <w:rsid w:val="00617C46"/>
    <w:rsid w:val="00617C85"/>
    <w:rsid w:val="00617EE7"/>
    <w:rsid w:val="0062012F"/>
    <w:rsid w:val="00621570"/>
    <w:rsid w:val="00621A7B"/>
    <w:rsid w:val="00621B95"/>
    <w:rsid w:val="0062209F"/>
    <w:rsid w:val="00622620"/>
    <w:rsid w:val="00622664"/>
    <w:rsid w:val="00622695"/>
    <w:rsid w:val="006227BC"/>
    <w:rsid w:val="00622DA4"/>
    <w:rsid w:val="00622F35"/>
    <w:rsid w:val="00622FFA"/>
    <w:rsid w:val="0062340F"/>
    <w:rsid w:val="00623EC6"/>
    <w:rsid w:val="00623F49"/>
    <w:rsid w:val="006252B7"/>
    <w:rsid w:val="006259CE"/>
    <w:rsid w:val="00625A3E"/>
    <w:rsid w:val="00625B25"/>
    <w:rsid w:val="00625E20"/>
    <w:rsid w:val="0062683F"/>
    <w:rsid w:val="006268B8"/>
    <w:rsid w:val="00626BC1"/>
    <w:rsid w:val="00626C8B"/>
    <w:rsid w:val="006272A2"/>
    <w:rsid w:val="006272DF"/>
    <w:rsid w:val="00627DCC"/>
    <w:rsid w:val="00630105"/>
    <w:rsid w:val="006303C8"/>
    <w:rsid w:val="006304D5"/>
    <w:rsid w:val="00630E1D"/>
    <w:rsid w:val="0063100E"/>
    <w:rsid w:val="00631362"/>
    <w:rsid w:val="00631900"/>
    <w:rsid w:val="00631C16"/>
    <w:rsid w:val="00631DEB"/>
    <w:rsid w:val="00631E9F"/>
    <w:rsid w:val="00631EAD"/>
    <w:rsid w:val="00631F0E"/>
    <w:rsid w:val="006321B2"/>
    <w:rsid w:val="00632216"/>
    <w:rsid w:val="00632D66"/>
    <w:rsid w:val="0063339C"/>
    <w:rsid w:val="006334E9"/>
    <w:rsid w:val="006339C2"/>
    <w:rsid w:val="00633AFB"/>
    <w:rsid w:val="00633EF8"/>
    <w:rsid w:val="00633F3C"/>
    <w:rsid w:val="00634027"/>
    <w:rsid w:val="00634164"/>
    <w:rsid w:val="006342D1"/>
    <w:rsid w:val="00634AA8"/>
    <w:rsid w:val="00635FD9"/>
    <w:rsid w:val="0063603A"/>
    <w:rsid w:val="006362BE"/>
    <w:rsid w:val="00636792"/>
    <w:rsid w:val="00636DE7"/>
    <w:rsid w:val="00637004"/>
    <w:rsid w:val="006375CD"/>
    <w:rsid w:val="00637A80"/>
    <w:rsid w:val="00637C09"/>
    <w:rsid w:val="00640CFD"/>
    <w:rsid w:val="00640FAE"/>
    <w:rsid w:val="006412DD"/>
    <w:rsid w:val="006412F7"/>
    <w:rsid w:val="006418E6"/>
    <w:rsid w:val="00641907"/>
    <w:rsid w:val="00641D22"/>
    <w:rsid w:val="00642160"/>
    <w:rsid w:val="006428DC"/>
    <w:rsid w:val="006429C5"/>
    <w:rsid w:val="00643950"/>
    <w:rsid w:val="00643CA2"/>
    <w:rsid w:val="0064432C"/>
    <w:rsid w:val="006445A1"/>
    <w:rsid w:val="00644BA5"/>
    <w:rsid w:val="00644E2A"/>
    <w:rsid w:val="00645765"/>
    <w:rsid w:val="00645C51"/>
    <w:rsid w:val="00645DAD"/>
    <w:rsid w:val="006464E2"/>
    <w:rsid w:val="00646529"/>
    <w:rsid w:val="00646A7F"/>
    <w:rsid w:val="0064702A"/>
    <w:rsid w:val="0064712A"/>
    <w:rsid w:val="0064755C"/>
    <w:rsid w:val="00647869"/>
    <w:rsid w:val="0064788C"/>
    <w:rsid w:val="00647A8C"/>
    <w:rsid w:val="00647E63"/>
    <w:rsid w:val="00647F9F"/>
    <w:rsid w:val="00650A89"/>
    <w:rsid w:val="00650ACE"/>
    <w:rsid w:val="00650C20"/>
    <w:rsid w:val="00650E72"/>
    <w:rsid w:val="00650EF5"/>
    <w:rsid w:val="00651100"/>
    <w:rsid w:val="006511D3"/>
    <w:rsid w:val="0065121A"/>
    <w:rsid w:val="00651255"/>
    <w:rsid w:val="006518F8"/>
    <w:rsid w:val="00651C24"/>
    <w:rsid w:val="00651CB2"/>
    <w:rsid w:val="006526C5"/>
    <w:rsid w:val="006529F7"/>
    <w:rsid w:val="00652AE5"/>
    <w:rsid w:val="00652C62"/>
    <w:rsid w:val="00652F0C"/>
    <w:rsid w:val="00653301"/>
    <w:rsid w:val="00653C03"/>
    <w:rsid w:val="00653C39"/>
    <w:rsid w:val="00653D02"/>
    <w:rsid w:val="00654439"/>
    <w:rsid w:val="0065452F"/>
    <w:rsid w:val="006546C2"/>
    <w:rsid w:val="006547A8"/>
    <w:rsid w:val="006547BD"/>
    <w:rsid w:val="00654D49"/>
    <w:rsid w:val="0065507F"/>
    <w:rsid w:val="00655296"/>
    <w:rsid w:val="006553E8"/>
    <w:rsid w:val="00655A00"/>
    <w:rsid w:val="00655C7F"/>
    <w:rsid w:val="00655F26"/>
    <w:rsid w:val="006560FE"/>
    <w:rsid w:val="00656102"/>
    <w:rsid w:val="00656364"/>
    <w:rsid w:val="00656546"/>
    <w:rsid w:val="006566DB"/>
    <w:rsid w:val="0065677C"/>
    <w:rsid w:val="00656849"/>
    <w:rsid w:val="00656E7F"/>
    <w:rsid w:val="006573C6"/>
    <w:rsid w:val="00657AE6"/>
    <w:rsid w:val="00657F8E"/>
    <w:rsid w:val="0066021F"/>
    <w:rsid w:val="006605F1"/>
    <w:rsid w:val="006609BA"/>
    <w:rsid w:val="00660C32"/>
    <w:rsid w:val="00660C3A"/>
    <w:rsid w:val="0066122A"/>
    <w:rsid w:val="006619CD"/>
    <w:rsid w:val="00661B5F"/>
    <w:rsid w:val="00661E1C"/>
    <w:rsid w:val="00662540"/>
    <w:rsid w:val="006625C8"/>
    <w:rsid w:val="00662A11"/>
    <w:rsid w:val="0066303D"/>
    <w:rsid w:val="0066326A"/>
    <w:rsid w:val="006633F4"/>
    <w:rsid w:val="00663502"/>
    <w:rsid w:val="00663E4B"/>
    <w:rsid w:val="00664098"/>
    <w:rsid w:val="006642AF"/>
    <w:rsid w:val="00664D57"/>
    <w:rsid w:val="00664E85"/>
    <w:rsid w:val="006657BB"/>
    <w:rsid w:val="006657F0"/>
    <w:rsid w:val="00665907"/>
    <w:rsid w:val="0066596B"/>
    <w:rsid w:val="006660E1"/>
    <w:rsid w:val="00666839"/>
    <w:rsid w:val="00666866"/>
    <w:rsid w:val="00666A6A"/>
    <w:rsid w:val="00666DDB"/>
    <w:rsid w:val="00666E06"/>
    <w:rsid w:val="006674E8"/>
    <w:rsid w:val="00667CAB"/>
    <w:rsid w:val="006700ED"/>
    <w:rsid w:val="00670395"/>
    <w:rsid w:val="00670876"/>
    <w:rsid w:val="00670BCE"/>
    <w:rsid w:val="0067148C"/>
    <w:rsid w:val="006715BC"/>
    <w:rsid w:val="0067190C"/>
    <w:rsid w:val="00671E49"/>
    <w:rsid w:val="006722A6"/>
    <w:rsid w:val="00672451"/>
    <w:rsid w:val="006727AC"/>
    <w:rsid w:val="0067299D"/>
    <w:rsid w:val="00672BD2"/>
    <w:rsid w:val="006734FF"/>
    <w:rsid w:val="00673B05"/>
    <w:rsid w:val="00673CFC"/>
    <w:rsid w:val="00673F8F"/>
    <w:rsid w:val="00673FA1"/>
    <w:rsid w:val="00674198"/>
    <w:rsid w:val="006741E4"/>
    <w:rsid w:val="00674B4C"/>
    <w:rsid w:val="006759C3"/>
    <w:rsid w:val="00675A64"/>
    <w:rsid w:val="006760CA"/>
    <w:rsid w:val="006760EA"/>
    <w:rsid w:val="00676964"/>
    <w:rsid w:val="00676C8F"/>
    <w:rsid w:val="006770B6"/>
    <w:rsid w:val="00677792"/>
    <w:rsid w:val="00677881"/>
    <w:rsid w:val="00677B38"/>
    <w:rsid w:val="00677CEA"/>
    <w:rsid w:val="00680229"/>
    <w:rsid w:val="00680A04"/>
    <w:rsid w:val="00680E4C"/>
    <w:rsid w:val="0068118D"/>
    <w:rsid w:val="006814FD"/>
    <w:rsid w:val="00681617"/>
    <w:rsid w:val="00681685"/>
    <w:rsid w:val="006817C0"/>
    <w:rsid w:val="00681B1C"/>
    <w:rsid w:val="00681E25"/>
    <w:rsid w:val="00682327"/>
    <w:rsid w:val="00682F5C"/>
    <w:rsid w:val="00682F75"/>
    <w:rsid w:val="006830D2"/>
    <w:rsid w:val="00683442"/>
    <w:rsid w:val="00683689"/>
    <w:rsid w:val="0068392F"/>
    <w:rsid w:val="006839A1"/>
    <w:rsid w:val="006845DB"/>
    <w:rsid w:val="00684959"/>
    <w:rsid w:val="00684D9F"/>
    <w:rsid w:val="00684E50"/>
    <w:rsid w:val="00685499"/>
    <w:rsid w:val="006854EB"/>
    <w:rsid w:val="006855D9"/>
    <w:rsid w:val="00685B5E"/>
    <w:rsid w:val="00685F65"/>
    <w:rsid w:val="006862F7"/>
    <w:rsid w:val="006863D0"/>
    <w:rsid w:val="006865BF"/>
    <w:rsid w:val="0068685C"/>
    <w:rsid w:val="00686D93"/>
    <w:rsid w:val="0068708E"/>
    <w:rsid w:val="00687307"/>
    <w:rsid w:val="006879E1"/>
    <w:rsid w:val="00687C71"/>
    <w:rsid w:val="006900EF"/>
    <w:rsid w:val="006906EA"/>
    <w:rsid w:val="00690AE1"/>
    <w:rsid w:val="00690EA2"/>
    <w:rsid w:val="00690EE9"/>
    <w:rsid w:val="00690F31"/>
    <w:rsid w:val="006911ED"/>
    <w:rsid w:val="006914E9"/>
    <w:rsid w:val="006922B9"/>
    <w:rsid w:val="0069237C"/>
    <w:rsid w:val="006923BD"/>
    <w:rsid w:val="006925D1"/>
    <w:rsid w:val="00692797"/>
    <w:rsid w:val="0069282A"/>
    <w:rsid w:val="00692CA5"/>
    <w:rsid w:val="00692D8B"/>
    <w:rsid w:val="00693620"/>
    <w:rsid w:val="006936D8"/>
    <w:rsid w:val="0069490D"/>
    <w:rsid w:val="00694BB9"/>
    <w:rsid w:val="00694ED5"/>
    <w:rsid w:val="0069522B"/>
    <w:rsid w:val="006952E0"/>
    <w:rsid w:val="00695875"/>
    <w:rsid w:val="006959AA"/>
    <w:rsid w:val="00695E84"/>
    <w:rsid w:val="00696194"/>
    <w:rsid w:val="006961E3"/>
    <w:rsid w:val="00696307"/>
    <w:rsid w:val="006964D5"/>
    <w:rsid w:val="006967C6"/>
    <w:rsid w:val="006968CF"/>
    <w:rsid w:val="00696AFF"/>
    <w:rsid w:val="00696C62"/>
    <w:rsid w:val="00696EAE"/>
    <w:rsid w:val="00697415"/>
    <w:rsid w:val="00697A8E"/>
    <w:rsid w:val="00697FB2"/>
    <w:rsid w:val="006A00AF"/>
    <w:rsid w:val="006A10F3"/>
    <w:rsid w:val="006A142C"/>
    <w:rsid w:val="006A16DA"/>
    <w:rsid w:val="006A1DFB"/>
    <w:rsid w:val="006A21C0"/>
    <w:rsid w:val="006A229F"/>
    <w:rsid w:val="006A272F"/>
    <w:rsid w:val="006A2EDB"/>
    <w:rsid w:val="006A351F"/>
    <w:rsid w:val="006A37FA"/>
    <w:rsid w:val="006A3E63"/>
    <w:rsid w:val="006A49F5"/>
    <w:rsid w:val="006A4A0E"/>
    <w:rsid w:val="006A4EE7"/>
    <w:rsid w:val="006A5444"/>
    <w:rsid w:val="006A6882"/>
    <w:rsid w:val="006A6BE0"/>
    <w:rsid w:val="006A6CC9"/>
    <w:rsid w:val="006A6D2B"/>
    <w:rsid w:val="006A728B"/>
    <w:rsid w:val="006A72D1"/>
    <w:rsid w:val="006A7886"/>
    <w:rsid w:val="006A7A87"/>
    <w:rsid w:val="006A7B04"/>
    <w:rsid w:val="006B0560"/>
    <w:rsid w:val="006B07E4"/>
    <w:rsid w:val="006B0865"/>
    <w:rsid w:val="006B0D9E"/>
    <w:rsid w:val="006B0DE4"/>
    <w:rsid w:val="006B1963"/>
    <w:rsid w:val="006B1D42"/>
    <w:rsid w:val="006B207A"/>
    <w:rsid w:val="006B2FD7"/>
    <w:rsid w:val="006B3979"/>
    <w:rsid w:val="006B39B5"/>
    <w:rsid w:val="006B3D33"/>
    <w:rsid w:val="006B5DE4"/>
    <w:rsid w:val="006B5E5C"/>
    <w:rsid w:val="006B5F00"/>
    <w:rsid w:val="006B5FE0"/>
    <w:rsid w:val="006B64F2"/>
    <w:rsid w:val="006B654B"/>
    <w:rsid w:val="006B6607"/>
    <w:rsid w:val="006B67D8"/>
    <w:rsid w:val="006B6A2C"/>
    <w:rsid w:val="006B6B46"/>
    <w:rsid w:val="006B6C4F"/>
    <w:rsid w:val="006B78BF"/>
    <w:rsid w:val="006B7A30"/>
    <w:rsid w:val="006C07F8"/>
    <w:rsid w:val="006C0CC9"/>
    <w:rsid w:val="006C10BF"/>
    <w:rsid w:val="006C14A8"/>
    <w:rsid w:val="006C176D"/>
    <w:rsid w:val="006C19DF"/>
    <w:rsid w:val="006C1FA7"/>
    <w:rsid w:val="006C28BA"/>
    <w:rsid w:val="006C2B22"/>
    <w:rsid w:val="006C34B1"/>
    <w:rsid w:val="006C4116"/>
    <w:rsid w:val="006C4158"/>
    <w:rsid w:val="006C4F9E"/>
    <w:rsid w:val="006C5245"/>
    <w:rsid w:val="006C5646"/>
    <w:rsid w:val="006C5CAB"/>
    <w:rsid w:val="006C606D"/>
    <w:rsid w:val="006C6B68"/>
    <w:rsid w:val="006C6BF8"/>
    <w:rsid w:val="006C71C2"/>
    <w:rsid w:val="006C72D6"/>
    <w:rsid w:val="006C7685"/>
    <w:rsid w:val="006C7C16"/>
    <w:rsid w:val="006C7D3A"/>
    <w:rsid w:val="006D0372"/>
    <w:rsid w:val="006D0690"/>
    <w:rsid w:val="006D074F"/>
    <w:rsid w:val="006D0A2B"/>
    <w:rsid w:val="006D0AF3"/>
    <w:rsid w:val="006D13E3"/>
    <w:rsid w:val="006D15F5"/>
    <w:rsid w:val="006D198A"/>
    <w:rsid w:val="006D2130"/>
    <w:rsid w:val="006D2AB5"/>
    <w:rsid w:val="006D2AD9"/>
    <w:rsid w:val="006D2D1D"/>
    <w:rsid w:val="006D31B5"/>
    <w:rsid w:val="006D340D"/>
    <w:rsid w:val="006D411D"/>
    <w:rsid w:val="006D43C6"/>
    <w:rsid w:val="006D4C38"/>
    <w:rsid w:val="006D4EEA"/>
    <w:rsid w:val="006D617F"/>
    <w:rsid w:val="006D62E2"/>
    <w:rsid w:val="006D6414"/>
    <w:rsid w:val="006D6AF5"/>
    <w:rsid w:val="006D70D5"/>
    <w:rsid w:val="006D7569"/>
    <w:rsid w:val="006D7E9D"/>
    <w:rsid w:val="006E0529"/>
    <w:rsid w:val="006E0ECC"/>
    <w:rsid w:val="006E0F1B"/>
    <w:rsid w:val="006E18B4"/>
    <w:rsid w:val="006E1E29"/>
    <w:rsid w:val="006E2607"/>
    <w:rsid w:val="006E27F2"/>
    <w:rsid w:val="006E34C6"/>
    <w:rsid w:val="006E37CC"/>
    <w:rsid w:val="006E38AF"/>
    <w:rsid w:val="006E38DA"/>
    <w:rsid w:val="006E38DC"/>
    <w:rsid w:val="006E3AF0"/>
    <w:rsid w:val="006E3FFF"/>
    <w:rsid w:val="006E44E8"/>
    <w:rsid w:val="006E46CB"/>
    <w:rsid w:val="006E5070"/>
    <w:rsid w:val="006E5494"/>
    <w:rsid w:val="006E5B60"/>
    <w:rsid w:val="006E5C48"/>
    <w:rsid w:val="006E629B"/>
    <w:rsid w:val="006E6415"/>
    <w:rsid w:val="006E682A"/>
    <w:rsid w:val="006E6C82"/>
    <w:rsid w:val="006E718C"/>
    <w:rsid w:val="006E7553"/>
    <w:rsid w:val="006E7939"/>
    <w:rsid w:val="006E7A74"/>
    <w:rsid w:val="006E7DAE"/>
    <w:rsid w:val="006F0A07"/>
    <w:rsid w:val="006F0C38"/>
    <w:rsid w:val="006F0ECA"/>
    <w:rsid w:val="006F150B"/>
    <w:rsid w:val="006F203F"/>
    <w:rsid w:val="006F22CB"/>
    <w:rsid w:val="006F26AA"/>
    <w:rsid w:val="006F2914"/>
    <w:rsid w:val="006F3BF5"/>
    <w:rsid w:val="006F3F5E"/>
    <w:rsid w:val="006F40C8"/>
    <w:rsid w:val="006F4970"/>
    <w:rsid w:val="006F4ACB"/>
    <w:rsid w:val="006F509E"/>
    <w:rsid w:val="006F513C"/>
    <w:rsid w:val="006F530F"/>
    <w:rsid w:val="006F57B6"/>
    <w:rsid w:val="006F5DA8"/>
    <w:rsid w:val="006F5E48"/>
    <w:rsid w:val="006F63B1"/>
    <w:rsid w:val="006F70D9"/>
    <w:rsid w:val="006F7827"/>
    <w:rsid w:val="006F7EB1"/>
    <w:rsid w:val="0070022F"/>
    <w:rsid w:val="007004FF"/>
    <w:rsid w:val="0070053B"/>
    <w:rsid w:val="00700A90"/>
    <w:rsid w:val="00701007"/>
    <w:rsid w:val="0070133B"/>
    <w:rsid w:val="007017AB"/>
    <w:rsid w:val="007020D1"/>
    <w:rsid w:val="0070243D"/>
    <w:rsid w:val="007028AF"/>
    <w:rsid w:val="007033F4"/>
    <w:rsid w:val="00703CEA"/>
    <w:rsid w:val="00703CF7"/>
    <w:rsid w:val="00703E8B"/>
    <w:rsid w:val="00703FBB"/>
    <w:rsid w:val="00704058"/>
    <w:rsid w:val="0070486C"/>
    <w:rsid w:val="00704A16"/>
    <w:rsid w:val="00704B56"/>
    <w:rsid w:val="0070509F"/>
    <w:rsid w:val="007056DF"/>
    <w:rsid w:val="0070574E"/>
    <w:rsid w:val="00705D81"/>
    <w:rsid w:val="007060E0"/>
    <w:rsid w:val="00706103"/>
    <w:rsid w:val="007061C0"/>
    <w:rsid w:val="00706320"/>
    <w:rsid w:val="00706426"/>
    <w:rsid w:val="00706698"/>
    <w:rsid w:val="007073FD"/>
    <w:rsid w:val="00707817"/>
    <w:rsid w:val="00707B37"/>
    <w:rsid w:val="00707E49"/>
    <w:rsid w:val="007102D2"/>
    <w:rsid w:val="00711115"/>
    <w:rsid w:val="0071118D"/>
    <w:rsid w:val="0071131A"/>
    <w:rsid w:val="00711B42"/>
    <w:rsid w:val="00711E19"/>
    <w:rsid w:val="007121D1"/>
    <w:rsid w:val="00712A62"/>
    <w:rsid w:val="0071321D"/>
    <w:rsid w:val="00713A48"/>
    <w:rsid w:val="00713E11"/>
    <w:rsid w:val="0071436C"/>
    <w:rsid w:val="0071565A"/>
    <w:rsid w:val="00715A0B"/>
    <w:rsid w:val="00715C80"/>
    <w:rsid w:val="00715DE0"/>
    <w:rsid w:val="00716115"/>
    <w:rsid w:val="00716CF3"/>
    <w:rsid w:val="00716E06"/>
    <w:rsid w:val="007179AC"/>
    <w:rsid w:val="00717AAB"/>
    <w:rsid w:val="00717ACE"/>
    <w:rsid w:val="00717F13"/>
    <w:rsid w:val="0072014B"/>
    <w:rsid w:val="0072094F"/>
    <w:rsid w:val="00720BF9"/>
    <w:rsid w:val="00720D3E"/>
    <w:rsid w:val="007210C6"/>
    <w:rsid w:val="0072111E"/>
    <w:rsid w:val="00721D94"/>
    <w:rsid w:val="00721E52"/>
    <w:rsid w:val="00721F65"/>
    <w:rsid w:val="00722BC3"/>
    <w:rsid w:val="00722CB7"/>
    <w:rsid w:val="00722E17"/>
    <w:rsid w:val="00723030"/>
    <w:rsid w:val="0072316F"/>
    <w:rsid w:val="0072364A"/>
    <w:rsid w:val="00723BBC"/>
    <w:rsid w:val="00723E83"/>
    <w:rsid w:val="00723FF2"/>
    <w:rsid w:val="007240F6"/>
    <w:rsid w:val="00724229"/>
    <w:rsid w:val="00724458"/>
    <w:rsid w:val="0072482D"/>
    <w:rsid w:val="00724F50"/>
    <w:rsid w:val="00724F56"/>
    <w:rsid w:val="007252D7"/>
    <w:rsid w:val="007259CC"/>
    <w:rsid w:val="00725AC9"/>
    <w:rsid w:val="00725BD6"/>
    <w:rsid w:val="007268A6"/>
    <w:rsid w:val="007273DA"/>
    <w:rsid w:val="00727F86"/>
    <w:rsid w:val="007305E2"/>
    <w:rsid w:val="0073083A"/>
    <w:rsid w:val="00730B5F"/>
    <w:rsid w:val="00730F25"/>
    <w:rsid w:val="00730FC9"/>
    <w:rsid w:val="00731351"/>
    <w:rsid w:val="007315AF"/>
    <w:rsid w:val="00731800"/>
    <w:rsid w:val="0073189C"/>
    <w:rsid w:val="00731A32"/>
    <w:rsid w:val="00731B65"/>
    <w:rsid w:val="00732040"/>
    <w:rsid w:val="007324F8"/>
    <w:rsid w:val="0073263B"/>
    <w:rsid w:val="0073263F"/>
    <w:rsid w:val="00732BCA"/>
    <w:rsid w:val="00733338"/>
    <w:rsid w:val="00733BB1"/>
    <w:rsid w:val="00733F8C"/>
    <w:rsid w:val="0073455E"/>
    <w:rsid w:val="00735302"/>
    <w:rsid w:val="0073536B"/>
    <w:rsid w:val="00735905"/>
    <w:rsid w:val="00735BBB"/>
    <w:rsid w:val="00735CA2"/>
    <w:rsid w:val="0073654B"/>
    <w:rsid w:val="007366DF"/>
    <w:rsid w:val="00737E49"/>
    <w:rsid w:val="00737F4C"/>
    <w:rsid w:val="00740027"/>
    <w:rsid w:val="007403EA"/>
    <w:rsid w:val="007404BF"/>
    <w:rsid w:val="0074062A"/>
    <w:rsid w:val="00740D5E"/>
    <w:rsid w:val="007417EF"/>
    <w:rsid w:val="00741DF2"/>
    <w:rsid w:val="00741EFC"/>
    <w:rsid w:val="00742919"/>
    <w:rsid w:val="00743203"/>
    <w:rsid w:val="00743611"/>
    <w:rsid w:val="00743620"/>
    <w:rsid w:val="00743BA1"/>
    <w:rsid w:val="00743CE9"/>
    <w:rsid w:val="00743DDB"/>
    <w:rsid w:val="00743DE1"/>
    <w:rsid w:val="007442A8"/>
    <w:rsid w:val="00744445"/>
    <w:rsid w:val="0074448E"/>
    <w:rsid w:val="00744577"/>
    <w:rsid w:val="0074558B"/>
    <w:rsid w:val="00745799"/>
    <w:rsid w:val="00745EDF"/>
    <w:rsid w:val="00746055"/>
    <w:rsid w:val="00746282"/>
    <w:rsid w:val="00747164"/>
    <w:rsid w:val="007471B8"/>
    <w:rsid w:val="007475A0"/>
    <w:rsid w:val="007476AF"/>
    <w:rsid w:val="00747F2C"/>
    <w:rsid w:val="00750540"/>
    <w:rsid w:val="0075063B"/>
    <w:rsid w:val="007506C6"/>
    <w:rsid w:val="0075076C"/>
    <w:rsid w:val="00750A68"/>
    <w:rsid w:val="00750D0F"/>
    <w:rsid w:val="00751215"/>
    <w:rsid w:val="0075161A"/>
    <w:rsid w:val="007520A3"/>
    <w:rsid w:val="00752566"/>
    <w:rsid w:val="00752570"/>
    <w:rsid w:val="00752BE8"/>
    <w:rsid w:val="00753148"/>
    <w:rsid w:val="007537D8"/>
    <w:rsid w:val="007539EC"/>
    <w:rsid w:val="00753CED"/>
    <w:rsid w:val="00754112"/>
    <w:rsid w:val="007544F4"/>
    <w:rsid w:val="007546F2"/>
    <w:rsid w:val="007548C6"/>
    <w:rsid w:val="0075509F"/>
    <w:rsid w:val="007553BA"/>
    <w:rsid w:val="00755D53"/>
    <w:rsid w:val="00755E19"/>
    <w:rsid w:val="00755E3C"/>
    <w:rsid w:val="007560DB"/>
    <w:rsid w:val="00756367"/>
    <w:rsid w:val="00756E94"/>
    <w:rsid w:val="00756F77"/>
    <w:rsid w:val="0075749B"/>
    <w:rsid w:val="00757983"/>
    <w:rsid w:val="00757C05"/>
    <w:rsid w:val="00757F07"/>
    <w:rsid w:val="00757F36"/>
    <w:rsid w:val="00760346"/>
    <w:rsid w:val="00760827"/>
    <w:rsid w:val="007611B9"/>
    <w:rsid w:val="00761824"/>
    <w:rsid w:val="00761A0D"/>
    <w:rsid w:val="00762B47"/>
    <w:rsid w:val="00762F59"/>
    <w:rsid w:val="00762FDB"/>
    <w:rsid w:val="007633E4"/>
    <w:rsid w:val="007635D1"/>
    <w:rsid w:val="007639AD"/>
    <w:rsid w:val="00763ADE"/>
    <w:rsid w:val="00764188"/>
    <w:rsid w:val="0076432A"/>
    <w:rsid w:val="00764AEE"/>
    <w:rsid w:val="00764CD1"/>
    <w:rsid w:val="00764E9E"/>
    <w:rsid w:val="00765A12"/>
    <w:rsid w:val="00765D54"/>
    <w:rsid w:val="00766330"/>
    <w:rsid w:val="007664ED"/>
    <w:rsid w:val="0076687E"/>
    <w:rsid w:val="00767849"/>
    <w:rsid w:val="0076791F"/>
    <w:rsid w:val="00767957"/>
    <w:rsid w:val="00767B3B"/>
    <w:rsid w:val="00767C71"/>
    <w:rsid w:val="00767FA5"/>
    <w:rsid w:val="007704DC"/>
    <w:rsid w:val="00770529"/>
    <w:rsid w:val="00770563"/>
    <w:rsid w:val="00770727"/>
    <w:rsid w:val="00770869"/>
    <w:rsid w:val="00770A7D"/>
    <w:rsid w:val="00770E11"/>
    <w:rsid w:val="0077100F"/>
    <w:rsid w:val="00771601"/>
    <w:rsid w:val="00771A1C"/>
    <w:rsid w:val="00772222"/>
    <w:rsid w:val="00772408"/>
    <w:rsid w:val="00772648"/>
    <w:rsid w:val="00772873"/>
    <w:rsid w:val="007728F2"/>
    <w:rsid w:val="007729A2"/>
    <w:rsid w:val="007729E0"/>
    <w:rsid w:val="00773246"/>
    <w:rsid w:val="00773586"/>
    <w:rsid w:val="0077375C"/>
    <w:rsid w:val="007738F7"/>
    <w:rsid w:val="00774055"/>
    <w:rsid w:val="0077406D"/>
    <w:rsid w:val="00774646"/>
    <w:rsid w:val="00774749"/>
    <w:rsid w:val="00774BDA"/>
    <w:rsid w:val="00774C87"/>
    <w:rsid w:val="0077537A"/>
    <w:rsid w:val="00775539"/>
    <w:rsid w:val="007758F1"/>
    <w:rsid w:val="00775DC7"/>
    <w:rsid w:val="0077632D"/>
    <w:rsid w:val="00776B4A"/>
    <w:rsid w:val="00776E2B"/>
    <w:rsid w:val="007770DA"/>
    <w:rsid w:val="00777542"/>
    <w:rsid w:val="00777736"/>
    <w:rsid w:val="00777F1F"/>
    <w:rsid w:val="00777F6B"/>
    <w:rsid w:val="00780B27"/>
    <w:rsid w:val="00780C49"/>
    <w:rsid w:val="007811D1"/>
    <w:rsid w:val="007818C0"/>
    <w:rsid w:val="007819E9"/>
    <w:rsid w:val="00781BEA"/>
    <w:rsid w:val="00781FE2"/>
    <w:rsid w:val="0078255B"/>
    <w:rsid w:val="0078269B"/>
    <w:rsid w:val="00782772"/>
    <w:rsid w:val="00782799"/>
    <w:rsid w:val="007827E3"/>
    <w:rsid w:val="00782C48"/>
    <w:rsid w:val="0078320C"/>
    <w:rsid w:val="00783220"/>
    <w:rsid w:val="00783AFC"/>
    <w:rsid w:val="00783C41"/>
    <w:rsid w:val="00784088"/>
    <w:rsid w:val="007842B9"/>
    <w:rsid w:val="007845E7"/>
    <w:rsid w:val="00784AA1"/>
    <w:rsid w:val="0078504F"/>
    <w:rsid w:val="007851F7"/>
    <w:rsid w:val="00785D5B"/>
    <w:rsid w:val="00786452"/>
    <w:rsid w:val="007869B8"/>
    <w:rsid w:val="00786C10"/>
    <w:rsid w:val="00786C2D"/>
    <w:rsid w:val="00786E59"/>
    <w:rsid w:val="007870E8"/>
    <w:rsid w:val="00787172"/>
    <w:rsid w:val="00787397"/>
    <w:rsid w:val="00787B7E"/>
    <w:rsid w:val="00787FC0"/>
    <w:rsid w:val="00790115"/>
    <w:rsid w:val="007901F7"/>
    <w:rsid w:val="007901FC"/>
    <w:rsid w:val="0079065D"/>
    <w:rsid w:val="00790762"/>
    <w:rsid w:val="00790939"/>
    <w:rsid w:val="00790954"/>
    <w:rsid w:val="00790A65"/>
    <w:rsid w:val="00790FC7"/>
    <w:rsid w:val="00791295"/>
    <w:rsid w:val="007912D3"/>
    <w:rsid w:val="00791342"/>
    <w:rsid w:val="0079145A"/>
    <w:rsid w:val="007914C5"/>
    <w:rsid w:val="007922B2"/>
    <w:rsid w:val="0079275E"/>
    <w:rsid w:val="0079280A"/>
    <w:rsid w:val="00792AF4"/>
    <w:rsid w:val="00792B47"/>
    <w:rsid w:val="00793158"/>
    <w:rsid w:val="00793EB7"/>
    <w:rsid w:val="00793F00"/>
    <w:rsid w:val="007941B4"/>
    <w:rsid w:val="007942FB"/>
    <w:rsid w:val="00794307"/>
    <w:rsid w:val="00794664"/>
    <w:rsid w:val="00794690"/>
    <w:rsid w:val="007946C7"/>
    <w:rsid w:val="007947C9"/>
    <w:rsid w:val="00794C61"/>
    <w:rsid w:val="00794DD6"/>
    <w:rsid w:val="00795437"/>
    <w:rsid w:val="007962C5"/>
    <w:rsid w:val="007964CE"/>
    <w:rsid w:val="0079699D"/>
    <w:rsid w:val="00796A25"/>
    <w:rsid w:val="007975A8"/>
    <w:rsid w:val="0079799C"/>
    <w:rsid w:val="00797B47"/>
    <w:rsid w:val="00797BEA"/>
    <w:rsid w:val="007A0010"/>
    <w:rsid w:val="007A02DF"/>
    <w:rsid w:val="007A05F1"/>
    <w:rsid w:val="007A0D04"/>
    <w:rsid w:val="007A1749"/>
    <w:rsid w:val="007A1D0F"/>
    <w:rsid w:val="007A1E31"/>
    <w:rsid w:val="007A203B"/>
    <w:rsid w:val="007A203E"/>
    <w:rsid w:val="007A2687"/>
    <w:rsid w:val="007A2C64"/>
    <w:rsid w:val="007A30CD"/>
    <w:rsid w:val="007A3655"/>
    <w:rsid w:val="007A3912"/>
    <w:rsid w:val="007A4032"/>
    <w:rsid w:val="007A4172"/>
    <w:rsid w:val="007A4AD9"/>
    <w:rsid w:val="007A4C8A"/>
    <w:rsid w:val="007A4CD3"/>
    <w:rsid w:val="007A583D"/>
    <w:rsid w:val="007A5921"/>
    <w:rsid w:val="007A5F55"/>
    <w:rsid w:val="007A5FFC"/>
    <w:rsid w:val="007A615C"/>
    <w:rsid w:val="007A6945"/>
    <w:rsid w:val="007A6B3B"/>
    <w:rsid w:val="007A7008"/>
    <w:rsid w:val="007A7106"/>
    <w:rsid w:val="007A71CA"/>
    <w:rsid w:val="007A7244"/>
    <w:rsid w:val="007A7267"/>
    <w:rsid w:val="007A726A"/>
    <w:rsid w:val="007A73F5"/>
    <w:rsid w:val="007A776B"/>
    <w:rsid w:val="007A7770"/>
    <w:rsid w:val="007A7F84"/>
    <w:rsid w:val="007B002D"/>
    <w:rsid w:val="007B01DE"/>
    <w:rsid w:val="007B0576"/>
    <w:rsid w:val="007B05DD"/>
    <w:rsid w:val="007B099C"/>
    <w:rsid w:val="007B0CC9"/>
    <w:rsid w:val="007B12E4"/>
    <w:rsid w:val="007B14D6"/>
    <w:rsid w:val="007B162F"/>
    <w:rsid w:val="007B1746"/>
    <w:rsid w:val="007B1A70"/>
    <w:rsid w:val="007B24C1"/>
    <w:rsid w:val="007B27DA"/>
    <w:rsid w:val="007B2926"/>
    <w:rsid w:val="007B31E5"/>
    <w:rsid w:val="007B34D0"/>
    <w:rsid w:val="007B3915"/>
    <w:rsid w:val="007B3E2A"/>
    <w:rsid w:val="007B4FC4"/>
    <w:rsid w:val="007B5520"/>
    <w:rsid w:val="007B6067"/>
    <w:rsid w:val="007B6182"/>
    <w:rsid w:val="007B65E6"/>
    <w:rsid w:val="007B68CE"/>
    <w:rsid w:val="007B714F"/>
    <w:rsid w:val="007B73C9"/>
    <w:rsid w:val="007B7AF7"/>
    <w:rsid w:val="007B7D17"/>
    <w:rsid w:val="007C03CF"/>
    <w:rsid w:val="007C0591"/>
    <w:rsid w:val="007C11B1"/>
    <w:rsid w:val="007C12A3"/>
    <w:rsid w:val="007C182B"/>
    <w:rsid w:val="007C184A"/>
    <w:rsid w:val="007C1B8A"/>
    <w:rsid w:val="007C224D"/>
    <w:rsid w:val="007C2469"/>
    <w:rsid w:val="007C2A61"/>
    <w:rsid w:val="007C334A"/>
    <w:rsid w:val="007C3DD0"/>
    <w:rsid w:val="007C417F"/>
    <w:rsid w:val="007C41C9"/>
    <w:rsid w:val="007C41DF"/>
    <w:rsid w:val="007C42BB"/>
    <w:rsid w:val="007C47F0"/>
    <w:rsid w:val="007C49C4"/>
    <w:rsid w:val="007C4FDC"/>
    <w:rsid w:val="007C519F"/>
    <w:rsid w:val="007C55F2"/>
    <w:rsid w:val="007C5800"/>
    <w:rsid w:val="007C598D"/>
    <w:rsid w:val="007C5F68"/>
    <w:rsid w:val="007C6206"/>
    <w:rsid w:val="007C632E"/>
    <w:rsid w:val="007C6627"/>
    <w:rsid w:val="007C6661"/>
    <w:rsid w:val="007C66AB"/>
    <w:rsid w:val="007C6978"/>
    <w:rsid w:val="007C6BF6"/>
    <w:rsid w:val="007C6C9D"/>
    <w:rsid w:val="007C6D1B"/>
    <w:rsid w:val="007C6EC1"/>
    <w:rsid w:val="007C7A34"/>
    <w:rsid w:val="007C7EE5"/>
    <w:rsid w:val="007C7EF1"/>
    <w:rsid w:val="007D018C"/>
    <w:rsid w:val="007D037C"/>
    <w:rsid w:val="007D060D"/>
    <w:rsid w:val="007D0CB7"/>
    <w:rsid w:val="007D1330"/>
    <w:rsid w:val="007D13E5"/>
    <w:rsid w:val="007D1686"/>
    <w:rsid w:val="007D1BBB"/>
    <w:rsid w:val="007D263F"/>
    <w:rsid w:val="007D2E27"/>
    <w:rsid w:val="007D3244"/>
    <w:rsid w:val="007D344B"/>
    <w:rsid w:val="007D3743"/>
    <w:rsid w:val="007D374E"/>
    <w:rsid w:val="007D4162"/>
    <w:rsid w:val="007D449B"/>
    <w:rsid w:val="007D44D3"/>
    <w:rsid w:val="007D4BD9"/>
    <w:rsid w:val="007D53FA"/>
    <w:rsid w:val="007D5625"/>
    <w:rsid w:val="007D5BF7"/>
    <w:rsid w:val="007D5DAB"/>
    <w:rsid w:val="007D5E7D"/>
    <w:rsid w:val="007D6523"/>
    <w:rsid w:val="007D75A1"/>
    <w:rsid w:val="007D7656"/>
    <w:rsid w:val="007E0CB5"/>
    <w:rsid w:val="007E0D13"/>
    <w:rsid w:val="007E12A7"/>
    <w:rsid w:val="007E161D"/>
    <w:rsid w:val="007E19A3"/>
    <w:rsid w:val="007E1A4E"/>
    <w:rsid w:val="007E1ADB"/>
    <w:rsid w:val="007E1C91"/>
    <w:rsid w:val="007E1DDB"/>
    <w:rsid w:val="007E1FD1"/>
    <w:rsid w:val="007E2053"/>
    <w:rsid w:val="007E2619"/>
    <w:rsid w:val="007E2F1D"/>
    <w:rsid w:val="007E328F"/>
    <w:rsid w:val="007E35F0"/>
    <w:rsid w:val="007E370F"/>
    <w:rsid w:val="007E37EB"/>
    <w:rsid w:val="007E3A1E"/>
    <w:rsid w:val="007E3BA2"/>
    <w:rsid w:val="007E3CB4"/>
    <w:rsid w:val="007E3E8D"/>
    <w:rsid w:val="007E3E9F"/>
    <w:rsid w:val="007E3FB7"/>
    <w:rsid w:val="007E4585"/>
    <w:rsid w:val="007E4875"/>
    <w:rsid w:val="007E4B18"/>
    <w:rsid w:val="007E4E61"/>
    <w:rsid w:val="007E5EFE"/>
    <w:rsid w:val="007E60D4"/>
    <w:rsid w:val="007E621B"/>
    <w:rsid w:val="007E6277"/>
    <w:rsid w:val="007E7322"/>
    <w:rsid w:val="007E7B31"/>
    <w:rsid w:val="007E7E23"/>
    <w:rsid w:val="007E7FDA"/>
    <w:rsid w:val="007F03E7"/>
    <w:rsid w:val="007F0668"/>
    <w:rsid w:val="007F07E8"/>
    <w:rsid w:val="007F07EF"/>
    <w:rsid w:val="007F08A6"/>
    <w:rsid w:val="007F09AC"/>
    <w:rsid w:val="007F124C"/>
    <w:rsid w:val="007F1D28"/>
    <w:rsid w:val="007F247B"/>
    <w:rsid w:val="007F24FC"/>
    <w:rsid w:val="007F25A2"/>
    <w:rsid w:val="007F2E24"/>
    <w:rsid w:val="007F3146"/>
    <w:rsid w:val="007F31EB"/>
    <w:rsid w:val="007F33EC"/>
    <w:rsid w:val="007F3986"/>
    <w:rsid w:val="007F3C8A"/>
    <w:rsid w:val="007F3F4F"/>
    <w:rsid w:val="007F4162"/>
    <w:rsid w:val="007F41B5"/>
    <w:rsid w:val="007F41BC"/>
    <w:rsid w:val="007F42E1"/>
    <w:rsid w:val="007F4579"/>
    <w:rsid w:val="007F4D19"/>
    <w:rsid w:val="007F560A"/>
    <w:rsid w:val="007F5D04"/>
    <w:rsid w:val="007F610C"/>
    <w:rsid w:val="007F6566"/>
    <w:rsid w:val="007F6AB2"/>
    <w:rsid w:val="007F6B5F"/>
    <w:rsid w:val="00800320"/>
    <w:rsid w:val="00800D7B"/>
    <w:rsid w:val="00800EA8"/>
    <w:rsid w:val="00800F1E"/>
    <w:rsid w:val="008011BC"/>
    <w:rsid w:val="008012D9"/>
    <w:rsid w:val="00801520"/>
    <w:rsid w:val="0080182A"/>
    <w:rsid w:val="00801D3F"/>
    <w:rsid w:val="0080232C"/>
    <w:rsid w:val="00802698"/>
    <w:rsid w:val="00802EBF"/>
    <w:rsid w:val="00803193"/>
    <w:rsid w:val="00803974"/>
    <w:rsid w:val="00803F52"/>
    <w:rsid w:val="00803FFA"/>
    <w:rsid w:val="008044D5"/>
    <w:rsid w:val="008052C3"/>
    <w:rsid w:val="00805632"/>
    <w:rsid w:val="00805724"/>
    <w:rsid w:val="00805AC3"/>
    <w:rsid w:val="00805B24"/>
    <w:rsid w:val="00805EF1"/>
    <w:rsid w:val="008065C7"/>
    <w:rsid w:val="00806ADC"/>
    <w:rsid w:val="00806B06"/>
    <w:rsid w:val="00806BCE"/>
    <w:rsid w:val="008072CA"/>
    <w:rsid w:val="00807715"/>
    <w:rsid w:val="0080795B"/>
    <w:rsid w:val="00807B18"/>
    <w:rsid w:val="00807DDD"/>
    <w:rsid w:val="0081001A"/>
    <w:rsid w:val="0081073C"/>
    <w:rsid w:val="00810B7B"/>
    <w:rsid w:val="00810C29"/>
    <w:rsid w:val="008115DA"/>
    <w:rsid w:val="00811613"/>
    <w:rsid w:val="0081179E"/>
    <w:rsid w:val="00811DFB"/>
    <w:rsid w:val="00811E08"/>
    <w:rsid w:val="00812DE6"/>
    <w:rsid w:val="00813826"/>
    <w:rsid w:val="0081389A"/>
    <w:rsid w:val="00813CFF"/>
    <w:rsid w:val="008141B6"/>
    <w:rsid w:val="008143A1"/>
    <w:rsid w:val="00814634"/>
    <w:rsid w:val="00814AF1"/>
    <w:rsid w:val="00814ED5"/>
    <w:rsid w:val="0081502B"/>
    <w:rsid w:val="00815486"/>
    <w:rsid w:val="008156AB"/>
    <w:rsid w:val="00815D17"/>
    <w:rsid w:val="00816028"/>
    <w:rsid w:val="00816288"/>
    <w:rsid w:val="00816385"/>
    <w:rsid w:val="008165D4"/>
    <w:rsid w:val="00816DBF"/>
    <w:rsid w:val="008171BF"/>
    <w:rsid w:val="00817A2D"/>
    <w:rsid w:val="00817B8E"/>
    <w:rsid w:val="0082132C"/>
    <w:rsid w:val="008218C4"/>
    <w:rsid w:val="00821A33"/>
    <w:rsid w:val="00821B96"/>
    <w:rsid w:val="00821C7A"/>
    <w:rsid w:val="00821E05"/>
    <w:rsid w:val="00822322"/>
    <w:rsid w:val="00822494"/>
    <w:rsid w:val="008227AA"/>
    <w:rsid w:val="008228F6"/>
    <w:rsid w:val="008229A7"/>
    <w:rsid w:val="00822FD3"/>
    <w:rsid w:val="00823661"/>
    <w:rsid w:val="00823674"/>
    <w:rsid w:val="00823A48"/>
    <w:rsid w:val="00823B3B"/>
    <w:rsid w:val="00824182"/>
    <w:rsid w:val="00824B47"/>
    <w:rsid w:val="00824B85"/>
    <w:rsid w:val="00825783"/>
    <w:rsid w:val="00825A8F"/>
    <w:rsid w:val="00825C0F"/>
    <w:rsid w:val="00825E99"/>
    <w:rsid w:val="00825FBF"/>
    <w:rsid w:val="00826212"/>
    <w:rsid w:val="00826312"/>
    <w:rsid w:val="00826A9C"/>
    <w:rsid w:val="00826C49"/>
    <w:rsid w:val="00826C5E"/>
    <w:rsid w:val="008301C2"/>
    <w:rsid w:val="0083023E"/>
    <w:rsid w:val="0083042A"/>
    <w:rsid w:val="00830EA1"/>
    <w:rsid w:val="00830F87"/>
    <w:rsid w:val="00831019"/>
    <w:rsid w:val="008310CA"/>
    <w:rsid w:val="0083167A"/>
    <w:rsid w:val="0083188F"/>
    <w:rsid w:val="0083191F"/>
    <w:rsid w:val="00831939"/>
    <w:rsid w:val="00831B67"/>
    <w:rsid w:val="00831D7E"/>
    <w:rsid w:val="0083252E"/>
    <w:rsid w:val="008329DA"/>
    <w:rsid w:val="00833400"/>
    <w:rsid w:val="00833900"/>
    <w:rsid w:val="00834123"/>
    <w:rsid w:val="00834555"/>
    <w:rsid w:val="00834891"/>
    <w:rsid w:val="0083490F"/>
    <w:rsid w:val="00834B0A"/>
    <w:rsid w:val="00834C34"/>
    <w:rsid w:val="00834C5F"/>
    <w:rsid w:val="00834C96"/>
    <w:rsid w:val="00834D9C"/>
    <w:rsid w:val="008351A8"/>
    <w:rsid w:val="0083571D"/>
    <w:rsid w:val="00835B69"/>
    <w:rsid w:val="00835F48"/>
    <w:rsid w:val="00836D53"/>
    <w:rsid w:val="00837215"/>
    <w:rsid w:val="0083744C"/>
    <w:rsid w:val="00837983"/>
    <w:rsid w:val="0084006C"/>
    <w:rsid w:val="0084018A"/>
    <w:rsid w:val="008408DC"/>
    <w:rsid w:val="008408ED"/>
    <w:rsid w:val="00840A04"/>
    <w:rsid w:val="00840B3A"/>
    <w:rsid w:val="008410CC"/>
    <w:rsid w:val="00841174"/>
    <w:rsid w:val="008412FC"/>
    <w:rsid w:val="00841569"/>
    <w:rsid w:val="0084182B"/>
    <w:rsid w:val="008419CC"/>
    <w:rsid w:val="00841D07"/>
    <w:rsid w:val="008423A1"/>
    <w:rsid w:val="00842B5D"/>
    <w:rsid w:val="00843014"/>
    <w:rsid w:val="008431A2"/>
    <w:rsid w:val="00843C02"/>
    <w:rsid w:val="00843F09"/>
    <w:rsid w:val="008440BD"/>
    <w:rsid w:val="00844156"/>
    <w:rsid w:val="00844187"/>
    <w:rsid w:val="0084453C"/>
    <w:rsid w:val="00844A05"/>
    <w:rsid w:val="008453A5"/>
    <w:rsid w:val="008454DE"/>
    <w:rsid w:val="0084556A"/>
    <w:rsid w:val="008455B8"/>
    <w:rsid w:val="008456E9"/>
    <w:rsid w:val="0084575B"/>
    <w:rsid w:val="00845C4B"/>
    <w:rsid w:val="00845D12"/>
    <w:rsid w:val="00845EE2"/>
    <w:rsid w:val="0084624E"/>
    <w:rsid w:val="00846422"/>
    <w:rsid w:val="0084669A"/>
    <w:rsid w:val="00846A21"/>
    <w:rsid w:val="00846A9D"/>
    <w:rsid w:val="00846BC9"/>
    <w:rsid w:val="00846C65"/>
    <w:rsid w:val="0084742C"/>
    <w:rsid w:val="00847B32"/>
    <w:rsid w:val="00847C71"/>
    <w:rsid w:val="0085017B"/>
    <w:rsid w:val="00850291"/>
    <w:rsid w:val="0085059A"/>
    <w:rsid w:val="008505D0"/>
    <w:rsid w:val="008505E4"/>
    <w:rsid w:val="00850FD6"/>
    <w:rsid w:val="0085123B"/>
    <w:rsid w:val="00851395"/>
    <w:rsid w:val="0085199B"/>
    <w:rsid w:val="00851ADD"/>
    <w:rsid w:val="0085233B"/>
    <w:rsid w:val="00852A51"/>
    <w:rsid w:val="00852E37"/>
    <w:rsid w:val="00853756"/>
    <w:rsid w:val="00853ABC"/>
    <w:rsid w:val="00853D3C"/>
    <w:rsid w:val="00854253"/>
    <w:rsid w:val="008545F6"/>
    <w:rsid w:val="00854E3E"/>
    <w:rsid w:val="00855187"/>
    <w:rsid w:val="008551F4"/>
    <w:rsid w:val="00855449"/>
    <w:rsid w:val="008558E7"/>
    <w:rsid w:val="00856141"/>
    <w:rsid w:val="00856282"/>
    <w:rsid w:val="00856769"/>
    <w:rsid w:val="0085691F"/>
    <w:rsid w:val="00856D21"/>
    <w:rsid w:val="00856E64"/>
    <w:rsid w:val="00856F06"/>
    <w:rsid w:val="00857118"/>
    <w:rsid w:val="0085729E"/>
    <w:rsid w:val="0085799E"/>
    <w:rsid w:val="00857B94"/>
    <w:rsid w:val="00857D6D"/>
    <w:rsid w:val="00860617"/>
    <w:rsid w:val="0086072D"/>
    <w:rsid w:val="008609AA"/>
    <w:rsid w:val="00860D35"/>
    <w:rsid w:val="00860F32"/>
    <w:rsid w:val="0086137B"/>
    <w:rsid w:val="008617DA"/>
    <w:rsid w:val="008621D6"/>
    <w:rsid w:val="008624D9"/>
    <w:rsid w:val="00863626"/>
    <w:rsid w:val="008641B7"/>
    <w:rsid w:val="00864758"/>
    <w:rsid w:val="00864A4F"/>
    <w:rsid w:val="00864F6D"/>
    <w:rsid w:val="008656C6"/>
    <w:rsid w:val="008658D7"/>
    <w:rsid w:val="00865F15"/>
    <w:rsid w:val="008661A8"/>
    <w:rsid w:val="00866978"/>
    <w:rsid w:val="008669E8"/>
    <w:rsid w:val="00866D0E"/>
    <w:rsid w:val="00866DE2"/>
    <w:rsid w:val="008676E7"/>
    <w:rsid w:val="00867EC9"/>
    <w:rsid w:val="0087013A"/>
    <w:rsid w:val="00870579"/>
    <w:rsid w:val="00870E3A"/>
    <w:rsid w:val="008712E7"/>
    <w:rsid w:val="008715C5"/>
    <w:rsid w:val="008715D0"/>
    <w:rsid w:val="008717BD"/>
    <w:rsid w:val="00871F15"/>
    <w:rsid w:val="00872038"/>
    <w:rsid w:val="00872E2C"/>
    <w:rsid w:val="00872FA1"/>
    <w:rsid w:val="0087302F"/>
    <w:rsid w:val="008732B4"/>
    <w:rsid w:val="00873501"/>
    <w:rsid w:val="00873754"/>
    <w:rsid w:val="008738F8"/>
    <w:rsid w:val="0087413A"/>
    <w:rsid w:val="00874167"/>
    <w:rsid w:val="00875776"/>
    <w:rsid w:val="00875A8A"/>
    <w:rsid w:val="00875C94"/>
    <w:rsid w:val="00876247"/>
    <w:rsid w:val="0087634C"/>
    <w:rsid w:val="008766CB"/>
    <w:rsid w:val="00876CE8"/>
    <w:rsid w:val="0087711E"/>
    <w:rsid w:val="008775C9"/>
    <w:rsid w:val="008775D1"/>
    <w:rsid w:val="0087775F"/>
    <w:rsid w:val="00877AD9"/>
    <w:rsid w:val="00877D66"/>
    <w:rsid w:val="00877E9B"/>
    <w:rsid w:val="0088042E"/>
    <w:rsid w:val="008806C7"/>
    <w:rsid w:val="0088094D"/>
    <w:rsid w:val="00880F38"/>
    <w:rsid w:val="00881035"/>
    <w:rsid w:val="00881283"/>
    <w:rsid w:val="008816CE"/>
    <w:rsid w:val="00881746"/>
    <w:rsid w:val="00881AFD"/>
    <w:rsid w:val="00881BDF"/>
    <w:rsid w:val="00881D1E"/>
    <w:rsid w:val="0088227D"/>
    <w:rsid w:val="00882495"/>
    <w:rsid w:val="0088306B"/>
    <w:rsid w:val="00883078"/>
    <w:rsid w:val="008830EE"/>
    <w:rsid w:val="0088357B"/>
    <w:rsid w:val="00883CD8"/>
    <w:rsid w:val="00883D4B"/>
    <w:rsid w:val="00883FE7"/>
    <w:rsid w:val="008842DA"/>
    <w:rsid w:val="00884363"/>
    <w:rsid w:val="00884509"/>
    <w:rsid w:val="0088457D"/>
    <w:rsid w:val="0088484E"/>
    <w:rsid w:val="00884BEC"/>
    <w:rsid w:val="00884EB4"/>
    <w:rsid w:val="0088532C"/>
    <w:rsid w:val="008853DB"/>
    <w:rsid w:val="00885820"/>
    <w:rsid w:val="00885A82"/>
    <w:rsid w:val="00885E74"/>
    <w:rsid w:val="00886019"/>
    <w:rsid w:val="00886164"/>
    <w:rsid w:val="00886435"/>
    <w:rsid w:val="008869DB"/>
    <w:rsid w:val="00886C43"/>
    <w:rsid w:val="00886D0E"/>
    <w:rsid w:val="00886EB1"/>
    <w:rsid w:val="008870D9"/>
    <w:rsid w:val="008874EB"/>
    <w:rsid w:val="008875A2"/>
    <w:rsid w:val="0088777B"/>
    <w:rsid w:val="008877C3"/>
    <w:rsid w:val="008879E6"/>
    <w:rsid w:val="00887D3E"/>
    <w:rsid w:val="00887DD1"/>
    <w:rsid w:val="00887FDD"/>
    <w:rsid w:val="008900F8"/>
    <w:rsid w:val="00890244"/>
    <w:rsid w:val="00890C88"/>
    <w:rsid w:val="00890CC6"/>
    <w:rsid w:val="00891055"/>
    <w:rsid w:val="008913B1"/>
    <w:rsid w:val="00891521"/>
    <w:rsid w:val="00891640"/>
    <w:rsid w:val="008925CC"/>
    <w:rsid w:val="00892BA7"/>
    <w:rsid w:val="00892D3C"/>
    <w:rsid w:val="00892EA2"/>
    <w:rsid w:val="00892F04"/>
    <w:rsid w:val="0089349A"/>
    <w:rsid w:val="00893BE1"/>
    <w:rsid w:val="00894C90"/>
    <w:rsid w:val="00894EEA"/>
    <w:rsid w:val="0089502A"/>
    <w:rsid w:val="008956B9"/>
    <w:rsid w:val="00895A45"/>
    <w:rsid w:val="00895D58"/>
    <w:rsid w:val="00896B08"/>
    <w:rsid w:val="0089715A"/>
    <w:rsid w:val="0089758E"/>
    <w:rsid w:val="008975FB"/>
    <w:rsid w:val="008977DB"/>
    <w:rsid w:val="00897F12"/>
    <w:rsid w:val="008A0574"/>
    <w:rsid w:val="008A07E7"/>
    <w:rsid w:val="008A0CA2"/>
    <w:rsid w:val="008A0D01"/>
    <w:rsid w:val="008A0D05"/>
    <w:rsid w:val="008A1386"/>
    <w:rsid w:val="008A18C1"/>
    <w:rsid w:val="008A2CAD"/>
    <w:rsid w:val="008A30D3"/>
    <w:rsid w:val="008A3125"/>
    <w:rsid w:val="008A4001"/>
    <w:rsid w:val="008A40B4"/>
    <w:rsid w:val="008A4625"/>
    <w:rsid w:val="008A46EC"/>
    <w:rsid w:val="008A4EBD"/>
    <w:rsid w:val="008A5032"/>
    <w:rsid w:val="008A5181"/>
    <w:rsid w:val="008A5369"/>
    <w:rsid w:val="008A554C"/>
    <w:rsid w:val="008A5623"/>
    <w:rsid w:val="008A581C"/>
    <w:rsid w:val="008A5C5A"/>
    <w:rsid w:val="008A669B"/>
    <w:rsid w:val="008A6D7B"/>
    <w:rsid w:val="008A72F9"/>
    <w:rsid w:val="008A766C"/>
    <w:rsid w:val="008A7909"/>
    <w:rsid w:val="008A7A24"/>
    <w:rsid w:val="008A7AC2"/>
    <w:rsid w:val="008A7DE8"/>
    <w:rsid w:val="008B0022"/>
    <w:rsid w:val="008B02E8"/>
    <w:rsid w:val="008B07A5"/>
    <w:rsid w:val="008B10CE"/>
    <w:rsid w:val="008B115E"/>
    <w:rsid w:val="008B16BC"/>
    <w:rsid w:val="008B1AD8"/>
    <w:rsid w:val="008B1C8A"/>
    <w:rsid w:val="008B1D4E"/>
    <w:rsid w:val="008B1DAE"/>
    <w:rsid w:val="008B1E31"/>
    <w:rsid w:val="008B1F96"/>
    <w:rsid w:val="008B25A0"/>
    <w:rsid w:val="008B2722"/>
    <w:rsid w:val="008B2F9B"/>
    <w:rsid w:val="008B3122"/>
    <w:rsid w:val="008B3725"/>
    <w:rsid w:val="008B4014"/>
    <w:rsid w:val="008B4243"/>
    <w:rsid w:val="008B44A5"/>
    <w:rsid w:val="008B4F67"/>
    <w:rsid w:val="008B5AC8"/>
    <w:rsid w:val="008B5D1B"/>
    <w:rsid w:val="008B5E6E"/>
    <w:rsid w:val="008B68D8"/>
    <w:rsid w:val="008B6A7D"/>
    <w:rsid w:val="008B7006"/>
    <w:rsid w:val="008B7230"/>
    <w:rsid w:val="008B760E"/>
    <w:rsid w:val="008B7836"/>
    <w:rsid w:val="008B7A30"/>
    <w:rsid w:val="008B7D9B"/>
    <w:rsid w:val="008C0396"/>
    <w:rsid w:val="008C04FD"/>
    <w:rsid w:val="008C07AD"/>
    <w:rsid w:val="008C09C0"/>
    <w:rsid w:val="008C0B9E"/>
    <w:rsid w:val="008C0EFD"/>
    <w:rsid w:val="008C1326"/>
    <w:rsid w:val="008C1576"/>
    <w:rsid w:val="008C1C21"/>
    <w:rsid w:val="008C1C87"/>
    <w:rsid w:val="008C1E0F"/>
    <w:rsid w:val="008C228B"/>
    <w:rsid w:val="008C3C94"/>
    <w:rsid w:val="008C3EA3"/>
    <w:rsid w:val="008C41DA"/>
    <w:rsid w:val="008C4229"/>
    <w:rsid w:val="008C5066"/>
    <w:rsid w:val="008C54AC"/>
    <w:rsid w:val="008C564A"/>
    <w:rsid w:val="008C56A7"/>
    <w:rsid w:val="008C57A2"/>
    <w:rsid w:val="008C585E"/>
    <w:rsid w:val="008C5AB3"/>
    <w:rsid w:val="008C5CF4"/>
    <w:rsid w:val="008C5E47"/>
    <w:rsid w:val="008C60B7"/>
    <w:rsid w:val="008C60F8"/>
    <w:rsid w:val="008C63E4"/>
    <w:rsid w:val="008C66FD"/>
    <w:rsid w:val="008C6758"/>
    <w:rsid w:val="008C69CE"/>
    <w:rsid w:val="008C73E8"/>
    <w:rsid w:val="008C757C"/>
    <w:rsid w:val="008C7AC8"/>
    <w:rsid w:val="008C7D96"/>
    <w:rsid w:val="008C7EB2"/>
    <w:rsid w:val="008D0D95"/>
    <w:rsid w:val="008D11A8"/>
    <w:rsid w:val="008D1566"/>
    <w:rsid w:val="008D1B09"/>
    <w:rsid w:val="008D1E56"/>
    <w:rsid w:val="008D235F"/>
    <w:rsid w:val="008D244A"/>
    <w:rsid w:val="008D27A2"/>
    <w:rsid w:val="008D2B93"/>
    <w:rsid w:val="008D2FA4"/>
    <w:rsid w:val="008D3B61"/>
    <w:rsid w:val="008D3E3F"/>
    <w:rsid w:val="008D3FF5"/>
    <w:rsid w:val="008D44F4"/>
    <w:rsid w:val="008D4C18"/>
    <w:rsid w:val="008D4E52"/>
    <w:rsid w:val="008D4E84"/>
    <w:rsid w:val="008D5BBD"/>
    <w:rsid w:val="008D5C9B"/>
    <w:rsid w:val="008D60BF"/>
    <w:rsid w:val="008D60F7"/>
    <w:rsid w:val="008D6452"/>
    <w:rsid w:val="008D6D63"/>
    <w:rsid w:val="008D734D"/>
    <w:rsid w:val="008D7647"/>
    <w:rsid w:val="008D7941"/>
    <w:rsid w:val="008D7F2B"/>
    <w:rsid w:val="008D7F4F"/>
    <w:rsid w:val="008E00F0"/>
    <w:rsid w:val="008E0AC9"/>
    <w:rsid w:val="008E0C53"/>
    <w:rsid w:val="008E0F70"/>
    <w:rsid w:val="008E0FF3"/>
    <w:rsid w:val="008E1206"/>
    <w:rsid w:val="008E165D"/>
    <w:rsid w:val="008E188F"/>
    <w:rsid w:val="008E190E"/>
    <w:rsid w:val="008E1AD7"/>
    <w:rsid w:val="008E1BE2"/>
    <w:rsid w:val="008E1D8C"/>
    <w:rsid w:val="008E28A4"/>
    <w:rsid w:val="008E2A53"/>
    <w:rsid w:val="008E2B1F"/>
    <w:rsid w:val="008E2C31"/>
    <w:rsid w:val="008E2EDA"/>
    <w:rsid w:val="008E3306"/>
    <w:rsid w:val="008E3663"/>
    <w:rsid w:val="008E3A26"/>
    <w:rsid w:val="008E4162"/>
    <w:rsid w:val="008E4325"/>
    <w:rsid w:val="008E4653"/>
    <w:rsid w:val="008E4A89"/>
    <w:rsid w:val="008E5032"/>
    <w:rsid w:val="008E5410"/>
    <w:rsid w:val="008E58FD"/>
    <w:rsid w:val="008E5F2D"/>
    <w:rsid w:val="008E6477"/>
    <w:rsid w:val="008E68F1"/>
    <w:rsid w:val="008E6A6D"/>
    <w:rsid w:val="008E6FD7"/>
    <w:rsid w:val="008E6FDD"/>
    <w:rsid w:val="008E7141"/>
    <w:rsid w:val="008E7353"/>
    <w:rsid w:val="008E76BD"/>
    <w:rsid w:val="008E7846"/>
    <w:rsid w:val="008E7C2B"/>
    <w:rsid w:val="008E7CA6"/>
    <w:rsid w:val="008F034D"/>
    <w:rsid w:val="008F0600"/>
    <w:rsid w:val="008F0CF3"/>
    <w:rsid w:val="008F12C6"/>
    <w:rsid w:val="008F192B"/>
    <w:rsid w:val="008F19B0"/>
    <w:rsid w:val="008F1A9E"/>
    <w:rsid w:val="008F1C40"/>
    <w:rsid w:val="008F1F00"/>
    <w:rsid w:val="008F22C8"/>
    <w:rsid w:val="008F2547"/>
    <w:rsid w:val="008F2794"/>
    <w:rsid w:val="008F2A15"/>
    <w:rsid w:val="008F2CCD"/>
    <w:rsid w:val="008F2DB7"/>
    <w:rsid w:val="008F2EA6"/>
    <w:rsid w:val="008F3483"/>
    <w:rsid w:val="008F348A"/>
    <w:rsid w:val="008F3694"/>
    <w:rsid w:val="008F3DE8"/>
    <w:rsid w:val="008F3E16"/>
    <w:rsid w:val="008F3EEB"/>
    <w:rsid w:val="008F400B"/>
    <w:rsid w:val="008F41EA"/>
    <w:rsid w:val="008F54F8"/>
    <w:rsid w:val="008F578D"/>
    <w:rsid w:val="008F62E9"/>
    <w:rsid w:val="008F6753"/>
    <w:rsid w:val="008F6A97"/>
    <w:rsid w:val="008F6CA8"/>
    <w:rsid w:val="008F71EB"/>
    <w:rsid w:val="008F7405"/>
    <w:rsid w:val="008F7C9C"/>
    <w:rsid w:val="009000F5"/>
    <w:rsid w:val="00900B56"/>
    <w:rsid w:val="00901043"/>
    <w:rsid w:val="009011D2"/>
    <w:rsid w:val="00901222"/>
    <w:rsid w:val="009016B2"/>
    <w:rsid w:val="00901923"/>
    <w:rsid w:val="00901EF2"/>
    <w:rsid w:val="0090280A"/>
    <w:rsid w:val="009032D2"/>
    <w:rsid w:val="00903936"/>
    <w:rsid w:val="00903BAA"/>
    <w:rsid w:val="00903D2F"/>
    <w:rsid w:val="00904772"/>
    <w:rsid w:val="00904DB4"/>
    <w:rsid w:val="009050F1"/>
    <w:rsid w:val="009058A8"/>
    <w:rsid w:val="00905EAF"/>
    <w:rsid w:val="00905FA3"/>
    <w:rsid w:val="00906445"/>
    <w:rsid w:val="0090653C"/>
    <w:rsid w:val="00906745"/>
    <w:rsid w:val="00906AC8"/>
    <w:rsid w:val="00906C4E"/>
    <w:rsid w:val="00907998"/>
    <w:rsid w:val="00907F4D"/>
    <w:rsid w:val="00910689"/>
    <w:rsid w:val="0091085E"/>
    <w:rsid w:val="00910A82"/>
    <w:rsid w:val="00910AE7"/>
    <w:rsid w:val="00910FBD"/>
    <w:rsid w:val="009111B2"/>
    <w:rsid w:val="0091138E"/>
    <w:rsid w:val="00911697"/>
    <w:rsid w:val="00911F4F"/>
    <w:rsid w:val="00912464"/>
    <w:rsid w:val="00912AE8"/>
    <w:rsid w:val="00912E3F"/>
    <w:rsid w:val="00912F26"/>
    <w:rsid w:val="00913E1F"/>
    <w:rsid w:val="00914023"/>
    <w:rsid w:val="009143A7"/>
    <w:rsid w:val="00914413"/>
    <w:rsid w:val="009158FF"/>
    <w:rsid w:val="00915A13"/>
    <w:rsid w:val="00915DEF"/>
    <w:rsid w:val="00916520"/>
    <w:rsid w:val="00916CEA"/>
    <w:rsid w:val="00917913"/>
    <w:rsid w:val="00917FDF"/>
    <w:rsid w:val="00920074"/>
    <w:rsid w:val="009201ED"/>
    <w:rsid w:val="00921460"/>
    <w:rsid w:val="0092147A"/>
    <w:rsid w:val="009214C0"/>
    <w:rsid w:val="00921801"/>
    <w:rsid w:val="009218DB"/>
    <w:rsid w:val="00921AAD"/>
    <w:rsid w:val="00921DD1"/>
    <w:rsid w:val="00921FAF"/>
    <w:rsid w:val="0092204D"/>
    <w:rsid w:val="00922849"/>
    <w:rsid w:val="009228DC"/>
    <w:rsid w:val="00922D39"/>
    <w:rsid w:val="009235B2"/>
    <w:rsid w:val="0092385E"/>
    <w:rsid w:val="009238E4"/>
    <w:rsid w:val="00923B33"/>
    <w:rsid w:val="00923D52"/>
    <w:rsid w:val="009244D2"/>
    <w:rsid w:val="00924AEE"/>
    <w:rsid w:val="009254D2"/>
    <w:rsid w:val="00925506"/>
    <w:rsid w:val="0092632A"/>
    <w:rsid w:val="00926392"/>
    <w:rsid w:val="00926D34"/>
    <w:rsid w:val="00927BEA"/>
    <w:rsid w:val="0093000D"/>
    <w:rsid w:val="00930144"/>
    <w:rsid w:val="0093029B"/>
    <w:rsid w:val="00930970"/>
    <w:rsid w:val="009309D3"/>
    <w:rsid w:val="00930F03"/>
    <w:rsid w:val="0093186B"/>
    <w:rsid w:val="00931B3B"/>
    <w:rsid w:val="00931CB7"/>
    <w:rsid w:val="0093215F"/>
    <w:rsid w:val="00932653"/>
    <w:rsid w:val="009326E1"/>
    <w:rsid w:val="00932A2A"/>
    <w:rsid w:val="00932AFE"/>
    <w:rsid w:val="00932B7E"/>
    <w:rsid w:val="009333B6"/>
    <w:rsid w:val="00933AD3"/>
    <w:rsid w:val="00933EB5"/>
    <w:rsid w:val="00933FDD"/>
    <w:rsid w:val="00934D6E"/>
    <w:rsid w:val="00935168"/>
    <w:rsid w:val="0093543E"/>
    <w:rsid w:val="00936085"/>
    <w:rsid w:val="0093663B"/>
    <w:rsid w:val="00936A86"/>
    <w:rsid w:val="00936AA3"/>
    <w:rsid w:val="00936B80"/>
    <w:rsid w:val="00936CFC"/>
    <w:rsid w:val="00936D41"/>
    <w:rsid w:val="00937185"/>
    <w:rsid w:val="009373AF"/>
    <w:rsid w:val="00937825"/>
    <w:rsid w:val="0093782F"/>
    <w:rsid w:val="00937F22"/>
    <w:rsid w:val="0094043F"/>
    <w:rsid w:val="009404A2"/>
    <w:rsid w:val="009407A8"/>
    <w:rsid w:val="00940897"/>
    <w:rsid w:val="009409D8"/>
    <w:rsid w:val="00940B36"/>
    <w:rsid w:val="00940F65"/>
    <w:rsid w:val="009412BB"/>
    <w:rsid w:val="00941580"/>
    <w:rsid w:val="0094173D"/>
    <w:rsid w:val="00941CAA"/>
    <w:rsid w:val="00941DCA"/>
    <w:rsid w:val="0094229A"/>
    <w:rsid w:val="00942B4D"/>
    <w:rsid w:val="00942D30"/>
    <w:rsid w:val="009430D9"/>
    <w:rsid w:val="009434EB"/>
    <w:rsid w:val="009435C8"/>
    <w:rsid w:val="009439BA"/>
    <w:rsid w:val="00943A7C"/>
    <w:rsid w:val="00943BD1"/>
    <w:rsid w:val="00943F82"/>
    <w:rsid w:val="009440EC"/>
    <w:rsid w:val="00944486"/>
    <w:rsid w:val="009445D3"/>
    <w:rsid w:val="00944834"/>
    <w:rsid w:val="00945606"/>
    <w:rsid w:val="00945BFC"/>
    <w:rsid w:val="00945C12"/>
    <w:rsid w:val="00945E9A"/>
    <w:rsid w:val="009462B6"/>
    <w:rsid w:val="00946342"/>
    <w:rsid w:val="0094644C"/>
    <w:rsid w:val="0094646B"/>
    <w:rsid w:val="009465D0"/>
    <w:rsid w:val="00946859"/>
    <w:rsid w:val="00946C44"/>
    <w:rsid w:val="00946CA4"/>
    <w:rsid w:val="00946E1A"/>
    <w:rsid w:val="009471C2"/>
    <w:rsid w:val="0094722A"/>
    <w:rsid w:val="00947F80"/>
    <w:rsid w:val="009500E4"/>
    <w:rsid w:val="009501C1"/>
    <w:rsid w:val="009506DC"/>
    <w:rsid w:val="0095092B"/>
    <w:rsid w:val="0095095D"/>
    <w:rsid w:val="00950976"/>
    <w:rsid w:val="00950B17"/>
    <w:rsid w:val="00950FEC"/>
    <w:rsid w:val="00951356"/>
    <w:rsid w:val="00951774"/>
    <w:rsid w:val="0095193A"/>
    <w:rsid w:val="00951A60"/>
    <w:rsid w:val="00952129"/>
    <w:rsid w:val="009528F2"/>
    <w:rsid w:val="00952E38"/>
    <w:rsid w:val="00952FCE"/>
    <w:rsid w:val="00953266"/>
    <w:rsid w:val="0095331B"/>
    <w:rsid w:val="009537B0"/>
    <w:rsid w:val="009538A6"/>
    <w:rsid w:val="00953CEB"/>
    <w:rsid w:val="00953D04"/>
    <w:rsid w:val="0095441E"/>
    <w:rsid w:val="0095466A"/>
    <w:rsid w:val="0095481C"/>
    <w:rsid w:val="009548B3"/>
    <w:rsid w:val="00954C2D"/>
    <w:rsid w:val="00955020"/>
    <w:rsid w:val="0095516C"/>
    <w:rsid w:val="009554C7"/>
    <w:rsid w:val="0095576D"/>
    <w:rsid w:val="009557CD"/>
    <w:rsid w:val="00955BDA"/>
    <w:rsid w:val="00955CEE"/>
    <w:rsid w:val="00955F1C"/>
    <w:rsid w:val="009563EC"/>
    <w:rsid w:val="00956563"/>
    <w:rsid w:val="0095675C"/>
    <w:rsid w:val="00956763"/>
    <w:rsid w:val="00956AB7"/>
    <w:rsid w:val="00956BC7"/>
    <w:rsid w:val="00956D57"/>
    <w:rsid w:val="00956D8A"/>
    <w:rsid w:val="00956DC7"/>
    <w:rsid w:val="00957009"/>
    <w:rsid w:val="009572F6"/>
    <w:rsid w:val="0095789D"/>
    <w:rsid w:val="00957BD9"/>
    <w:rsid w:val="00957D68"/>
    <w:rsid w:val="00960161"/>
    <w:rsid w:val="009601FE"/>
    <w:rsid w:val="0096073E"/>
    <w:rsid w:val="0096081A"/>
    <w:rsid w:val="00960A95"/>
    <w:rsid w:val="00960D24"/>
    <w:rsid w:val="00960D53"/>
    <w:rsid w:val="00960E86"/>
    <w:rsid w:val="009618B7"/>
    <w:rsid w:val="009618F9"/>
    <w:rsid w:val="00961C58"/>
    <w:rsid w:val="00961FBB"/>
    <w:rsid w:val="0096243D"/>
    <w:rsid w:val="00962512"/>
    <w:rsid w:val="009629CB"/>
    <w:rsid w:val="00962ED7"/>
    <w:rsid w:val="00962FF9"/>
    <w:rsid w:val="00963E83"/>
    <w:rsid w:val="00963FDB"/>
    <w:rsid w:val="0096414F"/>
    <w:rsid w:val="0096436C"/>
    <w:rsid w:val="00964579"/>
    <w:rsid w:val="009648F4"/>
    <w:rsid w:val="00964CEB"/>
    <w:rsid w:val="0096501B"/>
    <w:rsid w:val="0096563E"/>
    <w:rsid w:val="00965671"/>
    <w:rsid w:val="009659F4"/>
    <w:rsid w:val="00965EAA"/>
    <w:rsid w:val="009664A3"/>
    <w:rsid w:val="009670FC"/>
    <w:rsid w:val="009671BA"/>
    <w:rsid w:val="00967517"/>
    <w:rsid w:val="00967D82"/>
    <w:rsid w:val="0097014D"/>
    <w:rsid w:val="0097047C"/>
    <w:rsid w:val="00970B8F"/>
    <w:rsid w:val="009712C9"/>
    <w:rsid w:val="0097135E"/>
    <w:rsid w:val="009714EC"/>
    <w:rsid w:val="00971DD9"/>
    <w:rsid w:val="00972264"/>
    <w:rsid w:val="0097234F"/>
    <w:rsid w:val="0097244C"/>
    <w:rsid w:val="009730A3"/>
    <w:rsid w:val="0097359E"/>
    <w:rsid w:val="009739F3"/>
    <w:rsid w:val="00973B95"/>
    <w:rsid w:val="00974830"/>
    <w:rsid w:val="00974AF2"/>
    <w:rsid w:val="00974C0F"/>
    <w:rsid w:val="00974F2E"/>
    <w:rsid w:val="00975022"/>
    <w:rsid w:val="009750AF"/>
    <w:rsid w:val="009757A0"/>
    <w:rsid w:val="0097632B"/>
    <w:rsid w:val="00976FD2"/>
    <w:rsid w:val="009806A9"/>
    <w:rsid w:val="009809D9"/>
    <w:rsid w:val="00980B88"/>
    <w:rsid w:val="009819D0"/>
    <w:rsid w:val="00981BB1"/>
    <w:rsid w:val="00981D89"/>
    <w:rsid w:val="00981EE3"/>
    <w:rsid w:val="009822D8"/>
    <w:rsid w:val="00982680"/>
    <w:rsid w:val="00983287"/>
    <w:rsid w:val="00983308"/>
    <w:rsid w:val="009839DD"/>
    <w:rsid w:val="00983EA7"/>
    <w:rsid w:val="00983F28"/>
    <w:rsid w:val="0098459E"/>
    <w:rsid w:val="00984605"/>
    <w:rsid w:val="00984A0A"/>
    <w:rsid w:val="0098503E"/>
    <w:rsid w:val="00985CF1"/>
    <w:rsid w:val="0098666E"/>
    <w:rsid w:val="00986A27"/>
    <w:rsid w:val="00986E56"/>
    <w:rsid w:val="00987168"/>
    <w:rsid w:val="00987306"/>
    <w:rsid w:val="009878BD"/>
    <w:rsid w:val="00987A32"/>
    <w:rsid w:val="00987BE6"/>
    <w:rsid w:val="00987FAF"/>
    <w:rsid w:val="00990153"/>
    <w:rsid w:val="009902D5"/>
    <w:rsid w:val="00990368"/>
    <w:rsid w:val="0099036E"/>
    <w:rsid w:val="0099194B"/>
    <w:rsid w:val="0099194F"/>
    <w:rsid w:val="00991C2C"/>
    <w:rsid w:val="00991DAE"/>
    <w:rsid w:val="00991F3E"/>
    <w:rsid w:val="00991FA0"/>
    <w:rsid w:val="00992156"/>
    <w:rsid w:val="00992826"/>
    <w:rsid w:val="00992888"/>
    <w:rsid w:val="009929D7"/>
    <w:rsid w:val="0099304A"/>
    <w:rsid w:val="00993853"/>
    <w:rsid w:val="00993D34"/>
    <w:rsid w:val="00994560"/>
    <w:rsid w:val="009947D5"/>
    <w:rsid w:val="00994C46"/>
    <w:rsid w:val="009965AF"/>
    <w:rsid w:val="00997094"/>
    <w:rsid w:val="009972CF"/>
    <w:rsid w:val="0099741C"/>
    <w:rsid w:val="009974ED"/>
    <w:rsid w:val="00997B6C"/>
    <w:rsid w:val="00997F42"/>
    <w:rsid w:val="009A0BAD"/>
    <w:rsid w:val="009A0E24"/>
    <w:rsid w:val="009A0F15"/>
    <w:rsid w:val="009A1075"/>
    <w:rsid w:val="009A1661"/>
    <w:rsid w:val="009A1BA8"/>
    <w:rsid w:val="009A1CAE"/>
    <w:rsid w:val="009A241A"/>
    <w:rsid w:val="009A2863"/>
    <w:rsid w:val="009A29D8"/>
    <w:rsid w:val="009A2C0A"/>
    <w:rsid w:val="009A2C6A"/>
    <w:rsid w:val="009A2D60"/>
    <w:rsid w:val="009A2ED9"/>
    <w:rsid w:val="009A3068"/>
    <w:rsid w:val="009A3503"/>
    <w:rsid w:val="009A36DD"/>
    <w:rsid w:val="009A3847"/>
    <w:rsid w:val="009A392B"/>
    <w:rsid w:val="009A4A91"/>
    <w:rsid w:val="009A4D9D"/>
    <w:rsid w:val="009A50D5"/>
    <w:rsid w:val="009A54B9"/>
    <w:rsid w:val="009A5516"/>
    <w:rsid w:val="009A5582"/>
    <w:rsid w:val="009A56AB"/>
    <w:rsid w:val="009A5A95"/>
    <w:rsid w:val="009A5C0D"/>
    <w:rsid w:val="009A5E12"/>
    <w:rsid w:val="009A5E59"/>
    <w:rsid w:val="009A6139"/>
    <w:rsid w:val="009A633C"/>
    <w:rsid w:val="009A63ED"/>
    <w:rsid w:val="009A6438"/>
    <w:rsid w:val="009A6723"/>
    <w:rsid w:val="009A67E9"/>
    <w:rsid w:val="009A6985"/>
    <w:rsid w:val="009A6CD6"/>
    <w:rsid w:val="009A6D7F"/>
    <w:rsid w:val="009A7B7A"/>
    <w:rsid w:val="009B0318"/>
    <w:rsid w:val="009B0411"/>
    <w:rsid w:val="009B0892"/>
    <w:rsid w:val="009B117E"/>
    <w:rsid w:val="009B1481"/>
    <w:rsid w:val="009B1537"/>
    <w:rsid w:val="009B19D1"/>
    <w:rsid w:val="009B1CCA"/>
    <w:rsid w:val="009B3998"/>
    <w:rsid w:val="009B460D"/>
    <w:rsid w:val="009B482F"/>
    <w:rsid w:val="009B4F8C"/>
    <w:rsid w:val="009B5070"/>
    <w:rsid w:val="009B5134"/>
    <w:rsid w:val="009B5703"/>
    <w:rsid w:val="009B5BC5"/>
    <w:rsid w:val="009B6052"/>
    <w:rsid w:val="009B66FA"/>
    <w:rsid w:val="009B6E45"/>
    <w:rsid w:val="009B7053"/>
    <w:rsid w:val="009B79C2"/>
    <w:rsid w:val="009B7DBE"/>
    <w:rsid w:val="009C08FB"/>
    <w:rsid w:val="009C0CD1"/>
    <w:rsid w:val="009C1B33"/>
    <w:rsid w:val="009C2123"/>
    <w:rsid w:val="009C249B"/>
    <w:rsid w:val="009C2D18"/>
    <w:rsid w:val="009C2D44"/>
    <w:rsid w:val="009C336C"/>
    <w:rsid w:val="009C353B"/>
    <w:rsid w:val="009C3B55"/>
    <w:rsid w:val="009C3CFE"/>
    <w:rsid w:val="009C4054"/>
    <w:rsid w:val="009C43E7"/>
    <w:rsid w:val="009C4690"/>
    <w:rsid w:val="009C4797"/>
    <w:rsid w:val="009C48DF"/>
    <w:rsid w:val="009C4C0F"/>
    <w:rsid w:val="009C4CA1"/>
    <w:rsid w:val="009C4DC8"/>
    <w:rsid w:val="009C5183"/>
    <w:rsid w:val="009C5721"/>
    <w:rsid w:val="009C5992"/>
    <w:rsid w:val="009C61BE"/>
    <w:rsid w:val="009C6AA7"/>
    <w:rsid w:val="009C6CF7"/>
    <w:rsid w:val="009C7269"/>
    <w:rsid w:val="009C760A"/>
    <w:rsid w:val="009C7B58"/>
    <w:rsid w:val="009C7B81"/>
    <w:rsid w:val="009C7D69"/>
    <w:rsid w:val="009C7FEF"/>
    <w:rsid w:val="009D0954"/>
    <w:rsid w:val="009D129B"/>
    <w:rsid w:val="009D1581"/>
    <w:rsid w:val="009D17EE"/>
    <w:rsid w:val="009D1DB0"/>
    <w:rsid w:val="009D1E0A"/>
    <w:rsid w:val="009D1F8A"/>
    <w:rsid w:val="009D2268"/>
    <w:rsid w:val="009D2619"/>
    <w:rsid w:val="009D26FF"/>
    <w:rsid w:val="009D2FBD"/>
    <w:rsid w:val="009D35FD"/>
    <w:rsid w:val="009D37A0"/>
    <w:rsid w:val="009D3824"/>
    <w:rsid w:val="009D394F"/>
    <w:rsid w:val="009D45D6"/>
    <w:rsid w:val="009D478F"/>
    <w:rsid w:val="009D48B0"/>
    <w:rsid w:val="009D50A0"/>
    <w:rsid w:val="009D52D9"/>
    <w:rsid w:val="009D5769"/>
    <w:rsid w:val="009D6076"/>
    <w:rsid w:val="009D61D7"/>
    <w:rsid w:val="009D6856"/>
    <w:rsid w:val="009D7092"/>
    <w:rsid w:val="009D73B8"/>
    <w:rsid w:val="009D7AD9"/>
    <w:rsid w:val="009D7FB0"/>
    <w:rsid w:val="009E0069"/>
    <w:rsid w:val="009E0120"/>
    <w:rsid w:val="009E0147"/>
    <w:rsid w:val="009E05BB"/>
    <w:rsid w:val="009E06A5"/>
    <w:rsid w:val="009E073F"/>
    <w:rsid w:val="009E09BC"/>
    <w:rsid w:val="009E09DD"/>
    <w:rsid w:val="009E12AD"/>
    <w:rsid w:val="009E1319"/>
    <w:rsid w:val="009E1395"/>
    <w:rsid w:val="009E16C9"/>
    <w:rsid w:val="009E1B36"/>
    <w:rsid w:val="009E1C97"/>
    <w:rsid w:val="009E21F3"/>
    <w:rsid w:val="009E239C"/>
    <w:rsid w:val="009E376A"/>
    <w:rsid w:val="009E3BBD"/>
    <w:rsid w:val="009E3F5A"/>
    <w:rsid w:val="009E3F60"/>
    <w:rsid w:val="009E445F"/>
    <w:rsid w:val="009E497B"/>
    <w:rsid w:val="009E4A27"/>
    <w:rsid w:val="009E4B82"/>
    <w:rsid w:val="009E4BF4"/>
    <w:rsid w:val="009E4E65"/>
    <w:rsid w:val="009E4F4F"/>
    <w:rsid w:val="009E5A8F"/>
    <w:rsid w:val="009E5B97"/>
    <w:rsid w:val="009E5CF4"/>
    <w:rsid w:val="009E5FA2"/>
    <w:rsid w:val="009E6309"/>
    <w:rsid w:val="009E6533"/>
    <w:rsid w:val="009E6931"/>
    <w:rsid w:val="009E6CBE"/>
    <w:rsid w:val="009E7B33"/>
    <w:rsid w:val="009E7F1F"/>
    <w:rsid w:val="009F0515"/>
    <w:rsid w:val="009F0925"/>
    <w:rsid w:val="009F09CB"/>
    <w:rsid w:val="009F0A6C"/>
    <w:rsid w:val="009F0E06"/>
    <w:rsid w:val="009F11C6"/>
    <w:rsid w:val="009F120A"/>
    <w:rsid w:val="009F17A4"/>
    <w:rsid w:val="009F1DBA"/>
    <w:rsid w:val="009F1E08"/>
    <w:rsid w:val="009F231E"/>
    <w:rsid w:val="009F2631"/>
    <w:rsid w:val="009F26E8"/>
    <w:rsid w:val="009F2813"/>
    <w:rsid w:val="009F29DB"/>
    <w:rsid w:val="009F33E1"/>
    <w:rsid w:val="009F357C"/>
    <w:rsid w:val="009F38F5"/>
    <w:rsid w:val="009F3A48"/>
    <w:rsid w:val="009F4408"/>
    <w:rsid w:val="009F5166"/>
    <w:rsid w:val="009F6458"/>
    <w:rsid w:val="009F686E"/>
    <w:rsid w:val="009F6945"/>
    <w:rsid w:val="009F7939"/>
    <w:rsid w:val="009F7C6C"/>
    <w:rsid w:val="009F7E96"/>
    <w:rsid w:val="00A00350"/>
    <w:rsid w:val="00A007DE"/>
    <w:rsid w:val="00A00894"/>
    <w:rsid w:val="00A008B0"/>
    <w:rsid w:val="00A009B5"/>
    <w:rsid w:val="00A00CF4"/>
    <w:rsid w:val="00A01202"/>
    <w:rsid w:val="00A0169A"/>
    <w:rsid w:val="00A01CED"/>
    <w:rsid w:val="00A01F54"/>
    <w:rsid w:val="00A02144"/>
    <w:rsid w:val="00A021F6"/>
    <w:rsid w:val="00A02216"/>
    <w:rsid w:val="00A02759"/>
    <w:rsid w:val="00A02934"/>
    <w:rsid w:val="00A03068"/>
    <w:rsid w:val="00A03E51"/>
    <w:rsid w:val="00A040A6"/>
    <w:rsid w:val="00A0432B"/>
    <w:rsid w:val="00A047C1"/>
    <w:rsid w:val="00A04C31"/>
    <w:rsid w:val="00A054D0"/>
    <w:rsid w:val="00A058B0"/>
    <w:rsid w:val="00A05A27"/>
    <w:rsid w:val="00A05DCF"/>
    <w:rsid w:val="00A05DF6"/>
    <w:rsid w:val="00A06674"/>
    <w:rsid w:val="00A0699A"/>
    <w:rsid w:val="00A06D50"/>
    <w:rsid w:val="00A06FAB"/>
    <w:rsid w:val="00A074E7"/>
    <w:rsid w:val="00A07819"/>
    <w:rsid w:val="00A078CD"/>
    <w:rsid w:val="00A07B63"/>
    <w:rsid w:val="00A07DCD"/>
    <w:rsid w:val="00A103EC"/>
    <w:rsid w:val="00A108EA"/>
    <w:rsid w:val="00A10BC2"/>
    <w:rsid w:val="00A10CB7"/>
    <w:rsid w:val="00A10D4D"/>
    <w:rsid w:val="00A10E1D"/>
    <w:rsid w:val="00A10F45"/>
    <w:rsid w:val="00A10FA6"/>
    <w:rsid w:val="00A11165"/>
    <w:rsid w:val="00A114E4"/>
    <w:rsid w:val="00A118A2"/>
    <w:rsid w:val="00A1190F"/>
    <w:rsid w:val="00A11C23"/>
    <w:rsid w:val="00A11C68"/>
    <w:rsid w:val="00A11F97"/>
    <w:rsid w:val="00A121FB"/>
    <w:rsid w:val="00A12BBD"/>
    <w:rsid w:val="00A12C3A"/>
    <w:rsid w:val="00A12C85"/>
    <w:rsid w:val="00A12D1A"/>
    <w:rsid w:val="00A12FEC"/>
    <w:rsid w:val="00A13189"/>
    <w:rsid w:val="00A140B0"/>
    <w:rsid w:val="00A14395"/>
    <w:rsid w:val="00A14437"/>
    <w:rsid w:val="00A14952"/>
    <w:rsid w:val="00A14E0D"/>
    <w:rsid w:val="00A153BF"/>
    <w:rsid w:val="00A15B70"/>
    <w:rsid w:val="00A15D75"/>
    <w:rsid w:val="00A15FA5"/>
    <w:rsid w:val="00A16208"/>
    <w:rsid w:val="00A162DB"/>
    <w:rsid w:val="00A163FC"/>
    <w:rsid w:val="00A1670C"/>
    <w:rsid w:val="00A16979"/>
    <w:rsid w:val="00A16EFC"/>
    <w:rsid w:val="00A17455"/>
    <w:rsid w:val="00A17697"/>
    <w:rsid w:val="00A17CE2"/>
    <w:rsid w:val="00A17ED5"/>
    <w:rsid w:val="00A17F6C"/>
    <w:rsid w:val="00A2042C"/>
    <w:rsid w:val="00A208B4"/>
    <w:rsid w:val="00A20AFA"/>
    <w:rsid w:val="00A20FFD"/>
    <w:rsid w:val="00A2145F"/>
    <w:rsid w:val="00A21BBF"/>
    <w:rsid w:val="00A21CAA"/>
    <w:rsid w:val="00A22C37"/>
    <w:rsid w:val="00A22D56"/>
    <w:rsid w:val="00A22D88"/>
    <w:rsid w:val="00A22E3F"/>
    <w:rsid w:val="00A232D0"/>
    <w:rsid w:val="00A23764"/>
    <w:rsid w:val="00A23A84"/>
    <w:rsid w:val="00A23FA1"/>
    <w:rsid w:val="00A2407C"/>
    <w:rsid w:val="00A24C6B"/>
    <w:rsid w:val="00A24CDD"/>
    <w:rsid w:val="00A24D9F"/>
    <w:rsid w:val="00A2528F"/>
    <w:rsid w:val="00A25D1E"/>
    <w:rsid w:val="00A26188"/>
    <w:rsid w:val="00A2628C"/>
    <w:rsid w:val="00A2638B"/>
    <w:rsid w:val="00A2642B"/>
    <w:rsid w:val="00A26495"/>
    <w:rsid w:val="00A26E61"/>
    <w:rsid w:val="00A26ED6"/>
    <w:rsid w:val="00A27AC8"/>
    <w:rsid w:val="00A30A97"/>
    <w:rsid w:val="00A310DB"/>
    <w:rsid w:val="00A31682"/>
    <w:rsid w:val="00A31724"/>
    <w:rsid w:val="00A32364"/>
    <w:rsid w:val="00A329B5"/>
    <w:rsid w:val="00A32D90"/>
    <w:rsid w:val="00A32DBA"/>
    <w:rsid w:val="00A332A6"/>
    <w:rsid w:val="00A33CAE"/>
    <w:rsid w:val="00A344EB"/>
    <w:rsid w:val="00A345D2"/>
    <w:rsid w:val="00A34784"/>
    <w:rsid w:val="00A34AFE"/>
    <w:rsid w:val="00A34DBE"/>
    <w:rsid w:val="00A34E66"/>
    <w:rsid w:val="00A35354"/>
    <w:rsid w:val="00A35B5E"/>
    <w:rsid w:val="00A35DF2"/>
    <w:rsid w:val="00A3614B"/>
    <w:rsid w:val="00A362E8"/>
    <w:rsid w:val="00A36343"/>
    <w:rsid w:val="00A36438"/>
    <w:rsid w:val="00A36491"/>
    <w:rsid w:val="00A367E3"/>
    <w:rsid w:val="00A369CF"/>
    <w:rsid w:val="00A36D52"/>
    <w:rsid w:val="00A3715A"/>
    <w:rsid w:val="00A3726D"/>
    <w:rsid w:val="00A37830"/>
    <w:rsid w:val="00A37AEC"/>
    <w:rsid w:val="00A37E16"/>
    <w:rsid w:val="00A40B89"/>
    <w:rsid w:val="00A40BCA"/>
    <w:rsid w:val="00A40CF5"/>
    <w:rsid w:val="00A410FC"/>
    <w:rsid w:val="00A414B4"/>
    <w:rsid w:val="00A41A16"/>
    <w:rsid w:val="00A41FF8"/>
    <w:rsid w:val="00A4217E"/>
    <w:rsid w:val="00A424FE"/>
    <w:rsid w:val="00A42646"/>
    <w:rsid w:val="00A42A69"/>
    <w:rsid w:val="00A43988"/>
    <w:rsid w:val="00A43BCB"/>
    <w:rsid w:val="00A43D24"/>
    <w:rsid w:val="00A43D58"/>
    <w:rsid w:val="00A43DC2"/>
    <w:rsid w:val="00A44022"/>
    <w:rsid w:val="00A44138"/>
    <w:rsid w:val="00A443F8"/>
    <w:rsid w:val="00A444CB"/>
    <w:rsid w:val="00A45654"/>
    <w:rsid w:val="00A456AE"/>
    <w:rsid w:val="00A459C7"/>
    <w:rsid w:val="00A45D96"/>
    <w:rsid w:val="00A45F4B"/>
    <w:rsid w:val="00A460AA"/>
    <w:rsid w:val="00A462F5"/>
    <w:rsid w:val="00A46900"/>
    <w:rsid w:val="00A46C0E"/>
    <w:rsid w:val="00A46E44"/>
    <w:rsid w:val="00A47497"/>
    <w:rsid w:val="00A5090B"/>
    <w:rsid w:val="00A50CA5"/>
    <w:rsid w:val="00A52A1E"/>
    <w:rsid w:val="00A52B75"/>
    <w:rsid w:val="00A530DC"/>
    <w:rsid w:val="00A53352"/>
    <w:rsid w:val="00A53CF3"/>
    <w:rsid w:val="00A54033"/>
    <w:rsid w:val="00A5521D"/>
    <w:rsid w:val="00A557EE"/>
    <w:rsid w:val="00A558C0"/>
    <w:rsid w:val="00A5593F"/>
    <w:rsid w:val="00A55EE2"/>
    <w:rsid w:val="00A56AFC"/>
    <w:rsid w:val="00A56B85"/>
    <w:rsid w:val="00A56EA8"/>
    <w:rsid w:val="00A57279"/>
    <w:rsid w:val="00A57C6D"/>
    <w:rsid w:val="00A57C71"/>
    <w:rsid w:val="00A60225"/>
    <w:rsid w:val="00A607DC"/>
    <w:rsid w:val="00A609B5"/>
    <w:rsid w:val="00A60A83"/>
    <w:rsid w:val="00A6104A"/>
    <w:rsid w:val="00A613AD"/>
    <w:rsid w:val="00A61608"/>
    <w:rsid w:val="00A61AD4"/>
    <w:rsid w:val="00A6214C"/>
    <w:rsid w:val="00A62992"/>
    <w:rsid w:val="00A634FE"/>
    <w:rsid w:val="00A6356D"/>
    <w:rsid w:val="00A635F1"/>
    <w:rsid w:val="00A64336"/>
    <w:rsid w:val="00A64CAF"/>
    <w:rsid w:val="00A64E2E"/>
    <w:rsid w:val="00A64E55"/>
    <w:rsid w:val="00A64EA6"/>
    <w:rsid w:val="00A64ED0"/>
    <w:rsid w:val="00A65032"/>
    <w:rsid w:val="00A65068"/>
    <w:rsid w:val="00A6527A"/>
    <w:rsid w:val="00A659D1"/>
    <w:rsid w:val="00A65A22"/>
    <w:rsid w:val="00A65CDC"/>
    <w:rsid w:val="00A65E9C"/>
    <w:rsid w:val="00A66139"/>
    <w:rsid w:val="00A6615C"/>
    <w:rsid w:val="00A6622B"/>
    <w:rsid w:val="00A665AB"/>
    <w:rsid w:val="00A66B62"/>
    <w:rsid w:val="00A673C8"/>
    <w:rsid w:val="00A67520"/>
    <w:rsid w:val="00A70335"/>
    <w:rsid w:val="00A70B7E"/>
    <w:rsid w:val="00A70FFD"/>
    <w:rsid w:val="00A713B0"/>
    <w:rsid w:val="00A71437"/>
    <w:rsid w:val="00A71804"/>
    <w:rsid w:val="00A71DF5"/>
    <w:rsid w:val="00A723BF"/>
    <w:rsid w:val="00A724A0"/>
    <w:rsid w:val="00A72812"/>
    <w:rsid w:val="00A72ED9"/>
    <w:rsid w:val="00A730E8"/>
    <w:rsid w:val="00A7310F"/>
    <w:rsid w:val="00A732B9"/>
    <w:rsid w:val="00A73768"/>
    <w:rsid w:val="00A73DE9"/>
    <w:rsid w:val="00A74020"/>
    <w:rsid w:val="00A740AB"/>
    <w:rsid w:val="00A74215"/>
    <w:rsid w:val="00A74F30"/>
    <w:rsid w:val="00A75422"/>
    <w:rsid w:val="00A75433"/>
    <w:rsid w:val="00A756D3"/>
    <w:rsid w:val="00A75BE0"/>
    <w:rsid w:val="00A75D91"/>
    <w:rsid w:val="00A75DF5"/>
    <w:rsid w:val="00A76087"/>
    <w:rsid w:val="00A764D0"/>
    <w:rsid w:val="00A76D7E"/>
    <w:rsid w:val="00A77052"/>
    <w:rsid w:val="00A771CF"/>
    <w:rsid w:val="00A7731B"/>
    <w:rsid w:val="00A77362"/>
    <w:rsid w:val="00A77530"/>
    <w:rsid w:val="00A7778B"/>
    <w:rsid w:val="00A77860"/>
    <w:rsid w:val="00A779BB"/>
    <w:rsid w:val="00A77BAA"/>
    <w:rsid w:val="00A77EA8"/>
    <w:rsid w:val="00A8004B"/>
    <w:rsid w:val="00A80076"/>
    <w:rsid w:val="00A803F6"/>
    <w:rsid w:val="00A8044C"/>
    <w:rsid w:val="00A804AA"/>
    <w:rsid w:val="00A810C1"/>
    <w:rsid w:val="00A81121"/>
    <w:rsid w:val="00A8121E"/>
    <w:rsid w:val="00A819CF"/>
    <w:rsid w:val="00A82156"/>
    <w:rsid w:val="00A8280F"/>
    <w:rsid w:val="00A82C92"/>
    <w:rsid w:val="00A82E94"/>
    <w:rsid w:val="00A83378"/>
    <w:rsid w:val="00A83591"/>
    <w:rsid w:val="00A8382E"/>
    <w:rsid w:val="00A83A37"/>
    <w:rsid w:val="00A83A9F"/>
    <w:rsid w:val="00A83E66"/>
    <w:rsid w:val="00A8431C"/>
    <w:rsid w:val="00A8442A"/>
    <w:rsid w:val="00A84B6E"/>
    <w:rsid w:val="00A84B86"/>
    <w:rsid w:val="00A84E4B"/>
    <w:rsid w:val="00A84F84"/>
    <w:rsid w:val="00A8562E"/>
    <w:rsid w:val="00A85976"/>
    <w:rsid w:val="00A85EE0"/>
    <w:rsid w:val="00A8603C"/>
    <w:rsid w:val="00A86153"/>
    <w:rsid w:val="00A8661F"/>
    <w:rsid w:val="00A86943"/>
    <w:rsid w:val="00A86C9B"/>
    <w:rsid w:val="00A86D98"/>
    <w:rsid w:val="00A8754B"/>
    <w:rsid w:val="00A87562"/>
    <w:rsid w:val="00A8767F"/>
    <w:rsid w:val="00A87A6F"/>
    <w:rsid w:val="00A87D15"/>
    <w:rsid w:val="00A87F4B"/>
    <w:rsid w:val="00A90003"/>
    <w:rsid w:val="00A9012C"/>
    <w:rsid w:val="00A90203"/>
    <w:rsid w:val="00A90219"/>
    <w:rsid w:val="00A909AA"/>
    <w:rsid w:val="00A90CD5"/>
    <w:rsid w:val="00A90E27"/>
    <w:rsid w:val="00A91147"/>
    <w:rsid w:val="00A912E8"/>
    <w:rsid w:val="00A913A9"/>
    <w:rsid w:val="00A914EE"/>
    <w:rsid w:val="00A916D8"/>
    <w:rsid w:val="00A9191A"/>
    <w:rsid w:val="00A91A90"/>
    <w:rsid w:val="00A91EAA"/>
    <w:rsid w:val="00A92102"/>
    <w:rsid w:val="00A92DA5"/>
    <w:rsid w:val="00A92E05"/>
    <w:rsid w:val="00A92E26"/>
    <w:rsid w:val="00A92E50"/>
    <w:rsid w:val="00A93561"/>
    <w:rsid w:val="00A935BC"/>
    <w:rsid w:val="00A93D75"/>
    <w:rsid w:val="00A9412E"/>
    <w:rsid w:val="00A945F7"/>
    <w:rsid w:val="00A94CA4"/>
    <w:rsid w:val="00A95D75"/>
    <w:rsid w:val="00A95F9D"/>
    <w:rsid w:val="00A960F0"/>
    <w:rsid w:val="00A964C4"/>
    <w:rsid w:val="00A9653F"/>
    <w:rsid w:val="00A971B1"/>
    <w:rsid w:val="00A972C2"/>
    <w:rsid w:val="00A97557"/>
    <w:rsid w:val="00A97558"/>
    <w:rsid w:val="00A97EF9"/>
    <w:rsid w:val="00AA05BD"/>
    <w:rsid w:val="00AA06F1"/>
    <w:rsid w:val="00AA112E"/>
    <w:rsid w:val="00AA14DB"/>
    <w:rsid w:val="00AA1621"/>
    <w:rsid w:val="00AA1717"/>
    <w:rsid w:val="00AA1EFC"/>
    <w:rsid w:val="00AA20A2"/>
    <w:rsid w:val="00AA25E1"/>
    <w:rsid w:val="00AA2DD1"/>
    <w:rsid w:val="00AA2E92"/>
    <w:rsid w:val="00AA2FDE"/>
    <w:rsid w:val="00AA34B8"/>
    <w:rsid w:val="00AA35F8"/>
    <w:rsid w:val="00AA3B02"/>
    <w:rsid w:val="00AA3E87"/>
    <w:rsid w:val="00AA4491"/>
    <w:rsid w:val="00AA4A1C"/>
    <w:rsid w:val="00AA4C75"/>
    <w:rsid w:val="00AA4DF2"/>
    <w:rsid w:val="00AA518F"/>
    <w:rsid w:val="00AA56D5"/>
    <w:rsid w:val="00AA58F3"/>
    <w:rsid w:val="00AA6270"/>
    <w:rsid w:val="00AA66C1"/>
    <w:rsid w:val="00AA6DD6"/>
    <w:rsid w:val="00AA746A"/>
    <w:rsid w:val="00AA7B0C"/>
    <w:rsid w:val="00AB0339"/>
    <w:rsid w:val="00AB0455"/>
    <w:rsid w:val="00AB05DB"/>
    <w:rsid w:val="00AB14A5"/>
    <w:rsid w:val="00AB1AF7"/>
    <w:rsid w:val="00AB1F62"/>
    <w:rsid w:val="00AB215F"/>
    <w:rsid w:val="00AB2303"/>
    <w:rsid w:val="00AB2540"/>
    <w:rsid w:val="00AB25C2"/>
    <w:rsid w:val="00AB275E"/>
    <w:rsid w:val="00AB2B5B"/>
    <w:rsid w:val="00AB2CE1"/>
    <w:rsid w:val="00AB367B"/>
    <w:rsid w:val="00AB3B69"/>
    <w:rsid w:val="00AB4560"/>
    <w:rsid w:val="00AB4AE6"/>
    <w:rsid w:val="00AB4BB0"/>
    <w:rsid w:val="00AB4C26"/>
    <w:rsid w:val="00AB4E0E"/>
    <w:rsid w:val="00AB52B9"/>
    <w:rsid w:val="00AB53F7"/>
    <w:rsid w:val="00AB548F"/>
    <w:rsid w:val="00AB6C20"/>
    <w:rsid w:val="00AB6DA9"/>
    <w:rsid w:val="00AB70E8"/>
    <w:rsid w:val="00AB772D"/>
    <w:rsid w:val="00AC0476"/>
    <w:rsid w:val="00AC0540"/>
    <w:rsid w:val="00AC0597"/>
    <w:rsid w:val="00AC0693"/>
    <w:rsid w:val="00AC0870"/>
    <w:rsid w:val="00AC118C"/>
    <w:rsid w:val="00AC149D"/>
    <w:rsid w:val="00AC15F5"/>
    <w:rsid w:val="00AC18A9"/>
    <w:rsid w:val="00AC1E16"/>
    <w:rsid w:val="00AC2683"/>
    <w:rsid w:val="00AC2F95"/>
    <w:rsid w:val="00AC3123"/>
    <w:rsid w:val="00AC357E"/>
    <w:rsid w:val="00AC3A1B"/>
    <w:rsid w:val="00AC43A7"/>
    <w:rsid w:val="00AC48FC"/>
    <w:rsid w:val="00AC56C7"/>
    <w:rsid w:val="00AC5954"/>
    <w:rsid w:val="00AC5FF8"/>
    <w:rsid w:val="00AC60EB"/>
    <w:rsid w:val="00AC6D96"/>
    <w:rsid w:val="00AC7601"/>
    <w:rsid w:val="00AC7D97"/>
    <w:rsid w:val="00AC7FFB"/>
    <w:rsid w:val="00AD0285"/>
    <w:rsid w:val="00AD0ADD"/>
    <w:rsid w:val="00AD0CC2"/>
    <w:rsid w:val="00AD121F"/>
    <w:rsid w:val="00AD1375"/>
    <w:rsid w:val="00AD13CE"/>
    <w:rsid w:val="00AD13E1"/>
    <w:rsid w:val="00AD14EE"/>
    <w:rsid w:val="00AD177E"/>
    <w:rsid w:val="00AD187F"/>
    <w:rsid w:val="00AD1D0D"/>
    <w:rsid w:val="00AD2183"/>
    <w:rsid w:val="00AD2321"/>
    <w:rsid w:val="00AD2692"/>
    <w:rsid w:val="00AD275D"/>
    <w:rsid w:val="00AD324B"/>
    <w:rsid w:val="00AD34D3"/>
    <w:rsid w:val="00AD34E3"/>
    <w:rsid w:val="00AD46A1"/>
    <w:rsid w:val="00AD4997"/>
    <w:rsid w:val="00AD53CF"/>
    <w:rsid w:val="00AD581E"/>
    <w:rsid w:val="00AD64F8"/>
    <w:rsid w:val="00AD6710"/>
    <w:rsid w:val="00AD688F"/>
    <w:rsid w:val="00AD6CB3"/>
    <w:rsid w:val="00AD6EE8"/>
    <w:rsid w:val="00AD7427"/>
    <w:rsid w:val="00AD75E3"/>
    <w:rsid w:val="00AD777D"/>
    <w:rsid w:val="00AD7BCC"/>
    <w:rsid w:val="00AD7BF4"/>
    <w:rsid w:val="00AD7C5D"/>
    <w:rsid w:val="00AE013D"/>
    <w:rsid w:val="00AE1117"/>
    <w:rsid w:val="00AE1450"/>
    <w:rsid w:val="00AE1E24"/>
    <w:rsid w:val="00AE1E71"/>
    <w:rsid w:val="00AE235B"/>
    <w:rsid w:val="00AE262E"/>
    <w:rsid w:val="00AE2695"/>
    <w:rsid w:val="00AE2F8A"/>
    <w:rsid w:val="00AE3275"/>
    <w:rsid w:val="00AE3579"/>
    <w:rsid w:val="00AE3A34"/>
    <w:rsid w:val="00AE3CB4"/>
    <w:rsid w:val="00AE45DD"/>
    <w:rsid w:val="00AE467A"/>
    <w:rsid w:val="00AE46F3"/>
    <w:rsid w:val="00AE4E14"/>
    <w:rsid w:val="00AE519A"/>
    <w:rsid w:val="00AE55F3"/>
    <w:rsid w:val="00AE5C02"/>
    <w:rsid w:val="00AE5F3D"/>
    <w:rsid w:val="00AE6012"/>
    <w:rsid w:val="00AE6597"/>
    <w:rsid w:val="00AE6A07"/>
    <w:rsid w:val="00AE6CDB"/>
    <w:rsid w:val="00AE709F"/>
    <w:rsid w:val="00AE7639"/>
    <w:rsid w:val="00AE776A"/>
    <w:rsid w:val="00AF0506"/>
    <w:rsid w:val="00AF0982"/>
    <w:rsid w:val="00AF0A5B"/>
    <w:rsid w:val="00AF0BB6"/>
    <w:rsid w:val="00AF1042"/>
    <w:rsid w:val="00AF160C"/>
    <w:rsid w:val="00AF19F7"/>
    <w:rsid w:val="00AF1BA1"/>
    <w:rsid w:val="00AF26AC"/>
    <w:rsid w:val="00AF2CC4"/>
    <w:rsid w:val="00AF2D3A"/>
    <w:rsid w:val="00AF3467"/>
    <w:rsid w:val="00AF348A"/>
    <w:rsid w:val="00AF3545"/>
    <w:rsid w:val="00AF4201"/>
    <w:rsid w:val="00AF466D"/>
    <w:rsid w:val="00AF4715"/>
    <w:rsid w:val="00AF4745"/>
    <w:rsid w:val="00AF48EB"/>
    <w:rsid w:val="00AF50D6"/>
    <w:rsid w:val="00AF528B"/>
    <w:rsid w:val="00AF55F9"/>
    <w:rsid w:val="00AF59AD"/>
    <w:rsid w:val="00AF5F57"/>
    <w:rsid w:val="00AF68C3"/>
    <w:rsid w:val="00AF6B0D"/>
    <w:rsid w:val="00AF6C67"/>
    <w:rsid w:val="00AF731D"/>
    <w:rsid w:val="00AF77AA"/>
    <w:rsid w:val="00AF7C66"/>
    <w:rsid w:val="00AF7CEF"/>
    <w:rsid w:val="00AF7E47"/>
    <w:rsid w:val="00B00181"/>
    <w:rsid w:val="00B003B3"/>
    <w:rsid w:val="00B0077C"/>
    <w:rsid w:val="00B0081F"/>
    <w:rsid w:val="00B008F7"/>
    <w:rsid w:val="00B00A3F"/>
    <w:rsid w:val="00B01751"/>
    <w:rsid w:val="00B01D3C"/>
    <w:rsid w:val="00B01E2E"/>
    <w:rsid w:val="00B020C7"/>
    <w:rsid w:val="00B02C9C"/>
    <w:rsid w:val="00B02CAE"/>
    <w:rsid w:val="00B02D2C"/>
    <w:rsid w:val="00B02D6B"/>
    <w:rsid w:val="00B02EB6"/>
    <w:rsid w:val="00B0326C"/>
    <w:rsid w:val="00B033CF"/>
    <w:rsid w:val="00B0363E"/>
    <w:rsid w:val="00B03D60"/>
    <w:rsid w:val="00B0481A"/>
    <w:rsid w:val="00B0484E"/>
    <w:rsid w:val="00B04921"/>
    <w:rsid w:val="00B04AE0"/>
    <w:rsid w:val="00B04BB9"/>
    <w:rsid w:val="00B0541F"/>
    <w:rsid w:val="00B05A18"/>
    <w:rsid w:val="00B05B4D"/>
    <w:rsid w:val="00B060D1"/>
    <w:rsid w:val="00B062E9"/>
    <w:rsid w:val="00B06346"/>
    <w:rsid w:val="00B063F6"/>
    <w:rsid w:val="00B06626"/>
    <w:rsid w:val="00B06805"/>
    <w:rsid w:val="00B0688D"/>
    <w:rsid w:val="00B06937"/>
    <w:rsid w:val="00B06B95"/>
    <w:rsid w:val="00B06C85"/>
    <w:rsid w:val="00B07915"/>
    <w:rsid w:val="00B079A4"/>
    <w:rsid w:val="00B10366"/>
    <w:rsid w:val="00B1091D"/>
    <w:rsid w:val="00B10F66"/>
    <w:rsid w:val="00B112D7"/>
    <w:rsid w:val="00B11460"/>
    <w:rsid w:val="00B11990"/>
    <w:rsid w:val="00B12413"/>
    <w:rsid w:val="00B1253D"/>
    <w:rsid w:val="00B131C9"/>
    <w:rsid w:val="00B13F79"/>
    <w:rsid w:val="00B140BA"/>
    <w:rsid w:val="00B1416D"/>
    <w:rsid w:val="00B145EF"/>
    <w:rsid w:val="00B14B4F"/>
    <w:rsid w:val="00B14E59"/>
    <w:rsid w:val="00B154EC"/>
    <w:rsid w:val="00B15629"/>
    <w:rsid w:val="00B15709"/>
    <w:rsid w:val="00B15A26"/>
    <w:rsid w:val="00B15C33"/>
    <w:rsid w:val="00B15EFC"/>
    <w:rsid w:val="00B165F9"/>
    <w:rsid w:val="00B16DB7"/>
    <w:rsid w:val="00B16DCD"/>
    <w:rsid w:val="00B16FD0"/>
    <w:rsid w:val="00B20963"/>
    <w:rsid w:val="00B20E53"/>
    <w:rsid w:val="00B20F86"/>
    <w:rsid w:val="00B21018"/>
    <w:rsid w:val="00B210E1"/>
    <w:rsid w:val="00B21132"/>
    <w:rsid w:val="00B2162E"/>
    <w:rsid w:val="00B21D30"/>
    <w:rsid w:val="00B22099"/>
    <w:rsid w:val="00B22C7B"/>
    <w:rsid w:val="00B22FAF"/>
    <w:rsid w:val="00B23122"/>
    <w:rsid w:val="00B231E1"/>
    <w:rsid w:val="00B23C22"/>
    <w:rsid w:val="00B23CBA"/>
    <w:rsid w:val="00B2412D"/>
    <w:rsid w:val="00B24142"/>
    <w:rsid w:val="00B2430C"/>
    <w:rsid w:val="00B2501C"/>
    <w:rsid w:val="00B257FB"/>
    <w:rsid w:val="00B25B21"/>
    <w:rsid w:val="00B2612E"/>
    <w:rsid w:val="00B268F2"/>
    <w:rsid w:val="00B26B94"/>
    <w:rsid w:val="00B27143"/>
    <w:rsid w:val="00B27BEC"/>
    <w:rsid w:val="00B27C6F"/>
    <w:rsid w:val="00B27D51"/>
    <w:rsid w:val="00B27ED6"/>
    <w:rsid w:val="00B27F72"/>
    <w:rsid w:val="00B30C8B"/>
    <w:rsid w:val="00B30FA4"/>
    <w:rsid w:val="00B3105F"/>
    <w:rsid w:val="00B310E5"/>
    <w:rsid w:val="00B315CE"/>
    <w:rsid w:val="00B31861"/>
    <w:rsid w:val="00B323B5"/>
    <w:rsid w:val="00B32522"/>
    <w:rsid w:val="00B3268A"/>
    <w:rsid w:val="00B328EB"/>
    <w:rsid w:val="00B32A45"/>
    <w:rsid w:val="00B32A83"/>
    <w:rsid w:val="00B32AC3"/>
    <w:rsid w:val="00B32B93"/>
    <w:rsid w:val="00B32E64"/>
    <w:rsid w:val="00B33C38"/>
    <w:rsid w:val="00B3406F"/>
    <w:rsid w:val="00B34525"/>
    <w:rsid w:val="00B34A13"/>
    <w:rsid w:val="00B34C2A"/>
    <w:rsid w:val="00B34F45"/>
    <w:rsid w:val="00B3566C"/>
    <w:rsid w:val="00B359CC"/>
    <w:rsid w:val="00B35F26"/>
    <w:rsid w:val="00B368A6"/>
    <w:rsid w:val="00B36F20"/>
    <w:rsid w:val="00B37715"/>
    <w:rsid w:val="00B40F09"/>
    <w:rsid w:val="00B4111E"/>
    <w:rsid w:val="00B41D60"/>
    <w:rsid w:val="00B41D89"/>
    <w:rsid w:val="00B42BE5"/>
    <w:rsid w:val="00B4306D"/>
    <w:rsid w:val="00B43160"/>
    <w:rsid w:val="00B43396"/>
    <w:rsid w:val="00B43FDE"/>
    <w:rsid w:val="00B44231"/>
    <w:rsid w:val="00B44B82"/>
    <w:rsid w:val="00B44F09"/>
    <w:rsid w:val="00B44F27"/>
    <w:rsid w:val="00B45148"/>
    <w:rsid w:val="00B452BE"/>
    <w:rsid w:val="00B455A7"/>
    <w:rsid w:val="00B45724"/>
    <w:rsid w:val="00B45DFE"/>
    <w:rsid w:val="00B45EE3"/>
    <w:rsid w:val="00B46322"/>
    <w:rsid w:val="00B46852"/>
    <w:rsid w:val="00B46BD8"/>
    <w:rsid w:val="00B470CF"/>
    <w:rsid w:val="00B470E0"/>
    <w:rsid w:val="00B472BD"/>
    <w:rsid w:val="00B4732E"/>
    <w:rsid w:val="00B47452"/>
    <w:rsid w:val="00B478BA"/>
    <w:rsid w:val="00B47909"/>
    <w:rsid w:val="00B47ED9"/>
    <w:rsid w:val="00B47F15"/>
    <w:rsid w:val="00B47F60"/>
    <w:rsid w:val="00B5025D"/>
    <w:rsid w:val="00B505EB"/>
    <w:rsid w:val="00B50A74"/>
    <w:rsid w:val="00B50C1D"/>
    <w:rsid w:val="00B50C89"/>
    <w:rsid w:val="00B5102E"/>
    <w:rsid w:val="00B5126E"/>
    <w:rsid w:val="00B514CB"/>
    <w:rsid w:val="00B5152C"/>
    <w:rsid w:val="00B51773"/>
    <w:rsid w:val="00B519C9"/>
    <w:rsid w:val="00B51C71"/>
    <w:rsid w:val="00B52006"/>
    <w:rsid w:val="00B5214F"/>
    <w:rsid w:val="00B5293E"/>
    <w:rsid w:val="00B52A82"/>
    <w:rsid w:val="00B5335A"/>
    <w:rsid w:val="00B534F2"/>
    <w:rsid w:val="00B538BC"/>
    <w:rsid w:val="00B54543"/>
    <w:rsid w:val="00B54601"/>
    <w:rsid w:val="00B54883"/>
    <w:rsid w:val="00B54C26"/>
    <w:rsid w:val="00B5570F"/>
    <w:rsid w:val="00B557B7"/>
    <w:rsid w:val="00B55DDE"/>
    <w:rsid w:val="00B55FE2"/>
    <w:rsid w:val="00B5613C"/>
    <w:rsid w:val="00B5639A"/>
    <w:rsid w:val="00B5645C"/>
    <w:rsid w:val="00B56FB7"/>
    <w:rsid w:val="00B56FF7"/>
    <w:rsid w:val="00B57742"/>
    <w:rsid w:val="00B60003"/>
    <w:rsid w:val="00B60300"/>
    <w:rsid w:val="00B603C9"/>
    <w:rsid w:val="00B6096D"/>
    <w:rsid w:val="00B60FF2"/>
    <w:rsid w:val="00B61121"/>
    <w:rsid w:val="00B61A08"/>
    <w:rsid w:val="00B61A76"/>
    <w:rsid w:val="00B62104"/>
    <w:rsid w:val="00B6257F"/>
    <w:rsid w:val="00B627B4"/>
    <w:rsid w:val="00B62B1E"/>
    <w:rsid w:val="00B62B51"/>
    <w:rsid w:val="00B62B8C"/>
    <w:rsid w:val="00B62D82"/>
    <w:rsid w:val="00B62E9E"/>
    <w:rsid w:val="00B63E0C"/>
    <w:rsid w:val="00B6452D"/>
    <w:rsid w:val="00B64730"/>
    <w:rsid w:val="00B6485D"/>
    <w:rsid w:val="00B653AE"/>
    <w:rsid w:val="00B6541C"/>
    <w:rsid w:val="00B656AD"/>
    <w:rsid w:val="00B659F5"/>
    <w:rsid w:val="00B65A01"/>
    <w:rsid w:val="00B65BBE"/>
    <w:rsid w:val="00B65E8C"/>
    <w:rsid w:val="00B664EC"/>
    <w:rsid w:val="00B664F7"/>
    <w:rsid w:val="00B665D5"/>
    <w:rsid w:val="00B67039"/>
    <w:rsid w:val="00B705C9"/>
    <w:rsid w:val="00B706C5"/>
    <w:rsid w:val="00B71168"/>
    <w:rsid w:val="00B715DC"/>
    <w:rsid w:val="00B71793"/>
    <w:rsid w:val="00B720D1"/>
    <w:rsid w:val="00B72253"/>
    <w:rsid w:val="00B72BB6"/>
    <w:rsid w:val="00B72DB5"/>
    <w:rsid w:val="00B737FF"/>
    <w:rsid w:val="00B73B97"/>
    <w:rsid w:val="00B7500F"/>
    <w:rsid w:val="00B75324"/>
    <w:rsid w:val="00B75883"/>
    <w:rsid w:val="00B75BEB"/>
    <w:rsid w:val="00B76EF8"/>
    <w:rsid w:val="00B770D3"/>
    <w:rsid w:val="00B77CDE"/>
    <w:rsid w:val="00B80680"/>
    <w:rsid w:val="00B80845"/>
    <w:rsid w:val="00B80D42"/>
    <w:rsid w:val="00B81995"/>
    <w:rsid w:val="00B81AF8"/>
    <w:rsid w:val="00B81B3C"/>
    <w:rsid w:val="00B81B96"/>
    <w:rsid w:val="00B81C0F"/>
    <w:rsid w:val="00B81CCC"/>
    <w:rsid w:val="00B8218B"/>
    <w:rsid w:val="00B8347C"/>
    <w:rsid w:val="00B838CE"/>
    <w:rsid w:val="00B847E5"/>
    <w:rsid w:val="00B857F9"/>
    <w:rsid w:val="00B85B40"/>
    <w:rsid w:val="00B85D3A"/>
    <w:rsid w:val="00B85FD2"/>
    <w:rsid w:val="00B8601A"/>
    <w:rsid w:val="00B86CCB"/>
    <w:rsid w:val="00B86DDA"/>
    <w:rsid w:val="00B86E70"/>
    <w:rsid w:val="00B876D3"/>
    <w:rsid w:val="00B8795C"/>
    <w:rsid w:val="00B9008F"/>
    <w:rsid w:val="00B901A9"/>
    <w:rsid w:val="00B90B40"/>
    <w:rsid w:val="00B90D3F"/>
    <w:rsid w:val="00B911A1"/>
    <w:rsid w:val="00B91C70"/>
    <w:rsid w:val="00B920C2"/>
    <w:rsid w:val="00B921DD"/>
    <w:rsid w:val="00B9254A"/>
    <w:rsid w:val="00B9254E"/>
    <w:rsid w:val="00B92727"/>
    <w:rsid w:val="00B92CC2"/>
    <w:rsid w:val="00B938FC"/>
    <w:rsid w:val="00B94013"/>
    <w:rsid w:val="00B94241"/>
    <w:rsid w:val="00B946B4"/>
    <w:rsid w:val="00B94FF9"/>
    <w:rsid w:val="00B95352"/>
    <w:rsid w:val="00B953CB"/>
    <w:rsid w:val="00B954EE"/>
    <w:rsid w:val="00B95C35"/>
    <w:rsid w:val="00B9622E"/>
    <w:rsid w:val="00B96273"/>
    <w:rsid w:val="00B96C9E"/>
    <w:rsid w:val="00B96EBA"/>
    <w:rsid w:val="00B9732C"/>
    <w:rsid w:val="00B97743"/>
    <w:rsid w:val="00B97AFA"/>
    <w:rsid w:val="00B97E35"/>
    <w:rsid w:val="00BA02DD"/>
    <w:rsid w:val="00BA0708"/>
    <w:rsid w:val="00BA0CC1"/>
    <w:rsid w:val="00BA0F57"/>
    <w:rsid w:val="00BA22E5"/>
    <w:rsid w:val="00BA2714"/>
    <w:rsid w:val="00BA32A0"/>
    <w:rsid w:val="00BA3581"/>
    <w:rsid w:val="00BA383E"/>
    <w:rsid w:val="00BA39A3"/>
    <w:rsid w:val="00BA40C5"/>
    <w:rsid w:val="00BA42EF"/>
    <w:rsid w:val="00BA4316"/>
    <w:rsid w:val="00BA469E"/>
    <w:rsid w:val="00BA559E"/>
    <w:rsid w:val="00BA56B6"/>
    <w:rsid w:val="00BA58C6"/>
    <w:rsid w:val="00BA60A0"/>
    <w:rsid w:val="00BA6780"/>
    <w:rsid w:val="00BA6A09"/>
    <w:rsid w:val="00BA701E"/>
    <w:rsid w:val="00BA7091"/>
    <w:rsid w:val="00BA7806"/>
    <w:rsid w:val="00BA79F8"/>
    <w:rsid w:val="00BB0536"/>
    <w:rsid w:val="00BB0647"/>
    <w:rsid w:val="00BB0C41"/>
    <w:rsid w:val="00BB0C48"/>
    <w:rsid w:val="00BB0D92"/>
    <w:rsid w:val="00BB0ED5"/>
    <w:rsid w:val="00BB1449"/>
    <w:rsid w:val="00BB1614"/>
    <w:rsid w:val="00BB23FB"/>
    <w:rsid w:val="00BB29E2"/>
    <w:rsid w:val="00BB2CE6"/>
    <w:rsid w:val="00BB313B"/>
    <w:rsid w:val="00BB3806"/>
    <w:rsid w:val="00BB3C24"/>
    <w:rsid w:val="00BB3EFA"/>
    <w:rsid w:val="00BB408C"/>
    <w:rsid w:val="00BB5033"/>
    <w:rsid w:val="00BB57A3"/>
    <w:rsid w:val="00BB58BF"/>
    <w:rsid w:val="00BB5D3B"/>
    <w:rsid w:val="00BB5DDC"/>
    <w:rsid w:val="00BB5DEF"/>
    <w:rsid w:val="00BB5E86"/>
    <w:rsid w:val="00BB617F"/>
    <w:rsid w:val="00BB7923"/>
    <w:rsid w:val="00BB7E6E"/>
    <w:rsid w:val="00BB7ED8"/>
    <w:rsid w:val="00BC0CF4"/>
    <w:rsid w:val="00BC1259"/>
    <w:rsid w:val="00BC138C"/>
    <w:rsid w:val="00BC13E9"/>
    <w:rsid w:val="00BC1457"/>
    <w:rsid w:val="00BC14CD"/>
    <w:rsid w:val="00BC182F"/>
    <w:rsid w:val="00BC1955"/>
    <w:rsid w:val="00BC261D"/>
    <w:rsid w:val="00BC263C"/>
    <w:rsid w:val="00BC2BA4"/>
    <w:rsid w:val="00BC2DA2"/>
    <w:rsid w:val="00BC2F01"/>
    <w:rsid w:val="00BC32A1"/>
    <w:rsid w:val="00BC32B9"/>
    <w:rsid w:val="00BC3318"/>
    <w:rsid w:val="00BC38BA"/>
    <w:rsid w:val="00BC3E2A"/>
    <w:rsid w:val="00BC424C"/>
    <w:rsid w:val="00BC4C0A"/>
    <w:rsid w:val="00BC5284"/>
    <w:rsid w:val="00BC55B6"/>
    <w:rsid w:val="00BC5EC1"/>
    <w:rsid w:val="00BC607C"/>
    <w:rsid w:val="00BC6186"/>
    <w:rsid w:val="00BC63C0"/>
    <w:rsid w:val="00BC67D3"/>
    <w:rsid w:val="00BC70A0"/>
    <w:rsid w:val="00BC766C"/>
    <w:rsid w:val="00BC7716"/>
    <w:rsid w:val="00BC7994"/>
    <w:rsid w:val="00BC7BC8"/>
    <w:rsid w:val="00BC7F29"/>
    <w:rsid w:val="00BD00F2"/>
    <w:rsid w:val="00BD0157"/>
    <w:rsid w:val="00BD019E"/>
    <w:rsid w:val="00BD05AC"/>
    <w:rsid w:val="00BD081E"/>
    <w:rsid w:val="00BD0A68"/>
    <w:rsid w:val="00BD1494"/>
    <w:rsid w:val="00BD1A85"/>
    <w:rsid w:val="00BD293B"/>
    <w:rsid w:val="00BD34EC"/>
    <w:rsid w:val="00BD357D"/>
    <w:rsid w:val="00BD390C"/>
    <w:rsid w:val="00BD3985"/>
    <w:rsid w:val="00BD46D2"/>
    <w:rsid w:val="00BD4E17"/>
    <w:rsid w:val="00BD57BB"/>
    <w:rsid w:val="00BD58D6"/>
    <w:rsid w:val="00BD5A89"/>
    <w:rsid w:val="00BD5E6C"/>
    <w:rsid w:val="00BD6086"/>
    <w:rsid w:val="00BD6247"/>
    <w:rsid w:val="00BD6264"/>
    <w:rsid w:val="00BD6352"/>
    <w:rsid w:val="00BD67A3"/>
    <w:rsid w:val="00BD6C34"/>
    <w:rsid w:val="00BD6C7C"/>
    <w:rsid w:val="00BD7031"/>
    <w:rsid w:val="00BD7146"/>
    <w:rsid w:val="00BD765A"/>
    <w:rsid w:val="00BD7C7F"/>
    <w:rsid w:val="00BE01FD"/>
    <w:rsid w:val="00BE048B"/>
    <w:rsid w:val="00BE0638"/>
    <w:rsid w:val="00BE0AA5"/>
    <w:rsid w:val="00BE0D76"/>
    <w:rsid w:val="00BE1302"/>
    <w:rsid w:val="00BE15C4"/>
    <w:rsid w:val="00BE1E31"/>
    <w:rsid w:val="00BE20AF"/>
    <w:rsid w:val="00BE2866"/>
    <w:rsid w:val="00BE2ED8"/>
    <w:rsid w:val="00BE310F"/>
    <w:rsid w:val="00BE3117"/>
    <w:rsid w:val="00BE3184"/>
    <w:rsid w:val="00BE33C4"/>
    <w:rsid w:val="00BE35BE"/>
    <w:rsid w:val="00BE36C9"/>
    <w:rsid w:val="00BE3E4F"/>
    <w:rsid w:val="00BE3F01"/>
    <w:rsid w:val="00BE402E"/>
    <w:rsid w:val="00BE42AC"/>
    <w:rsid w:val="00BE4AE2"/>
    <w:rsid w:val="00BE4EFB"/>
    <w:rsid w:val="00BE5B4A"/>
    <w:rsid w:val="00BE5F31"/>
    <w:rsid w:val="00BE5F4F"/>
    <w:rsid w:val="00BE6282"/>
    <w:rsid w:val="00BE694D"/>
    <w:rsid w:val="00BE6A38"/>
    <w:rsid w:val="00BE6B3B"/>
    <w:rsid w:val="00BE6D61"/>
    <w:rsid w:val="00BF0117"/>
    <w:rsid w:val="00BF091D"/>
    <w:rsid w:val="00BF0AFD"/>
    <w:rsid w:val="00BF0E31"/>
    <w:rsid w:val="00BF0F13"/>
    <w:rsid w:val="00BF1502"/>
    <w:rsid w:val="00BF1A32"/>
    <w:rsid w:val="00BF1CEA"/>
    <w:rsid w:val="00BF21DC"/>
    <w:rsid w:val="00BF2441"/>
    <w:rsid w:val="00BF2453"/>
    <w:rsid w:val="00BF264E"/>
    <w:rsid w:val="00BF2F50"/>
    <w:rsid w:val="00BF32A4"/>
    <w:rsid w:val="00BF3680"/>
    <w:rsid w:val="00BF39F2"/>
    <w:rsid w:val="00BF3DD7"/>
    <w:rsid w:val="00BF453E"/>
    <w:rsid w:val="00BF4772"/>
    <w:rsid w:val="00BF4DF9"/>
    <w:rsid w:val="00BF51C5"/>
    <w:rsid w:val="00BF6ACF"/>
    <w:rsid w:val="00BF7E05"/>
    <w:rsid w:val="00C011A2"/>
    <w:rsid w:val="00C013F0"/>
    <w:rsid w:val="00C013F8"/>
    <w:rsid w:val="00C01430"/>
    <w:rsid w:val="00C01B3F"/>
    <w:rsid w:val="00C0282F"/>
    <w:rsid w:val="00C0298C"/>
    <w:rsid w:val="00C02C08"/>
    <w:rsid w:val="00C02EF9"/>
    <w:rsid w:val="00C03486"/>
    <w:rsid w:val="00C034CE"/>
    <w:rsid w:val="00C036F3"/>
    <w:rsid w:val="00C048B9"/>
    <w:rsid w:val="00C04ECB"/>
    <w:rsid w:val="00C05080"/>
    <w:rsid w:val="00C05502"/>
    <w:rsid w:val="00C05792"/>
    <w:rsid w:val="00C058B2"/>
    <w:rsid w:val="00C05978"/>
    <w:rsid w:val="00C05BC1"/>
    <w:rsid w:val="00C06012"/>
    <w:rsid w:val="00C06C99"/>
    <w:rsid w:val="00C06D0F"/>
    <w:rsid w:val="00C07005"/>
    <w:rsid w:val="00C07025"/>
    <w:rsid w:val="00C076D3"/>
    <w:rsid w:val="00C0784F"/>
    <w:rsid w:val="00C07F51"/>
    <w:rsid w:val="00C10126"/>
    <w:rsid w:val="00C1036D"/>
    <w:rsid w:val="00C10405"/>
    <w:rsid w:val="00C1122D"/>
    <w:rsid w:val="00C1134F"/>
    <w:rsid w:val="00C11466"/>
    <w:rsid w:val="00C1158F"/>
    <w:rsid w:val="00C11A03"/>
    <w:rsid w:val="00C11A7A"/>
    <w:rsid w:val="00C11BE1"/>
    <w:rsid w:val="00C11BF0"/>
    <w:rsid w:val="00C12FD6"/>
    <w:rsid w:val="00C135AB"/>
    <w:rsid w:val="00C14222"/>
    <w:rsid w:val="00C14531"/>
    <w:rsid w:val="00C146F9"/>
    <w:rsid w:val="00C14DFB"/>
    <w:rsid w:val="00C14E2D"/>
    <w:rsid w:val="00C15DB7"/>
    <w:rsid w:val="00C16184"/>
    <w:rsid w:val="00C16337"/>
    <w:rsid w:val="00C164AC"/>
    <w:rsid w:val="00C16516"/>
    <w:rsid w:val="00C16541"/>
    <w:rsid w:val="00C16B05"/>
    <w:rsid w:val="00C16E60"/>
    <w:rsid w:val="00C1783D"/>
    <w:rsid w:val="00C178C6"/>
    <w:rsid w:val="00C17A94"/>
    <w:rsid w:val="00C17E23"/>
    <w:rsid w:val="00C20259"/>
    <w:rsid w:val="00C2043E"/>
    <w:rsid w:val="00C21339"/>
    <w:rsid w:val="00C213F2"/>
    <w:rsid w:val="00C21707"/>
    <w:rsid w:val="00C2194C"/>
    <w:rsid w:val="00C21C2A"/>
    <w:rsid w:val="00C22A75"/>
    <w:rsid w:val="00C22BE5"/>
    <w:rsid w:val="00C23403"/>
    <w:rsid w:val="00C2345C"/>
    <w:rsid w:val="00C24628"/>
    <w:rsid w:val="00C247DF"/>
    <w:rsid w:val="00C24D9E"/>
    <w:rsid w:val="00C25041"/>
    <w:rsid w:val="00C2552A"/>
    <w:rsid w:val="00C25596"/>
    <w:rsid w:val="00C255AB"/>
    <w:rsid w:val="00C2583A"/>
    <w:rsid w:val="00C25D0D"/>
    <w:rsid w:val="00C25DEA"/>
    <w:rsid w:val="00C26792"/>
    <w:rsid w:val="00C26960"/>
    <w:rsid w:val="00C26F7E"/>
    <w:rsid w:val="00C301CA"/>
    <w:rsid w:val="00C30270"/>
    <w:rsid w:val="00C30372"/>
    <w:rsid w:val="00C315BE"/>
    <w:rsid w:val="00C316B9"/>
    <w:rsid w:val="00C31A4E"/>
    <w:rsid w:val="00C32B0C"/>
    <w:rsid w:val="00C32C2E"/>
    <w:rsid w:val="00C333AD"/>
    <w:rsid w:val="00C3376D"/>
    <w:rsid w:val="00C33A8C"/>
    <w:rsid w:val="00C33BA9"/>
    <w:rsid w:val="00C3419D"/>
    <w:rsid w:val="00C3529B"/>
    <w:rsid w:val="00C355C4"/>
    <w:rsid w:val="00C35EF0"/>
    <w:rsid w:val="00C362BE"/>
    <w:rsid w:val="00C36832"/>
    <w:rsid w:val="00C36884"/>
    <w:rsid w:val="00C3691C"/>
    <w:rsid w:val="00C36D97"/>
    <w:rsid w:val="00C3725E"/>
    <w:rsid w:val="00C37885"/>
    <w:rsid w:val="00C379CF"/>
    <w:rsid w:val="00C37D15"/>
    <w:rsid w:val="00C37E3A"/>
    <w:rsid w:val="00C40ACF"/>
    <w:rsid w:val="00C40C91"/>
    <w:rsid w:val="00C40DC7"/>
    <w:rsid w:val="00C410F3"/>
    <w:rsid w:val="00C41947"/>
    <w:rsid w:val="00C41A7A"/>
    <w:rsid w:val="00C41C1D"/>
    <w:rsid w:val="00C41F1F"/>
    <w:rsid w:val="00C42C2B"/>
    <w:rsid w:val="00C42D54"/>
    <w:rsid w:val="00C42F05"/>
    <w:rsid w:val="00C43582"/>
    <w:rsid w:val="00C43978"/>
    <w:rsid w:val="00C446FE"/>
    <w:rsid w:val="00C46461"/>
    <w:rsid w:val="00C46870"/>
    <w:rsid w:val="00C468AC"/>
    <w:rsid w:val="00C47A2A"/>
    <w:rsid w:val="00C47CCE"/>
    <w:rsid w:val="00C47D75"/>
    <w:rsid w:val="00C5014D"/>
    <w:rsid w:val="00C505B2"/>
    <w:rsid w:val="00C51EEE"/>
    <w:rsid w:val="00C52437"/>
    <w:rsid w:val="00C531BD"/>
    <w:rsid w:val="00C532C5"/>
    <w:rsid w:val="00C53352"/>
    <w:rsid w:val="00C5346E"/>
    <w:rsid w:val="00C537D3"/>
    <w:rsid w:val="00C53DC7"/>
    <w:rsid w:val="00C54006"/>
    <w:rsid w:val="00C54AD2"/>
    <w:rsid w:val="00C54C81"/>
    <w:rsid w:val="00C55169"/>
    <w:rsid w:val="00C5530F"/>
    <w:rsid w:val="00C5594A"/>
    <w:rsid w:val="00C55C59"/>
    <w:rsid w:val="00C5605E"/>
    <w:rsid w:val="00C560F7"/>
    <w:rsid w:val="00C564C5"/>
    <w:rsid w:val="00C56716"/>
    <w:rsid w:val="00C56AE9"/>
    <w:rsid w:val="00C56F8A"/>
    <w:rsid w:val="00C57DB4"/>
    <w:rsid w:val="00C57F27"/>
    <w:rsid w:val="00C57F3B"/>
    <w:rsid w:val="00C601AC"/>
    <w:rsid w:val="00C6071F"/>
    <w:rsid w:val="00C60BEA"/>
    <w:rsid w:val="00C60C12"/>
    <w:rsid w:val="00C60E15"/>
    <w:rsid w:val="00C614AB"/>
    <w:rsid w:val="00C615B4"/>
    <w:rsid w:val="00C6185E"/>
    <w:rsid w:val="00C61A40"/>
    <w:rsid w:val="00C61B91"/>
    <w:rsid w:val="00C622FB"/>
    <w:rsid w:val="00C62432"/>
    <w:rsid w:val="00C627D3"/>
    <w:rsid w:val="00C628A2"/>
    <w:rsid w:val="00C629AB"/>
    <w:rsid w:val="00C63588"/>
    <w:rsid w:val="00C6376A"/>
    <w:rsid w:val="00C638D7"/>
    <w:rsid w:val="00C63D2D"/>
    <w:rsid w:val="00C64868"/>
    <w:rsid w:val="00C6490C"/>
    <w:rsid w:val="00C64B15"/>
    <w:rsid w:val="00C651A5"/>
    <w:rsid w:val="00C65FD9"/>
    <w:rsid w:val="00C66104"/>
    <w:rsid w:val="00C662B6"/>
    <w:rsid w:val="00C669EC"/>
    <w:rsid w:val="00C66BCD"/>
    <w:rsid w:val="00C672EB"/>
    <w:rsid w:val="00C67A66"/>
    <w:rsid w:val="00C703CE"/>
    <w:rsid w:val="00C703EC"/>
    <w:rsid w:val="00C712FB"/>
    <w:rsid w:val="00C71BF9"/>
    <w:rsid w:val="00C71D4D"/>
    <w:rsid w:val="00C71E34"/>
    <w:rsid w:val="00C71ECD"/>
    <w:rsid w:val="00C72947"/>
    <w:rsid w:val="00C72973"/>
    <w:rsid w:val="00C72DCD"/>
    <w:rsid w:val="00C72E73"/>
    <w:rsid w:val="00C72FCA"/>
    <w:rsid w:val="00C73889"/>
    <w:rsid w:val="00C73B4E"/>
    <w:rsid w:val="00C74106"/>
    <w:rsid w:val="00C74A2D"/>
    <w:rsid w:val="00C74AAA"/>
    <w:rsid w:val="00C754F4"/>
    <w:rsid w:val="00C7550D"/>
    <w:rsid w:val="00C762B0"/>
    <w:rsid w:val="00C766BA"/>
    <w:rsid w:val="00C767BA"/>
    <w:rsid w:val="00C7686B"/>
    <w:rsid w:val="00C768E3"/>
    <w:rsid w:val="00C76BA8"/>
    <w:rsid w:val="00C76DD9"/>
    <w:rsid w:val="00C77551"/>
    <w:rsid w:val="00C80042"/>
    <w:rsid w:val="00C800BC"/>
    <w:rsid w:val="00C8083F"/>
    <w:rsid w:val="00C80DFB"/>
    <w:rsid w:val="00C812CE"/>
    <w:rsid w:val="00C8189E"/>
    <w:rsid w:val="00C81987"/>
    <w:rsid w:val="00C81FAF"/>
    <w:rsid w:val="00C82058"/>
    <w:rsid w:val="00C820BE"/>
    <w:rsid w:val="00C82268"/>
    <w:rsid w:val="00C8276D"/>
    <w:rsid w:val="00C82BC9"/>
    <w:rsid w:val="00C82FC9"/>
    <w:rsid w:val="00C833FD"/>
    <w:rsid w:val="00C83453"/>
    <w:rsid w:val="00C83536"/>
    <w:rsid w:val="00C839B9"/>
    <w:rsid w:val="00C849D0"/>
    <w:rsid w:val="00C84E1C"/>
    <w:rsid w:val="00C85312"/>
    <w:rsid w:val="00C853CF"/>
    <w:rsid w:val="00C853E2"/>
    <w:rsid w:val="00C8552E"/>
    <w:rsid w:val="00C85677"/>
    <w:rsid w:val="00C85DB4"/>
    <w:rsid w:val="00C86824"/>
    <w:rsid w:val="00C86D79"/>
    <w:rsid w:val="00C873F6"/>
    <w:rsid w:val="00C908A1"/>
    <w:rsid w:val="00C90B21"/>
    <w:rsid w:val="00C90E6D"/>
    <w:rsid w:val="00C91D36"/>
    <w:rsid w:val="00C92687"/>
    <w:rsid w:val="00C92D23"/>
    <w:rsid w:val="00C92E56"/>
    <w:rsid w:val="00C92F36"/>
    <w:rsid w:val="00C92F8E"/>
    <w:rsid w:val="00C93014"/>
    <w:rsid w:val="00C93604"/>
    <w:rsid w:val="00C937BF"/>
    <w:rsid w:val="00C939BD"/>
    <w:rsid w:val="00C93A25"/>
    <w:rsid w:val="00C93B87"/>
    <w:rsid w:val="00C94446"/>
    <w:rsid w:val="00C944D8"/>
    <w:rsid w:val="00C946B7"/>
    <w:rsid w:val="00C94AC7"/>
    <w:rsid w:val="00C94E73"/>
    <w:rsid w:val="00C95499"/>
    <w:rsid w:val="00C956D4"/>
    <w:rsid w:val="00C958B7"/>
    <w:rsid w:val="00C95962"/>
    <w:rsid w:val="00C95C66"/>
    <w:rsid w:val="00C95E4F"/>
    <w:rsid w:val="00C96315"/>
    <w:rsid w:val="00C9667E"/>
    <w:rsid w:val="00C96719"/>
    <w:rsid w:val="00C96C3C"/>
    <w:rsid w:val="00C96F1C"/>
    <w:rsid w:val="00C9712F"/>
    <w:rsid w:val="00C97361"/>
    <w:rsid w:val="00C975FC"/>
    <w:rsid w:val="00C976D9"/>
    <w:rsid w:val="00C97CED"/>
    <w:rsid w:val="00CA0064"/>
    <w:rsid w:val="00CA0312"/>
    <w:rsid w:val="00CA0762"/>
    <w:rsid w:val="00CA0846"/>
    <w:rsid w:val="00CA09F1"/>
    <w:rsid w:val="00CA0EBE"/>
    <w:rsid w:val="00CA1328"/>
    <w:rsid w:val="00CA152A"/>
    <w:rsid w:val="00CA16C1"/>
    <w:rsid w:val="00CA1F40"/>
    <w:rsid w:val="00CA21DA"/>
    <w:rsid w:val="00CA2930"/>
    <w:rsid w:val="00CA2B42"/>
    <w:rsid w:val="00CA2FF5"/>
    <w:rsid w:val="00CA355E"/>
    <w:rsid w:val="00CA3735"/>
    <w:rsid w:val="00CA395D"/>
    <w:rsid w:val="00CA3B35"/>
    <w:rsid w:val="00CA41CC"/>
    <w:rsid w:val="00CA453B"/>
    <w:rsid w:val="00CA47F4"/>
    <w:rsid w:val="00CA49F1"/>
    <w:rsid w:val="00CA4B1A"/>
    <w:rsid w:val="00CA4B47"/>
    <w:rsid w:val="00CA4D6D"/>
    <w:rsid w:val="00CA5037"/>
    <w:rsid w:val="00CA53B7"/>
    <w:rsid w:val="00CA594B"/>
    <w:rsid w:val="00CA59FB"/>
    <w:rsid w:val="00CA5F31"/>
    <w:rsid w:val="00CA65D9"/>
    <w:rsid w:val="00CA6747"/>
    <w:rsid w:val="00CA71A5"/>
    <w:rsid w:val="00CA7C36"/>
    <w:rsid w:val="00CB0010"/>
    <w:rsid w:val="00CB01E7"/>
    <w:rsid w:val="00CB040C"/>
    <w:rsid w:val="00CB04B8"/>
    <w:rsid w:val="00CB1E31"/>
    <w:rsid w:val="00CB1EB4"/>
    <w:rsid w:val="00CB1EFD"/>
    <w:rsid w:val="00CB23AC"/>
    <w:rsid w:val="00CB23CF"/>
    <w:rsid w:val="00CB2401"/>
    <w:rsid w:val="00CB2505"/>
    <w:rsid w:val="00CB285A"/>
    <w:rsid w:val="00CB2B87"/>
    <w:rsid w:val="00CB338B"/>
    <w:rsid w:val="00CB3C5E"/>
    <w:rsid w:val="00CB4271"/>
    <w:rsid w:val="00CB42F8"/>
    <w:rsid w:val="00CB4429"/>
    <w:rsid w:val="00CB45FA"/>
    <w:rsid w:val="00CB47B8"/>
    <w:rsid w:val="00CB47C4"/>
    <w:rsid w:val="00CB4847"/>
    <w:rsid w:val="00CB49D5"/>
    <w:rsid w:val="00CB4F33"/>
    <w:rsid w:val="00CB50D0"/>
    <w:rsid w:val="00CB5659"/>
    <w:rsid w:val="00CB58C3"/>
    <w:rsid w:val="00CB6078"/>
    <w:rsid w:val="00CB647C"/>
    <w:rsid w:val="00CB6670"/>
    <w:rsid w:val="00CB67CB"/>
    <w:rsid w:val="00CB6BCA"/>
    <w:rsid w:val="00CB6F96"/>
    <w:rsid w:val="00CB7040"/>
    <w:rsid w:val="00CB7513"/>
    <w:rsid w:val="00CB75BB"/>
    <w:rsid w:val="00CB78C7"/>
    <w:rsid w:val="00CC034D"/>
    <w:rsid w:val="00CC0447"/>
    <w:rsid w:val="00CC04B8"/>
    <w:rsid w:val="00CC0F9E"/>
    <w:rsid w:val="00CC11F8"/>
    <w:rsid w:val="00CC12F8"/>
    <w:rsid w:val="00CC17DF"/>
    <w:rsid w:val="00CC17F6"/>
    <w:rsid w:val="00CC1A52"/>
    <w:rsid w:val="00CC1B84"/>
    <w:rsid w:val="00CC1FAB"/>
    <w:rsid w:val="00CC2334"/>
    <w:rsid w:val="00CC2B1B"/>
    <w:rsid w:val="00CC3161"/>
    <w:rsid w:val="00CC31B7"/>
    <w:rsid w:val="00CC36B5"/>
    <w:rsid w:val="00CC3902"/>
    <w:rsid w:val="00CC3DB8"/>
    <w:rsid w:val="00CC3F9D"/>
    <w:rsid w:val="00CC43CD"/>
    <w:rsid w:val="00CC4B03"/>
    <w:rsid w:val="00CC4BF2"/>
    <w:rsid w:val="00CC50B0"/>
    <w:rsid w:val="00CC52F1"/>
    <w:rsid w:val="00CC555E"/>
    <w:rsid w:val="00CC5630"/>
    <w:rsid w:val="00CC5895"/>
    <w:rsid w:val="00CC5D81"/>
    <w:rsid w:val="00CC5E77"/>
    <w:rsid w:val="00CC621A"/>
    <w:rsid w:val="00CD0089"/>
    <w:rsid w:val="00CD02BA"/>
    <w:rsid w:val="00CD0C6D"/>
    <w:rsid w:val="00CD1388"/>
    <w:rsid w:val="00CD1CBD"/>
    <w:rsid w:val="00CD1E5A"/>
    <w:rsid w:val="00CD1EAE"/>
    <w:rsid w:val="00CD25CE"/>
    <w:rsid w:val="00CD2CD2"/>
    <w:rsid w:val="00CD2E29"/>
    <w:rsid w:val="00CD3821"/>
    <w:rsid w:val="00CD38CD"/>
    <w:rsid w:val="00CD3DFF"/>
    <w:rsid w:val="00CD4732"/>
    <w:rsid w:val="00CD4E42"/>
    <w:rsid w:val="00CD4E5F"/>
    <w:rsid w:val="00CD51E1"/>
    <w:rsid w:val="00CD5851"/>
    <w:rsid w:val="00CD5B1A"/>
    <w:rsid w:val="00CD5BC4"/>
    <w:rsid w:val="00CD5BE5"/>
    <w:rsid w:val="00CD6CE7"/>
    <w:rsid w:val="00CD6DE0"/>
    <w:rsid w:val="00CD73FE"/>
    <w:rsid w:val="00CD74A2"/>
    <w:rsid w:val="00CD769B"/>
    <w:rsid w:val="00CD7C32"/>
    <w:rsid w:val="00CE00AC"/>
    <w:rsid w:val="00CE11E7"/>
    <w:rsid w:val="00CE1332"/>
    <w:rsid w:val="00CE1F70"/>
    <w:rsid w:val="00CE2277"/>
    <w:rsid w:val="00CE22F2"/>
    <w:rsid w:val="00CE2366"/>
    <w:rsid w:val="00CE2551"/>
    <w:rsid w:val="00CE2A7C"/>
    <w:rsid w:val="00CE2E8C"/>
    <w:rsid w:val="00CE3E87"/>
    <w:rsid w:val="00CE3F1F"/>
    <w:rsid w:val="00CE3FB9"/>
    <w:rsid w:val="00CE40F6"/>
    <w:rsid w:val="00CE4157"/>
    <w:rsid w:val="00CE45FB"/>
    <w:rsid w:val="00CE4CB0"/>
    <w:rsid w:val="00CE5106"/>
    <w:rsid w:val="00CE5147"/>
    <w:rsid w:val="00CE52D9"/>
    <w:rsid w:val="00CE52FE"/>
    <w:rsid w:val="00CE54A9"/>
    <w:rsid w:val="00CE5520"/>
    <w:rsid w:val="00CE57AA"/>
    <w:rsid w:val="00CE57C9"/>
    <w:rsid w:val="00CE5BEC"/>
    <w:rsid w:val="00CE5C2C"/>
    <w:rsid w:val="00CE5D96"/>
    <w:rsid w:val="00CE6261"/>
    <w:rsid w:val="00CE6558"/>
    <w:rsid w:val="00CE6724"/>
    <w:rsid w:val="00CE69D2"/>
    <w:rsid w:val="00CE6B2A"/>
    <w:rsid w:val="00CE6E9B"/>
    <w:rsid w:val="00CE6F15"/>
    <w:rsid w:val="00CE6FB7"/>
    <w:rsid w:val="00CE6FE8"/>
    <w:rsid w:val="00CE7924"/>
    <w:rsid w:val="00CF00FD"/>
    <w:rsid w:val="00CF0597"/>
    <w:rsid w:val="00CF05C0"/>
    <w:rsid w:val="00CF0AB9"/>
    <w:rsid w:val="00CF0EEC"/>
    <w:rsid w:val="00CF181A"/>
    <w:rsid w:val="00CF1A95"/>
    <w:rsid w:val="00CF1EC6"/>
    <w:rsid w:val="00CF227B"/>
    <w:rsid w:val="00CF25D6"/>
    <w:rsid w:val="00CF2749"/>
    <w:rsid w:val="00CF27F3"/>
    <w:rsid w:val="00CF33A8"/>
    <w:rsid w:val="00CF33D4"/>
    <w:rsid w:val="00CF3443"/>
    <w:rsid w:val="00CF3B0B"/>
    <w:rsid w:val="00CF4207"/>
    <w:rsid w:val="00CF4402"/>
    <w:rsid w:val="00CF4894"/>
    <w:rsid w:val="00CF4A09"/>
    <w:rsid w:val="00CF4A92"/>
    <w:rsid w:val="00CF4E66"/>
    <w:rsid w:val="00CF5277"/>
    <w:rsid w:val="00CF5336"/>
    <w:rsid w:val="00CF55B4"/>
    <w:rsid w:val="00CF5F2D"/>
    <w:rsid w:val="00CF5F76"/>
    <w:rsid w:val="00CF65E5"/>
    <w:rsid w:val="00CF6889"/>
    <w:rsid w:val="00CF6AF9"/>
    <w:rsid w:val="00CF705C"/>
    <w:rsid w:val="00CF707C"/>
    <w:rsid w:val="00CF72B8"/>
    <w:rsid w:val="00CF7733"/>
    <w:rsid w:val="00CF7E23"/>
    <w:rsid w:val="00D0049F"/>
    <w:rsid w:val="00D00936"/>
    <w:rsid w:val="00D00EA2"/>
    <w:rsid w:val="00D00ECF"/>
    <w:rsid w:val="00D00F44"/>
    <w:rsid w:val="00D01030"/>
    <w:rsid w:val="00D011AC"/>
    <w:rsid w:val="00D012F3"/>
    <w:rsid w:val="00D01529"/>
    <w:rsid w:val="00D01710"/>
    <w:rsid w:val="00D019CB"/>
    <w:rsid w:val="00D02120"/>
    <w:rsid w:val="00D02644"/>
    <w:rsid w:val="00D029BA"/>
    <w:rsid w:val="00D029FE"/>
    <w:rsid w:val="00D02DAD"/>
    <w:rsid w:val="00D03044"/>
    <w:rsid w:val="00D03088"/>
    <w:rsid w:val="00D032FF"/>
    <w:rsid w:val="00D03350"/>
    <w:rsid w:val="00D037D6"/>
    <w:rsid w:val="00D04AD1"/>
    <w:rsid w:val="00D052B6"/>
    <w:rsid w:val="00D05B02"/>
    <w:rsid w:val="00D05E8D"/>
    <w:rsid w:val="00D06280"/>
    <w:rsid w:val="00D0642A"/>
    <w:rsid w:val="00D06CF9"/>
    <w:rsid w:val="00D06D0A"/>
    <w:rsid w:val="00D06D73"/>
    <w:rsid w:val="00D07ABB"/>
    <w:rsid w:val="00D07FE4"/>
    <w:rsid w:val="00D1032C"/>
    <w:rsid w:val="00D10530"/>
    <w:rsid w:val="00D109C8"/>
    <w:rsid w:val="00D10A73"/>
    <w:rsid w:val="00D10C20"/>
    <w:rsid w:val="00D10E1F"/>
    <w:rsid w:val="00D110BF"/>
    <w:rsid w:val="00D111CA"/>
    <w:rsid w:val="00D11803"/>
    <w:rsid w:val="00D11C17"/>
    <w:rsid w:val="00D12F3C"/>
    <w:rsid w:val="00D1312A"/>
    <w:rsid w:val="00D138C4"/>
    <w:rsid w:val="00D139C4"/>
    <w:rsid w:val="00D13B85"/>
    <w:rsid w:val="00D13BB4"/>
    <w:rsid w:val="00D13D4D"/>
    <w:rsid w:val="00D13DEE"/>
    <w:rsid w:val="00D13F2A"/>
    <w:rsid w:val="00D141FD"/>
    <w:rsid w:val="00D1430E"/>
    <w:rsid w:val="00D14EB9"/>
    <w:rsid w:val="00D14EEA"/>
    <w:rsid w:val="00D1535B"/>
    <w:rsid w:val="00D15437"/>
    <w:rsid w:val="00D15E5C"/>
    <w:rsid w:val="00D15FF5"/>
    <w:rsid w:val="00D16149"/>
    <w:rsid w:val="00D1674D"/>
    <w:rsid w:val="00D16972"/>
    <w:rsid w:val="00D16DA3"/>
    <w:rsid w:val="00D17665"/>
    <w:rsid w:val="00D178A5"/>
    <w:rsid w:val="00D178CC"/>
    <w:rsid w:val="00D17DF9"/>
    <w:rsid w:val="00D203A0"/>
    <w:rsid w:val="00D204FA"/>
    <w:rsid w:val="00D210F8"/>
    <w:rsid w:val="00D21216"/>
    <w:rsid w:val="00D2145F"/>
    <w:rsid w:val="00D214D6"/>
    <w:rsid w:val="00D21C03"/>
    <w:rsid w:val="00D21F63"/>
    <w:rsid w:val="00D223A5"/>
    <w:rsid w:val="00D223E9"/>
    <w:rsid w:val="00D225E4"/>
    <w:rsid w:val="00D22670"/>
    <w:rsid w:val="00D22D2D"/>
    <w:rsid w:val="00D22E42"/>
    <w:rsid w:val="00D239AC"/>
    <w:rsid w:val="00D247D9"/>
    <w:rsid w:val="00D24EB2"/>
    <w:rsid w:val="00D24F11"/>
    <w:rsid w:val="00D254CC"/>
    <w:rsid w:val="00D255F0"/>
    <w:rsid w:val="00D25AB5"/>
    <w:rsid w:val="00D25DB4"/>
    <w:rsid w:val="00D25FE0"/>
    <w:rsid w:val="00D26463"/>
    <w:rsid w:val="00D26DBE"/>
    <w:rsid w:val="00D26ECC"/>
    <w:rsid w:val="00D27179"/>
    <w:rsid w:val="00D271EC"/>
    <w:rsid w:val="00D2728F"/>
    <w:rsid w:val="00D2750D"/>
    <w:rsid w:val="00D278FA"/>
    <w:rsid w:val="00D27A47"/>
    <w:rsid w:val="00D27AA5"/>
    <w:rsid w:val="00D27E84"/>
    <w:rsid w:val="00D300CB"/>
    <w:rsid w:val="00D30CBD"/>
    <w:rsid w:val="00D30DFF"/>
    <w:rsid w:val="00D30F31"/>
    <w:rsid w:val="00D3183C"/>
    <w:rsid w:val="00D31D4A"/>
    <w:rsid w:val="00D31DFF"/>
    <w:rsid w:val="00D3206E"/>
    <w:rsid w:val="00D32126"/>
    <w:rsid w:val="00D3254B"/>
    <w:rsid w:val="00D326D4"/>
    <w:rsid w:val="00D3276E"/>
    <w:rsid w:val="00D32BE8"/>
    <w:rsid w:val="00D337B1"/>
    <w:rsid w:val="00D33E22"/>
    <w:rsid w:val="00D34115"/>
    <w:rsid w:val="00D3418B"/>
    <w:rsid w:val="00D34B40"/>
    <w:rsid w:val="00D34BA1"/>
    <w:rsid w:val="00D34BAB"/>
    <w:rsid w:val="00D34C14"/>
    <w:rsid w:val="00D34D3B"/>
    <w:rsid w:val="00D350FD"/>
    <w:rsid w:val="00D359BF"/>
    <w:rsid w:val="00D35EA5"/>
    <w:rsid w:val="00D363D9"/>
    <w:rsid w:val="00D364D5"/>
    <w:rsid w:val="00D36E95"/>
    <w:rsid w:val="00D37552"/>
    <w:rsid w:val="00D3762F"/>
    <w:rsid w:val="00D37A58"/>
    <w:rsid w:val="00D404DF"/>
    <w:rsid w:val="00D407D9"/>
    <w:rsid w:val="00D40A0A"/>
    <w:rsid w:val="00D40E20"/>
    <w:rsid w:val="00D40EF2"/>
    <w:rsid w:val="00D41701"/>
    <w:rsid w:val="00D4180A"/>
    <w:rsid w:val="00D41C71"/>
    <w:rsid w:val="00D42211"/>
    <w:rsid w:val="00D4266F"/>
    <w:rsid w:val="00D42CD7"/>
    <w:rsid w:val="00D43321"/>
    <w:rsid w:val="00D43488"/>
    <w:rsid w:val="00D43E1D"/>
    <w:rsid w:val="00D43EF5"/>
    <w:rsid w:val="00D440EB"/>
    <w:rsid w:val="00D4433C"/>
    <w:rsid w:val="00D44347"/>
    <w:rsid w:val="00D44CB4"/>
    <w:rsid w:val="00D44F4D"/>
    <w:rsid w:val="00D452A1"/>
    <w:rsid w:val="00D45581"/>
    <w:rsid w:val="00D4589F"/>
    <w:rsid w:val="00D45E55"/>
    <w:rsid w:val="00D4693E"/>
    <w:rsid w:val="00D469D9"/>
    <w:rsid w:val="00D46CC2"/>
    <w:rsid w:val="00D46E1C"/>
    <w:rsid w:val="00D46F16"/>
    <w:rsid w:val="00D471E1"/>
    <w:rsid w:val="00D47A80"/>
    <w:rsid w:val="00D47DE1"/>
    <w:rsid w:val="00D50040"/>
    <w:rsid w:val="00D507E4"/>
    <w:rsid w:val="00D5089B"/>
    <w:rsid w:val="00D50A2E"/>
    <w:rsid w:val="00D50C48"/>
    <w:rsid w:val="00D5117B"/>
    <w:rsid w:val="00D51460"/>
    <w:rsid w:val="00D515F5"/>
    <w:rsid w:val="00D516C3"/>
    <w:rsid w:val="00D51AAB"/>
    <w:rsid w:val="00D51C82"/>
    <w:rsid w:val="00D527E8"/>
    <w:rsid w:val="00D52DDB"/>
    <w:rsid w:val="00D533B1"/>
    <w:rsid w:val="00D5348A"/>
    <w:rsid w:val="00D534FE"/>
    <w:rsid w:val="00D536B1"/>
    <w:rsid w:val="00D536BB"/>
    <w:rsid w:val="00D537BB"/>
    <w:rsid w:val="00D538A9"/>
    <w:rsid w:val="00D539BF"/>
    <w:rsid w:val="00D53FA7"/>
    <w:rsid w:val="00D541C8"/>
    <w:rsid w:val="00D5444F"/>
    <w:rsid w:val="00D54A07"/>
    <w:rsid w:val="00D54B25"/>
    <w:rsid w:val="00D55419"/>
    <w:rsid w:val="00D555A2"/>
    <w:rsid w:val="00D55A23"/>
    <w:rsid w:val="00D55FE0"/>
    <w:rsid w:val="00D569CF"/>
    <w:rsid w:val="00D56A73"/>
    <w:rsid w:val="00D56CBB"/>
    <w:rsid w:val="00D571C3"/>
    <w:rsid w:val="00D57617"/>
    <w:rsid w:val="00D57AE1"/>
    <w:rsid w:val="00D60288"/>
    <w:rsid w:val="00D60A5E"/>
    <w:rsid w:val="00D60B44"/>
    <w:rsid w:val="00D60B6A"/>
    <w:rsid w:val="00D60D3A"/>
    <w:rsid w:val="00D613E2"/>
    <w:rsid w:val="00D616AC"/>
    <w:rsid w:val="00D61826"/>
    <w:rsid w:val="00D61839"/>
    <w:rsid w:val="00D6192D"/>
    <w:rsid w:val="00D61D78"/>
    <w:rsid w:val="00D61E66"/>
    <w:rsid w:val="00D62C95"/>
    <w:rsid w:val="00D62D0C"/>
    <w:rsid w:val="00D62D3A"/>
    <w:rsid w:val="00D62E64"/>
    <w:rsid w:val="00D632A0"/>
    <w:rsid w:val="00D6346E"/>
    <w:rsid w:val="00D63844"/>
    <w:rsid w:val="00D63A15"/>
    <w:rsid w:val="00D63ACD"/>
    <w:rsid w:val="00D63BA9"/>
    <w:rsid w:val="00D63CB0"/>
    <w:rsid w:val="00D63D75"/>
    <w:rsid w:val="00D64226"/>
    <w:rsid w:val="00D642D8"/>
    <w:rsid w:val="00D64362"/>
    <w:rsid w:val="00D643F2"/>
    <w:rsid w:val="00D64ADE"/>
    <w:rsid w:val="00D65494"/>
    <w:rsid w:val="00D655B8"/>
    <w:rsid w:val="00D65E85"/>
    <w:rsid w:val="00D66569"/>
    <w:rsid w:val="00D6677D"/>
    <w:rsid w:val="00D66B73"/>
    <w:rsid w:val="00D66ED1"/>
    <w:rsid w:val="00D679D3"/>
    <w:rsid w:val="00D67C03"/>
    <w:rsid w:val="00D67E84"/>
    <w:rsid w:val="00D70005"/>
    <w:rsid w:val="00D7086A"/>
    <w:rsid w:val="00D709F9"/>
    <w:rsid w:val="00D70AB5"/>
    <w:rsid w:val="00D70EA7"/>
    <w:rsid w:val="00D710E0"/>
    <w:rsid w:val="00D71183"/>
    <w:rsid w:val="00D71607"/>
    <w:rsid w:val="00D7169A"/>
    <w:rsid w:val="00D71CA6"/>
    <w:rsid w:val="00D720D5"/>
    <w:rsid w:val="00D735DD"/>
    <w:rsid w:val="00D74D05"/>
    <w:rsid w:val="00D74D60"/>
    <w:rsid w:val="00D754B0"/>
    <w:rsid w:val="00D755FC"/>
    <w:rsid w:val="00D76171"/>
    <w:rsid w:val="00D762D6"/>
    <w:rsid w:val="00D7638A"/>
    <w:rsid w:val="00D763BC"/>
    <w:rsid w:val="00D76A04"/>
    <w:rsid w:val="00D774BD"/>
    <w:rsid w:val="00D77E6B"/>
    <w:rsid w:val="00D801E8"/>
    <w:rsid w:val="00D80AB9"/>
    <w:rsid w:val="00D80E56"/>
    <w:rsid w:val="00D80F21"/>
    <w:rsid w:val="00D80F56"/>
    <w:rsid w:val="00D80F68"/>
    <w:rsid w:val="00D8122C"/>
    <w:rsid w:val="00D81442"/>
    <w:rsid w:val="00D821D7"/>
    <w:rsid w:val="00D8249E"/>
    <w:rsid w:val="00D8261C"/>
    <w:rsid w:val="00D82E96"/>
    <w:rsid w:val="00D82F28"/>
    <w:rsid w:val="00D82F96"/>
    <w:rsid w:val="00D83133"/>
    <w:rsid w:val="00D83A4F"/>
    <w:rsid w:val="00D83E47"/>
    <w:rsid w:val="00D83F6E"/>
    <w:rsid w:val="00D83FEE"/>
    <w:rsid w:val="00D840CD"/>
    <w:rsid w:val="00D84149"/>
    <w:rsid w:val="00D84492"/>
    <w:rsid w:val="00D84589"/>
    <w:rsid w:val="00D85775"/>
    <w:rsid w:val="00D85939"/>
    <w:rsid w:val="00D85B96"/>
    <w:rsid w:val="00D85CB1"/>
    <w:rsid w:val="00D85CC8"/>
    <w:rsid w:val="00D85D97"/>
    <w:rsid w:val="00D86179"/>
    <w:rsid w:val="00D86DA0"/>
    <w:rsid w:val="00D870BA"/>
    <w:rsid w:val="00D90270"/>
    <w:rsid w:val="00D9072E"/>
    <w:rsid w:val="00D90B07"/>
    <w:rsid w:val="00D90CE8"/>
    <w:rsid w:val="00D90D45"/>
    <w:rsid w:val="00D90E2F"/>
    <w:rsid w:val="00D90FEF"/>
    <w:rsid w:val="00D911A3"/>
    <w:rsid w:val="00D9120F"/>
    <w:rsid w:val="00D913AB"/>
    <w:rsid w:val="00D921F3"/>
    <w:rsid w:val="00D922A3"/>
    <w:rsid w:val="00D9230C"/>
    <w:rsid w:val="00D92DC1"/>
    <w:rsid w:val="00D92FC0"/>
    <w:rsid w:val="00D935F0"/>
    <w:rsid w:val="00D9403A"/>
    <w:rsid w:val="00D94956"/>
    <w:rsid w:val="00D949F9"/>
    <w:rsid w:val="00D94C16"/>
    <w:rsid w:val="00D94E11"/>
    <w:rsid w:val="00D9513B"/>
    <w:rsid w:val="00D956C5"/>
    <w:rsid w:val="00D95DCF"/>
    <w:rsid w:val="00D95FDE"/>
    <w:rsid w:val="00D96318"/>
    <w:rsid w:val="00D96CD6"/>
    <w:rsid w:val="00D96CFC"/>
    <w:rsid w:val="00D97269"/>
    <w:rsid w:val="00D9772E"/>
    <w:rsid w:val="00D979D5"/>
    <w:rsid w:val="00D979DF"/>
    <w:rsid w:val="00D97B47"/>
    <w:rsid w:val="00D97F81"/>
    <w:rsid w:val="00DA0966"/>
    <w:rsid w:val="00DA0C48"/>
    <w:rsid w:val="00DA0CBD"/>
    <w:rsid w:val="00DA1326"/>
    <w:rsid w:val="00DA142E"/>
    <w:rsid w:val="00DA16BB"/>
    <w:rsid w:val="00DA18D9"/>
    <w:rsid w:val="00DA19F9"/>
    <w:rsid w:val="00DA1C06"/>
    <w:rsid w:val="00DA1ED0"/>
    <w:rsid w:val="00DA216F"/>
    <w:rsid w:val="00DA279B"/>
    <w:rsid w:val="00DA2C14"/>
    <w:rsid w:val="00DA33BC"/>
    <w:rsid w:val="00DA3CE6"/>
    <w:rsid w:val="00DA4024"/>
    <w:rsid w:val="00DA443F"/>
    <w:rsid w:val="00DA468C"/>
    <w:rsid w:val="00DA4850"/>
    <w:rsid w:val="00DA4BE0"/>
    <w:rsid w:val="00DA4F10"/>
    <w:rsid w:val="00DA506C"/>
    <w:rsid w:val="00DA54C7"/>
    <w:rsid w:val="00DA59AB"/>
    <w:rsid w:val="00DA5D32"/>
    <w:rsid w:val="00DA696A"/>
    <w:rsid w:val="00DA6A11"/>
    <w:rsid w:val="00DA6B83"/>
    <w:rsid w:val="00DA7253"/>
    <w:rsid w:val="00DA7538"/>
    <w:rsid w:val="00DA7719"/>
    <w:rsid w:val="00DA7F95"/>
    <w:rsid w:val="00DB02AE"/>
    <w:rsid w:val="00DB065D"/>
    <w:rsid w:val="00DB0A86"/>
    <w:rsid w:val="00DB173A"/>
    <w:rsid w:val="00DB176B"/>
    <w:rsid w:val="00DB185D"/>
    <w:rsid w:val="00DB1FC9"/>
    <w:rsid w:val="00DB2592"/>
    <w:rsid w:val="00DB2655"/>
    <w:rsid w:val="00DB2947"/>
    <w:rsid w:val="00DB2C19"/>
    <w:rsid w:val="00DB2D6B"/>
    <w:rsid w:val="00DB328E"/>
    <w:rsid w:val="00DB3356"/>
    <w:rsid w:val="00DB3998"/>
    <w:rsid w:val="00DB3E5A"/>
    <w:rsid w:val="00DB4089"/>
    <w:rsid w:val="00DB4379"/>
    <w:rsid w:val="00DB4668"/>
    <w:rsid w:val="00DB4960"/>
    <w:rsid w:val="00DB4B74"/>
    <w:rsid w:val="00DB51A6"/>
    <w:rsid w:val="00DB52A5"/>
    <w:rsid w:val="00DB549C"/>
    <w:rsid w:val="00DB56C2"/>
    <w:rsid w:val="00DB58BA"/>
    <w:rsid w:val="00DB664D"/>
    <w:rsid w:val="00DB6E48"/>
    <w:rsid w:val="00DB7221"/>
    <w:rsid w:val="00DB7594"/>
    <w:rsid w:val="00DB7D07"/>
    <w:rsid w:val="00DC0199"/>
    <w:rsid w:val="00DC01DD"/>
    <w:rsid w:val="00DC0306"/>
    <w:rsid w:val="00DC05A2"/>
    <w:rsid w:val="00DC0729"/>
    <w:rsid w:val="00DC09D0"/>
    <w:rsid w:val="00DC0C6D"/>
    <w:rsid w:val="00DC0E23"/>
    <w:rsid w:val="00DC0F12"/>
    <w:rsid w:val="00DC0F3B"/>
    <w:rsid w:val="00DC1354"/>
    <w:rsid w:val="00DC143F"/>
    <w:rsid w:val="00DC1D57"/>
    <w:rsid w:val="00DC1EA9"/>
    <w:rsid w:val="00DC20FF"/>
    <w:rsid w:val="00DC2106"/>
    <w:rsid w:val="00DC2274"/>
    <w:rsid w:val="00DC2558"/>
    <w:rsid w:val="00DC2763"/>
    <w:rsid w:val="00DC31B2"/>
    <w:rsid w:val="00DC399A"/>
    <w:rsid w:val="00DC3A81"/>
    <w:rsid w:val="00DC4B9D"/>
    <w:rsid w:val="00DC4FE2"/>
    <w:rsid w:val="00DC5241"/>
    <w:rsid w:val="00DC548F"/>
    <w:rsid w:val="00DC5A2D"/>
    <w:rsid w:val="00DC5D64"/>
    <w:rsid w:val="00DC6091"/>
    <w:rsid w:val="00DC6747"/>
    <w:rsid w:val="00DC6BE7"/>
    <w:rsid w:val="00DC6DE7"/>
    <w:rsid w:val="00DC6E45"/>
    <w:rsid w:val="00DC7541"/>
    <w:rsid w:val="00DC793D"/>
    <w:rsid w:val="00DC7A6C"/>
    <w:rsid w:val="00DC7EA0"/>
    <w:rsid w:val="00DD0243"/>
    <w:rsid w:val="00DD0445"/>
    <w:rsid w:val="00DD048D"/>
    <w:rsid w:val="00DD04E7"/>
    <w:rsid w:val="00DD0AD6"/>
    <w:rsid w:val="00DD0BA1"/>
    <w:rsid w:val="00DD1086"/>
    <w:rsid w:val="00DD1205"/>
    <w:rsid w:val="00DD1247"/>
    <w:rsid w:val="00DD2009"/>
    <w:rsid w:val="00DD2574"/>
    <w:rsid w:val="00DD279A"/>
    <w:rsid w:val="00DD297F"/>
    <w:rsid w:val="00DD3026"/>
    <w:rsid w:val="00DD3E11"/>
    <w:rsid w:val="00DD42AA"/>
    <w:rsid w:val="00DD43D8"/>
    <w:rsid w:val="00DD43DE"/>
    <w:rsid w:val="00DD499D"/>
    <w:rsid w:val="00DD4B38"/>
    <w:rsid w:val="00DD4C1B"/>
    <w:rsid w:val="00DD52EB"/>
    <w:rsid w:val="00DD5435"/>
    <w:rsid w:val="00DD5538"/>
    <w:rsid w:val="00DD56AD"/>
    <w:rsid w:val="00DD5AD8"/>
    <w:rsid w:val="00DD6521"/>
    <w:rsid w:val="00DD671E"/>
    <w:rsid w:val="00DD6F57"/>
    <w:rsid w:val="00DD7125"/>
    <w:rsid w:val="00DD7592"/>
    <w:rsid w:val="00DD77A8"/>
    <w:rsid w:val="00DD7D0B"/>
    <w:rsid w:val="00DD7E38"/>
    <w:rsid w:val="00DE0684"/>
    <w:rsid w:val="00DE070E"/>
    <w:rsid w:val="00DE089F"/>
    <w:rsid w:val="00DE0FF5"/>
    <w:rsid w:val="00DE1316"/>
    <w:rsid w:val="00DE1619"/>
    <w:rsid w:val="00DE17C5"/>
    <w:rsid w:val="00DE1915"/>
    <w:rsid w:val="00DE1967"/>
    <w:rsid w:val="00DE1B5B"/>
    <w:rsid w:val="00DE1CCA"/>
    <w:rsid w:val="00DE1E0F"/>
    <w:rsid w:val="00DE1FC6"/>
    <w:rsid w:val="00DE2054"/>
    <w:rsid w:val="00DE29DC"/>
    <w:rsid w:val="00DE2DF5"/>
    <w:rsid w:val="00DE3263"/>
    <w:rsid w:val="00DE32CF"/>
    <w:rsid w:val="00DE37BB"/>
    <w:rsid w:val="00DE3A6B"/>
    <w:rsid w:val="00DE40EB"/>
    <w:rsid w:val="00DE45F1"/>
    <w:rsid w:val="00DE49FA"/>
    <w:rsid w:val="00DE4AE6"/>
    <w:rsid w:val="00DE4DAD"/>
    <w:rsid w:val="00DE5A99"/>
    <w:rsid w:val="00DE6027"/>
    <w:rsid w:val="00DE61A8"/>
    <w:rsid w:val="00DE6A7F"/>
    <w:rsid w:val="00DE7367"/>
    <w:rsid w:val="00DE7446"/>
    <w:rsid w:val="00DE78EA"/>
    <w:rsid w:val="00DE7A93"/>
    <w:rsid w:val="00DF0086"/>
    <w:rsid w:val="00DF00F8"/>
    <w:rsid w:val="00DF0169"/>
    <w:rsid w:val="00DF05B6"/>
    <w:rsid w:val="00DF0A0E"/>
    <w:rsid w:val="00DF0B83"/>
    <w:rsid w:val="00DF0CAE"/>
    <w:rsid w:val="00DF138E"/>
    <w:rsid w:val="00DF151D"/>
    <w:rsid w:val="00DF1820"/>
    <w:rsid w:val="00DF1892"/>
    <w:rsid w:val="00DF19B0"/>
    <w:rsid w:val="00DF1C3B"/>
    <w:rsid w:val="00DF1C48"/>
    <w:rsid w:val="00DF1CF2"/>
    <w:rsid w:val="00DF273C"/>
    <w:rsid w:val="00DF295A"/>
    <w:rsid w:val="00DF2C89"/>
    <w:rsid w:val="00DF3272"/>
    <w:rsid w:val="00DF3412"/>
    <w:rsid w:val="00DF363D"/>
    <w:rsid w:val="00DF3830"/>
    <w:rsid w:val="00DF3A8A"/>
    <w:rsid w:val="00DF44C0"/>
    <w:rsid w:val="00DF4C06"/>
    <w:rsid w:val="00DF4E20"/>
    <w:rsid w:val="00DF51F8"/>
    <w:rsid w:val="00DF542C"/>
    <w:rsid w:val="00DF5B72"/>
    <w:rsid w:val="00DF5C5E"/>
    <w:rsid w:val="00DF600F"/>
    <w:rsid w:val="00DF61EA"/>
    <w:rsid w:val="00DF635F"/>
    <w:rsid w:val="00DF636D"/>
    <w:rsid w:val="00DF6462"/>
    <w:rsid w:val="00DF677D"/>
    <w:rsid w:val="00DF6CAE"/>
    <w:rsid w:val="00DF6D90"/>
    <w:rsid w:val="00DF7370"/>
    <w:rsid w:val="00DF743E"/>
    <w:rsid w:val="00E0015D"/>
    <w:rsid w:val="00E00678"/>
    <w:rsid w:val="00E015B4"/>
    <w:rsid w:val="00E0177D"/>
    <w:rsid w:val="00E02059"/>
    <w:rsid w:val="00E02135"/>
    <w:rsid w:val="00E02784"/>
    <w:rsid w:val="00E02D25"/>
    <w:rsid w:val="00E02E60"/>
    <w:rsid w:val="00E031D6"/>
    <w:rsid w:val="00E032B8"/>
    <w:rsid w:val="00E034F9"/>
    <w:rsid w:val="00E0361B"/>
    <w:rsid w:val="00E037FD"/>
    <w:rsid w:val="00E03FAF"/>
    <w:rsid w:val="00E04088"/>
    <w:rsid w:val="00E049BD"/>
    <w:rsid w:val="00E04EB6"/>
    <w:rsid w:val="00E05183"/>
    <w:rsid w:val="00E0594D"/>
    <w:rsid w:val="00E05D37"/>
    <w:rsid w:val="00E05D6D"/>
    <w:rsid w:val="00E064E1"/>
    <w:rsid w:val="00E06CB9"/>
    <w:rsid w:val="00E06DE3"/>
    <w:rsid w:val="00E076C2"/>
    <w:rsid w:val="00E07984"/>
    <w:rsid w:val="00E07D2B"/>
    <w:rsid w:val="00E1009F"/>
    <w:rsid w:val="00E106AC"/>
    <w:rsid w:val="00E10B39"/>
    <w:rsid w:val="00E11ACD"/>
    <w:rsid w:val="00E11DE1"/>
    <w:rsid w:val="00E11ED5"/>
    <w:rsid w:val="00E11F4C"/>
    <w:rsid w:val="00E12083"/>
    <w:rsid w:val="00E12156"/>
    <w:rsid w:val="00E12254"/>
    <w:rsid w:val="00E123E2"/>
    <w:rsid w:val="00E1292A"/>
    <w:rsid w:val="00E1393F"/>
    <w:rsid w:val="00E13A57"/>
    <w:rsid w:val="00E13AF3"/>
    <w:rsid w:val="00E13DE3"/>
    <w:rsid w:val="00E14608"/>
    <w:rsid w:val="00E14770"/>
    <w:rsid w:val="00E14816"/>
    <w:rsid w:val="00E14936"/>
    <w:rsid w:val="00E14A38"/>
    <w:rsid w:val="00E14A7A"/>
    <w:rsid w:val="00E14ACB"/>
    <w:rsid w:val="00E14B51"/>
    <w:rsid w:val="00E14E48"/>
    <w:rsid w:val="00E14F5C"/>
    <w:rsid w:val="00E1538F"/>
    <w:rsid w:val="00E1543D"/>
    <w:rsid w:val="00E15EEF"/>
    <w:rsid w:val="00E16356"/>
    <w:rsid w:val="00E16FA4"/>
    <w:rsid w:val="00E17885"/>
    <w:rsid w:val="00E20B64"/>
    <w:rsid w:val="00E21762"/>
    <w:rsid w:val="00E219BD"/>
    <w:rsid w:val="00E21AC4"/>
    <w:rsid w:val="00E21B43"/>
    <w:rsid w:val="00E21E24"/>
    <w:rsid w:val="00E22399"/>
    <w:rsid w:val="00E22593"/>
    <w:rsid w:val="00E229BE"/>
    <w:rsid w:val="00E22E58"/>
    <w:rsid w:val="00E2324D"/>
    <w:rsid w:val="00E23F9A"/>
    <w:rsid w:val="00E24100"/>
    <w:rsid w:val="00E242F7"/>
    <w:rsid w:val="00E24378"/>
    <w:rsid w:val="00E243F2"/>
    <w:rsid w:val="00E246D6"/>
    <w:rsid w:val="00E24967"/>
    <w:rsid w:val="00E24CD8"/>
    <w:rsid w:val="00E25712"/>
    <w:rsid w:val="00E2635C"/>
    <w:rsid w:val="00E2669A"/>
    <w:rsid w:val="00E26A55"/>
    <w:rsid w:val="00E26ACD"/>
    <w:rsid w:val="00E26D4E"/>
    <w:rsid w:val="00E27068"/>
    <w:rsid w:val="00E270F9"/>
    <w:rsid w:val="00E271CF"/>
    <w:rsid w:val="00E27E21"/>
    <w:rsid w:val="00E27FE7"/>
    <w:rsid w:val="00E30211"/>
    <w:rsid w:val="00E30395"/>
    <w:rsid w:val="00E30AAE"/>
    <w:rsid w:val="00E30C0F"/>
    <w:rsid w:val="00E310B6"/>
    <w:rsid w:val="00E3216B"/>
    <w:rsid w:val="00E3254D"/>
    <w:rsid w:val="00E326AA"/>
    <w:rsid w:val="00E32AA9"/>
    <w:rsid w:val="00E32FEE"/>
    <w:rsid w:val="00E33A1A"/>
    <w:rsid w:val="00E33F5C"/>
    <w:rsid w:val="00E34A2E"/>
    <w:rsid w:val="00E34B82"/>
    <w:rsid w:val="00E34DDA"/>
    <w:rsid w:val="00E35553"/>
    <w:rsid w:val="00E355A8"/>
    <w:rsid w:val="00E35B36"/>
    <w:rsid w:val="00E35D23"/>
    <w:rsid w:val="00E35E55"/>
    <w:rsid w:val="00E36FE1"/>
    <w:rsid w:val="00E37285"/>
    <w:rsid w:val="00E3736F"/>
    <w:rsid w:val="00E37A9A"/>
    <w:rsid w:val="00E37BB3"/>
    <w:rsid w:val="00E37DF9"/>
    <w:rsid w:val="00E37F4E"/>
    <w:rsid w:val="00E40304"/>
    <w:rsid w:val="00E404D1"/>
    <w:rsid w:val="00E405CE"/>
    <w:rsid w:val="00E40E2B"/>
    <w:rsid w:val="00E416E1"/>
    <w:rsid w:val="00E420BE"/>
    <w:rsid w:val="00E423C6"/>
    <w:rsid w:val="00E423D5"/>
    <w:rsid w:val="00E425E5"/>
    <w:rsid w:val="00E42749"/>
    <w:rsid w:val="00E42D92"/>
    <w:rsid w:val="00E42DB5"/>
    <w:rsid w:val="00E43BDF"/>
    <w:rsid w:val="00E43C3E"/>
    <w:rsid w:val="00E43D45"/>
    <w:rsid w:val="00E4447C"/>
    <w:rsid w:val="00E44693"/>
    <w:rsid w:val="00E446D5"/>
    <w:rsid w:val="00E4480A"/>
    <w:rsid w:val="00E44835"/>
    <w:rsid w:val="00E44904"/>
    <w:rsid w:val="00E44B5B"/>
    <w:rsid w:val="00E45B07"/>
    <w:rsid w:val="00E45CA8"/>
    <w:rsid w:val="00E46960"/>
    <w:rsid w:val="00E476E3"/>
    <w:rsid w:val="00E47A35"/>
    <w:rsid w:val="00E47A9D"/>
    <w:rsid w:val="00E47E43"/>
    <w:rsid w:val="00E50067"/>
    <w:rsid w:val="00E50389"/>
    <w:rsid w:val="00E5062C"/>
    <w:rsid w:val="00E5075A"/>
    <w:rsid w:val="00E50967"/>
    <w:rsid w:val="00E50989"/>
    <w:rsid w:val="00E50D2D"/>
    <w:rsid w:val="00E50ED8"/>
    <w:rsid w:val="00E50FDD"/>
    <w:rsid w:val="00E516B4"/>
    <w:rsid w:val="00E51D40"/>
    <w:rsid w:val="00E51E30"/>
    <w:rsid w:val="00E522D1"/>
    <w:rsid w:val="00E526E8"/>
    <w:rsid w:val="00E53047"/>
    <w:rsid w:val="00E5358C"/>
    <w:rsid w:val="00E536C8"/>
    <w:rsid w:val="00E53B51"/>
    <w:rsid w:val="00E53F81"/>
    <w:rsid w:val="00E54089"/>
    <w:rsid w:val="00E54279"/>
    <w:rsid w:val="00E548DA"/>
    <w:rsid w:val="00E54E38"/>
    <w:rsid w:val="00E54E62"/>
    <w:rsid w:val="00E55066"/>
    <w:rsid w:val="00E5532A"/>
    <w:rsid w:val="00E55448"/>
    <w:rsid w:val="00E558B0"/>
    <w:rsid w:val="00E57164"/>
    <w:rsid w:val="00E574A5"/>
    <w:rsid w:val="00E57CC0"/>
    <w:rsid w:val="00E57E14"/>
    <w:rsid w:val="00E60177"/>
    <w:rsid w:val="00E60782"/>
    <w:rsid w:val="00E60B71"/>
    <w:rsid w:val="00E610D7"/>
    <w:rsid w:val="00E61214"/>
    <w:rsid w:val="00E61863"/>
    <w:rsid w:val="00E61B3E"/>
    <w:rsid w:val="00E61C2E"/>
    <w:rsid w:val="00E61DA3"/>
    <w:rsid w:val="00E6294C"/>
    <w:rsid w:val="00E62DC7"/>
    <w:rsid w:val="00E63A13"/>
    <w:rsid w:val="00E644F6"/>
    <w:rsid w:val="00E645F6"/>
    <w:rsid w:val="00E64A72"/>
    <w:rsid w:val="00E64BE2"/>
    <w:rsid w:val="00E65022"/>
    <w:rsid w:val="00E6518F"/>
    <w:rsid w:val="00E65624"/>
    <w:rsid w:val="00E657D9"/>
    <w:rsid w:val="00E658D9"/>
    <w:rsid w:val="00E6593B"/>
    <w:rsid w:val="00E65964"/>
    <w:rsid w:val="00E65A76"/>
    <w:rsid w:val="00E664E7"/>
    <w:rsid w:val="00E66A07"/>
    <w:rsid w:val="00E66B88"/>
    <w:rsid w:val="00E66D27"/>
    <w:rsid w:val="00E66D65"/>
    <w:rsid w:val="00E66E4C"/>
    <w:rsid w:val="00E66F51"/>
    <w:rsid w:val="00E66FF1"/>
    <w:rsid w:val="00E6726F"/>
    <w:rsid w:val="00E67561"/>
    <w:rsid w:val="00E676C3"/>
    <w:rsid w:val="00E676D5"/>
    <w:rsid w:val="00E67ACF"/>
    <w:rsid w:val="00E70572"/>
    <w:rsid w:val="00E709C2"/>
    <w:rsid w:val="00E70DC5"/>
    <w:rsid w:val="00E70E43"/>
    <w:rsid w:val="00E71096"/>
    <w:rsid w:val="00E714F8"/>
    <w:rsid w:val="00E7168D"/>
    <w:rsid w:val="00E71B6B"/>
    <w:rsid w:val="00E71C84"/>
    <w:rsid w:val="00E72041"/>
    <w:rsid w:val="00E7234A"/>
    <w:rsid w:val="00E7252D"/>
    <w:rsid w:val="00E7274E"/>
    <w:rsid w:val="00E729A8"/>
    <w:rsid w:val="00E72A9F"/>
    <w:rsid w:val="00E731A7"/>
    <w:rsid w:val="00E735B1"/>
    <w:rsid w:val="00E7367D"/>
    <w:rsid w:val="00E73FF9"/>
    <w:rsid w:val="00E740A6"/>
    <w:rsid w:val="00E74315"/>
    <w:rsid w:val="00E74630"/>
    <w:rsid w:val="00E746BE"/>
    <w:rsid w:val="00E7474E"/>
    <w:rsid w:val="00E75036"/>
    <w:rsid w:val="00E75170"/>
    <w:rsid w:val="00E75347"/>
    <w:rsid w:val="00E756F7"/>
    <w:rsid w:val="00E7645D"/>
    <w:rsid w:val="00E7716C"/>
    <w:rsid w:val="00E7736A"/>
    <w:rsid w:val="00E776C0"/>
    <w:rsid w:val="00E777E4"/>
    <w:rsid w:val="00E7789A"/>
    <w:rsid w:val="00E77AB5"/>
    <w:rsid w:val="00E77B50"/>
    <w:rsid w:val="00E8025A"/>
    <w:rsid w:val="00E80DE1"/>
    <w:rsid w:val="00E81620"/>
    <w:rsid w:val="00E81CD1"/>
    <w:rsid w:val="00E81F57"/>
    <w:rsid w:val="00E824CA"/>
    <w:rsid w:val="00E82F87"/>
    <w:rsid w:val="00E8311F"/>
    <w:rsid w:val="00E83A99"/>
    <w:rsid w:val="00E84A8E"/>
    <w:rsid w:val="00E84B77"/>
    <w:rsid w:val="00E84BC5"/>
    <w:rsid w:val="00E84E30"/>
    <w:rsid w:val="00E84F38"/>
    <w:rsid w:val="00E85F2E"/>
    <w:rsid w:val="00E8606D"/>
    <w:rsid w:val="00E86BDA"/>
    <w:rsid w:val="00E86EC0"/>
    <w:rsid w:val="00E90431"/>
    <w:rsid w:val="00E90DF4"/>
    <w:rsid w:val="00E9196B"/>
    <w:rsid w:val="00E91C40"/>
    <w:rsid w:val="00E9207C"/>
    <w:rsid w:val="00E92C4B"/>
    <w:rsid w:val="00E9395F"/>
    <w:rsid w:val="00E9397E"/>
    <w:rsid w:val="00E93B13"/>
    <w:rsid w:val="00E93CA1"/>
    <w:rsid w:val="00E93F70"/>
    <w:rsid w:val="00E94042"/>
    <w:rsid w:val="00E947A4"/>
    <w:rsid w:val="00E94C75"/>
    <w:rsid w:val="00E94C8B"/>
    <w:rsid w:val="00E94D48"/>
    <w:rsid w:val="00E95083"/>
    <w:rsid w:val="00E95162"/>
    <w:rsid w:val="00E965BE"/>
    <w:rsid w:val="00E968A5"/>
    <w:rsid w:val="00E96AC7"/>
    <w:rsid w:val="00E9751F"/>
    <w:rsid w:val="00E9777C"/>
    <w:rsid w:val="00E977F4"/>
    <w:rsid w:val="00EA02CF"/>
    <w:rsid w:val="00EA0542"/>
    <w:rsid w:val="00EA07A3"/>
    <w:rsid w:val="00EA0C96"/>
    <w:rsid w:val="00EA0D22"/>
    <w:rsid w:val="00EA1089"/>
    <w:rsid w:val="00EA178A"/>
    <w:rsid w:val="00EA2108"/>
    <w:rsid w:val="00EA2DB4"/>
    <w:rsid w:val="00EA2F4E"/>
    <w:rsid w:val="00EA30A7"/>
    <w:rsid w:val="00EA31B6"/>
    <w:rsid w:val="00EA35C4"/>
    <w:rsid w:val="00EA3641"/>
    <w:rsid w:val="00EA38AF"/>
    <w:rsid w:val="00EA3E3D"/>
    <w:rsid w:val="00EA413C"/>
    <w:rsid w:val="00EA433D"/>
    <w:rsid w:val="00EA44BE"/>
    <w:rsid w:val="00EA4DD9"/>
    <w:rsid w:val="00EA5104"/>
    <w:rsid w:val="00EA5259"/>
    <w:rsid w:val="00EA5263"/>
    <w:rsid w:val="00EA542B"/>
    <w:rsid w:val="00EA559D"/>
    <w:rsid w:val="00EA5C10"/>
    <w:rsid w:val="00EA66CB"/>
    <w:rsid w:val="00EA6752"/>
    <w:rsid w:val="00EA6858"/>
    <w:rsid w:val="00EA6AE4"/>
    <w:rsid w:val="00EA6D9C"/>
    <w:rsid w:val="00EA6FEA"/>
    <w:rsid w:val="00EA7272"/>
    <w:rsid w:val="00EA73C8"/>
    <w:rsid w:val="00EA7D57"/>
    <w:rsid w:val="00EA7EA0"/>
    <w:rsid w:val="00EA7FC2"/>
    <w:rsid w:val="00EB01AF"/>
    <w:rsid w:val="00EB08EF"/>
    <w:rsid w:val="00EB0A4B"/>
    <w:rsid w:val="00EB12BC"/>
    <w:rsid w:val="00EB14B6"/>
    <w:rsid w:val="00EB165C"/>
    <w:rsid w:val="00EB18DF"/>
    <w:rsid w:val="00EB1911"/>
    <w:rsid w:val="00EB1CD5"/>
    <w:rsid w:val="00EB2269"/>
    <w:rsid w:val="00EB28F5"/>
    <w:rsid w:val="00EB2B36"/>
    <w:rsid w:val="00EB31B0"/>
    <w:rsid w:val="00EB341B"/>
    <w:rsid w:val="00EB4674"/>
    <w:rsid w:val="00EB4A28"/>
    <w:rsid w:val="00EB4EBA"/>
    <w:rsid w:val="00EB5082"/>
    <w:rsid w:val="00EB556D"/>
    <w:rsid w:val="00EB58D6"/>
    <w:rsid w:val="00EB5FB3"/>
    <w:rsid w:val="00EB62E1"/>
    <w:rsid w:val="00EB6482"/>
    <w:rsid w:val="00EB64A2"/>
    <w:rsid w:val="00EB6612"/>
    <w:rsid w:val="00EB6C14"/>
    <w:rsid w:val="00EB75D2"/>
    <w:rsid w:val="00EB75D8"/>
    <w:rsid w:val="00EB79E5"/>
    <w:rsid w:val="00EB7B3B"/>
    <w:rsid w:val="00EB7D3F"/>
    <w:rsid w:val="00EC0297"/>
    <w:rsid w:val="00EC06FC"/>
    <w:rsid w:val="00EC1094"/>
    <w:rsid w:val="00EC1362"/>
    <w:rsid w:val="00EC1500"/>
    <w:rsid w:val="00EC19DF"/>
    <w:rsid w:val="00EC1C4B"/>
    <w:rsid w:val="00EC2409"/>
    <w:rsid w:val="00EC296C"/>
    <w:rsid w:val="00EC30F2"/>
    <w:rsid w:val="00EC3166"/>
    <w:rsid w:val="00EC427B"/>
    <w:rsid w:val="00EC4900"/>
    <w:rsid w:val="00EC4951"/>
    <w:rsid w:val="00EC4FFA"/>
    <w:rsid w:val="00EC5ADB"/>
    <w:rsid w:val="00EC61E3"/>
    <w:rsid w:val="00EC6952"/>
    <w:rsid w:val="00EC6B36"/>
    <w:rsid w:val="00EC7B7A"/>
    <w:rsid w:val="00ED001A"/>
    <w:rsid w:val="00ED0215"/>
    <w:rsid w:val="00ED0260"/>
    <w:rsid w:val="00ED02BF"/>
    <w:rsid w:val="00ED0476"/>
    <w:rsid w:val="00ED05B3"/>
    <w:rsid w:val="00ED0A70"/>
    <w:rsid w:val="00ED0A8C"/>
    <w:rsid w:val="00ED12B7"/>
    <w:rsid w:val="00ED1557"/>
    <w:rsid w:val="00ED1832"/>
    <w:rsid w:val="00ED1D83"/>
    <w:rsid w:val="00ED3148"/>
    <w:rsid w:val="00ED331A"/>
    <w:rsid w:val="00ED3908"/>
    <w:rsid w:val="00ED3930"/>
    <w:rsid w:val="00ED3A93"/>
    <w:rsid w:val="00ED3B12"/>
    <w:rsid w:val="00ED3B5F"/>
    <w:rsid w:val="00ED3C7D"/>
    <w:rsid w:val="00ED3D9C"/>
    <w:rsid w:val="00ED47C9"/>
    <w:rsid w:val="00ED504A"/>
    <w:rsid w:val="00ED562C"/>
    <w:rsid w:val="00ED58B7"/>
    <w:rsid w:val="00ED5987"/>
    <w:rsid w:val="00ED5EC4"/>
    <w:rsid w:val="00ED72A0"/>
    <w:rsid w:val="00ED72F1"/>
    <w:rsid w:val="00ED7CE9"/>
    <w:rsid w:val="00EE001D"/>
    <w:rsid w:val="00EE040D"/>
    <w:rsid w:val="00EE0B0A"/>
    <w:rsid w:val="00EE0E91"/>
    <w:rsid w:val="00EE150B"/>
    <w:rsid w:val="00EE1623"/>
    <w:rsid w:val="00EE1934"/>
    <w:rsid w:val="00EE195E"/>
    <w:rsid w:val="00EE1D79"/>
    <w:rsid w:val="00EE2031"/>
    <w:rsid w:val="00EE2477"/>
    <w:rsid w:val="00EE2524"/>
    <w:rsid w:val="00EE3022"/>
    <w:rsid w:val="00EE31A5"/>
    <w:rsid w:val="00EE365C"/>
    <w:rsid w:val="00EE39A3"/>
    <w:rsid w:val="00EE3AEF"/>
    <w:rsid w:val="00EE3C84"/>
    <w:rsid w:val="00EE3C8B"/>
    <w:rsid w:val="00EE498F"/>
    <w:rsid w:val="00EE4DA8"/>
    <w:rsid w:val="00EE4F82"/>
    <w:rsid w:val="00EE508D"/>
    <w:rsid w:val="00EE50DC"/>
    <w:rsid w:val="00EE5388"/>
    <w:rsid w:val="00EE5525"/>
    <w:rsid w:val="00EE555C"/>
    <w:rsid w:val="00EE5EC0"/>
    <w:rsid w:val="00EE5FAB"/>
    <w:rsid w:val="00EE6013"/>
    <w:rsid w:val="00EE65EE"/>
    <w:rsid w:val="00EE74E1"/>
    <w:rsid w:val="00EE76C6"/>
    <w:rsid w:val="00EE7FEC"/>
    <w:rsid w:val="00EF07E6"/>
    <w:rsid w:val="00EF0E11"/>
    <w:rsid w:val="00EF0E97"/>
    <w:rsid w:val="00EF114B"/>
    <w:rsid w:val="00EF11C3"/>
    <w:rsid w:val="00EF1754"/>
    <w:rsid w:val="00EF2F6B"/>
    <w:rsid w:val="00EF36CA"/>
    <w:rsid w:val="00EF37C5"/>
    <w:rsid w:val="00EF46FF"/>
    <w:rsid w:val="00EF473C"/>
    <w:rsid w:val="00EF4809"/>
    <w:rsid w:val="00EF49B4"/>
    <w:rsid w:val="00EF4D2D"/>
    <w:rsid w:val="00EF5135"/>
    <w:rsid w:val="00EF5435"/>
    <w:rsid w:val="00EF5701"/>
    <w:rsid w:val="00EF58DA"/>
    <w:rsid w:val="00EF59B3"/>
    <w:rsid w:val="00EF5A37"/>
    <w:rsid w:val="00EF5ADD"/>
    <w:rsid w:val="00EF5B03"/>
    <w:rsid w:val="00EF5FF3"/>
    <w:rsid w:val="00EF62EE"/>
    <w:rsid w:val="00EF669F"/>
    <w:rsid w:val="00EF6F96"/>
    <w:rsid w:val="00EF703C"/>
    <w:rsid w:val="00EF76EC"/>
    <w:rsid w:val="00EF7B46"/>
    <w:rsid w:val="00EF7E51"/>
    <w:rsid w:val="00EF7EB1"/>
    <w:rsid w:val="00F00184"/>
    <w:rsid w:val="00F00696"/>
    <w:rsid w:val="00F01555"/>
    <w:rsid w:val="00F01AA3"/>
    <w:rsid w:val="00F0232E"/>
    <w:rsid w:val="00F02732"/>
    <w:rsid w:val="00F02AD6"/>
    <w:rsid w:val="00F02EB0"/>
    <w:rsid w:val="00F02EBB"/>
    <w:rsid w:val="00F03191"/>
    <w:rsid w:val="00F03272"/>
    <w:rsid w:val="00F03607"/>
    <w:rsid w:val="00F03702"/>
    <w:rsid w:val="00F0451F"/>
    <w:rsid w:val="00F04BCE"/>
    <w:rsid w:val="00F04D94"/>
    <w:rsid w:val="00F0524B"/>
    <w:rsid w:val="00F0626F"/>
    <w:rsid w:val="00F062C0"/>
    <w:rsid w:val="00F062E6"/>
    <w:rsid w:val="00F06451"/>
    <w:rsid w:val="00F06D49"/>
    <w:rsid w:val="00F06F5C"/>
    <w:rsid w:val="00F070A3"/>
    <w:rsid w:val="00F0753F"/>
    <w:rsid w:val="00F10551"/>
    <w:rsid w:val="00F10ADA"/>
    <w:rsid w:val="00F10BB4"/>
    <w:rsid w:val="00F10DB3"/>
    <w:rsid w:val="00F117C8"/>
    <w:rsid w:val="00F12193"/>
    <w:rsid w:val="00F12EE7"/>
    <w:rsid w:val="00F12F3B"/>
    <w:rsid w:val="00F1320A"/>
    <w:rsid w:val="00F13BE6"/>
    <w:rsid w:val="00F13DB8"/>
    <w:rsid w:val="00F14863"/>
    <w:rsid w:val="00F14CF5"/>
    <w:rsid w:val="00F14E15"/>
    <w:rsid w:val="00F15E14"/>
    <w:rsid w:val="00F15F5B"/>
    <w:rsid w:val="00F16422"/>
    <w:rsid w:val="00F16834"/>
    <w:rsid w:val="00F1717F"/>
    <w:rsid w:val="00F20712"/>
    <w:rsid w:val="00F20777"/>
    <w:rsid w:val="00F207D8"/>
    <w:rsid w:val="00F20EE5"/>
    <w:rsid w:val="00F2107D"/>
    <w:rsid w:val="00F212D9"/>
    <w:rsid w:val="00F224AE"/>
    <w:rsid w:val="00F233CB"/>
    <w:rsid w:val="00F23821"/>
    <w:rsid w:val="00F23A19"/>
    <w:rsid w:val="00F23DE5"/>
    <w:rsid w:val="00F23E85"/>
    <w:rsid w:val="00F2415B"/>
    <w:rsid w:val="00F247DC"/>
    <w:rsid w:val="00F24A08"/>
    <w:rsid w:val="00F24E18"/>
    <w:rsid w:val="00F24F79"/>
    <w:rsid w:val="00F24FBE"/>
    <w:rsid w:val="00F251F8"/>
    <w:rsid w:val="00F253AD"/>
    <w:rsid w:val="00F2540A"/>
    <w:rsid w:val="00F25915"/>
    <w:rsid w:val="00F25A2A"/>
    <w:rsid w:val="00F25B37"/>
    <w:rsid w:val="00F26830"/>
    <w:rsid w:val="00F271F1"/>
    <w:rsid w:val="00F27485"/>
    <w:rsid w:val="00F27831"/>
    <w:rsid w:val="00F27FB9"/>
    <w:rsid w:val="00F30066"/>
    <w:rsid w:val="00F30949"/>
    <w:rsid w:val="00F30DD2"/>
    <w:rsid w:val="00F314AB"/>
    <w:rsid w:val="00F316A6"/>
    <w:rsid w:val="00F3216C"/>
    <w:rsid w:val="00F324BF"/>
    <w:rsid w:val="00F324C5"/>
    <w:rsid w:val="00F326E0"/>
    <w:rsid w:val="00F32F9D"/>
    <w:rsid w:val="00F3394F"/>
    <w:rsid w:val="00F33C98"/>
    <w:rsid w:val="00F340A0"/>
    <w:rsid w:val="00F34369"/>
    <w:rsid w:val="00F34668"/>
    <w:rsid w:val="00F34759"/>
    <w:rsid w:val="00F348A6"/>
    <w:rsid w:val="00F34CDE"/>
    <w:rsid w:val="00F34D4A"/>
    <w:rsid w:val="00F34DF4"/>
    <w:rsid w:val="00F351A8"/>
    <w:rsid w:val="00F35D8C"/>
    <w:rsid w:val="00F35E62"/>
    <w:rsid w:val="00F35F74"/>
    <w:rsid w:val="00F35FF4"/>
    <w:rsid w:val="00F361ED"/>
    <w:rsid w:val="00F367C2"/>
    <w:rsid w:val="00F3690F"/>
    <w:rsid w:val="00F3692D"/>
    <w:rsid w:val="00F36D83"/>
    <w:rsid w:val="00F3712C"/>
    <w:rsid w:val="00F3723F"/>
    <w:rsid w:val="00F372B5"/>
    <w:rsid w:val="00F41574"/>
    <w:rsid w:val="00F41CE3"/>
    <w:rsid w:val="00F41E43"/>
    <w:rsid w:val="00F42021"/>
    <w:rsid w:val="00F422B5"/>
    <w:rsid w:val="00F42492"/>
    <w:rsid w:val="00F42575"/>
    <w:rsid w:val="00F425F2"/>
    <w:rsid w:val="00F42E81"/>
    <w:rsid w:val="00F4399F"/>
    <w:rsid w:val="00F43B34"/>
    <w:rsid w:val="00F440FA"/>
    <w:rsid w:val="00F442EC"/>
    <w:rsid w:val="00F44460"/>
    <w:rsid w:val="00F44702"/>
    <w:rsid w:val="00F44C37"/>
    <w:rsid w:val="00F4512E"/>
    <w:rsid w:val="00F451A7"/>
    <w:rsid w:val="00F45205"/>
    <w:rsid w:val="00F4521A"/>
    <w:rsid w:val="00F452A6"/>
    <w:rsid w:val="00F45431"/>
    <w:rsid w:val="00F459AC"/>
    <w:rsid w:val="00F461A5"/>
    <w:rsid w:val="00F4644C"/>
    <w:rsid w:val="00F4688D"/>
    <w:rsid w:val="00F468B6"/>
    <w:rsid w:val="00F46AC7"/>
    <w:rsid w:val="00F46CFD"/>
    <w:rsid w:val="00F46D0F"/>
    <w:rsid w:val="00F47241"/>
    <w:rsid w:val="00F472E2"/>
    <w:rsid w:val="00F47358"/>
    <w:rsid w:val="00F476DB"/>
    <w:rsid w:val="00F47CCD"/>
    <w:rsid w:val="00F50CF1"/>
    <w:rsid w:val="00F50F83"/>
    <w:rsid w:val="00F511A9"/>
    <w:rsid w:val="00F51C02"/>
    <w:rsid w:val="00F51C88"/>
    <w:rsid w:val="00F51CB2"/>
    <w:rsid w:val="00F51E07"/>
    <w:rsid w:val="00F52214"/>
    <w:rsid w:val="00F5271A"/>
    <w:rsid w:val="00F52B03"/>
    <w:rsid w:val="00F52D0C"/>
    <w:rsid w:val="00F52EBF"/>
    <w:rsid w:val="00F5303E"/>
    <w:rsid w:val="00F5319A"/>
    <w:rsid w:val="00F53A15"/>
    <w:rsid w:val="00F53B4F"/>
    <w:rsid w:val="00F54071"/>
    <w:rsid w:val="00F544A7"/>
    <w:rsid w:val="00F54604"/>
    <w:rsid w:val="00F54ACD"/>
    <w:rsid w:val="00F54CF3"/>
    <w:rsid w:val="00F554E4"/>
    <w:rsid w:val="00F55571"/>
    <w:rsid w:val="00F555DB"/>
    <w:rsid w:val="00F5587E"/>
    <w:rsid w:val="00F5626C"/>
    <w:rsid w:val="00F56AB2"/>
    <w:rsid w:val="00F56C5C"/>
    <w:rsid w:val="00F5732B"/>
    <w:rsid w:val="00F57734"/>
    <w:rsid w:val="00F57802"/>
    <w:rsid w:val="00F57A9E"/>
    <w:rsid w:val="00F6040E"/>
    <w:rsid w:val="00F60715"/>
    <w:rsid w:val="00F609B0"/>
    <w:rsid w:val="00F60BD5"/>
    <w:rsid w:val="00F6140A"/>
    <w:rsid w:val="00F61588"/>
    <w:rsid w:val="00F61927"/>
    <w:rsid w:val="00F61DEC"/>
    <w:rsid w:val="00F61EBC"/>
    <w:rsid w:val="00F61F87"/>
    <w:rsid w:val="00F620A8"/>
    <w:rsid w:val="00F621FF"/>
    <w:rsid w:val="00F62BDA"/>
    <w:rsid w:val="00F62E3F"/>
    <w:rsid w:val="00F632FD"/>
    <w:rsid w:val="00F63A2E"/>
    <w:rsid w:val="00F63CB6"/>
    <w:rsid w:val="00F64093"/>
    <w:rsid w:val="00F641FE"/>
    <w:rsid w:val="00F644F7"/>
    <w:rsid w:val="00F64780"/>
    <w:rsid w:val="00F6498B"/>
    <w:rsid w:val="00F64A42"/>
    <w:rsid w:val="00F64A99"/>
    <w:rsid w:val="00F64D3E"/>
    <w:rsid w:val="00F64EFB"/>
    <w:rsid w:val="00F65617"/>
    <w:rsid w:val="00F657BC"/>
    <w:rsid w:val="00F65CE5"/>
    <w:rsid w:val="00F6607E"/>
    <w:rsid w:val="00F6645A"/>
    <w:rsid w:val="00F6694D"/>
    <w:rsid w:val="00F66990"/>
    <w:rsid w:val="00F669B5"/>
    <w:rsid w:val="00F66D6A"/>
    <w:rsid w:val="00F66FDE"/>
    <w:rsid w:val="00F670DD"/>
    <w:rsid w:val="00F6752C"/>
    <w:rsid w:val="00F6771D"/>
    <w:rsid w:val="00F67C0A"/>
    <w:rsid w:val="00F67EAA"/>
    <w:rsid w:val="00F70A4A"/>
    <w:rsid w:val="00F716F6"/>
    <w:rsid w:val="00F71A0A"/>
    <w:rsid w:val="00F71DF5"/>
    <w:rsid w:val="00F7242E"/>
    <w:rsid w:val="00F724A4"/>
    <w:rsid w:val="00F7260C"/>
    <w:rsid w:val="00F72FB3"/>
    <w:rsid w:val="00F73E9E"/>
    <w:rsid w:val="00F75312"/>
    <w:rsid w:val="00F75A7F"/>
    <w:rsid w:val="00F75F14"/>
    <w:rsid w:val="00F76183"/>
    <w:rsid w:val="00F76302"/>
    <w:rsid w:val="00F76320"/>
    <w:rsid w:val="00F7692C"/>
    <w:rsid w:val="00F76C9C"/>
    <w:rsid w:val="00F76F25"/>
    <w:rsid w:val="00F76FC6"/>
    <w:rsid w:val="00F77A89"/>
    <w:rsid w:val="00F80268"/>
    <w:rsid w:val="00F80B28"/>
    <w:rsid w:val="00F812E3"/>
    <w:rsid w:val="00F81596"/>
    <w:rsid w:val="00F82245"/>
    <w:rsid w:val="00F82510"/>
    <w:rsid w:val="00F82598"/>
    <w:rsid w:val="00F828EA"/>
    <w:rsid w:val="00F82FD5"/>
    <w:rsid w:val="00F830AE"/>
    <w:rsid w:val="00F83275"/>
    <w:rsid w:val="00F839C4"/>
    <w:rsid w:val="00F83AC1"/>
    <w:rsid w:val="00F84054"/>
    <w:rsid w:val="00F842F2"/>
    <w:rsid w:val="00F84353"/>
    <w:rsid w:val="00F84BF0"/>
    <w:rsid w:val="00F851AA"/>
    <w:rsid w:val="00F85367"/>
    <w:rsid w:val="00F853EB"/>
    <w:rsid w:val="00F85542"/>
    <w:rsid w:val="00F855A1"/>
    <w:rsid w:val="00F85796"/>
    <w:rsid w:val="00F85E6A"/>
    <w:rsid w:val="00F862FD"/>
    <w:rsid w:val="00F86407"/>
    <w:rsid w:val="00F866A8"/>
    <w:rsid w:val="00F8748A"/>
    <w:rsid w:val="00F8785F"/>
    <w:rsid w:val="00F878A5"/>
    <w:rsid w:val="00F87AF8"/>
    <w:rsid w:val="00F87E97"/>
    <w:rsid w:val="00F87F3F"/>
    <w:rsid w:val="00F90064"/>
    <w:rsid w:val="00F901AB"/>
    <w:rsid w:val="00F9088C"/>
    <w:rsid w:val="00F90E99"/>
    <w:rsid w:val="00F91635"/>
    <w:rsid w:val="00F919C8"/>
    <w:rsid w:val="00F9281E"/>
    <w:rsid w:val="00F92AB9"/>
    <w:rsid w:val="00F92B9F"/>
    <w:rsid w:val="00F92E12"/>
    <w:rsid w:val="00F92F9A"/>
    <w:rsid w:val="00F92FCD"/>
    <w:rsid w:val="00F9342E"/>
    <w:rsid w:val="00F93564"/>
    <w:rsid w:val="00F93B66"/>
    <w:rsid w:val="00F93CE3"/>
    <w:rsid w:val="00F949B7"/>
    <w:rsid w:val="00F94B67"/>
    <w:rsid w:val="00F9505C"/>
    <w:rsid w:val="00F952F9"/>
    <w:rsid w:val="00F95957"/>
    <w:rsid w:val="00F95B7F"/>
    <w:rsid w:val="00F961ED"/>
    <w:rsid w:val="00F962A8"/>
    <w:rsid w:val="00F962C7"/>
    <w:rsid w:val="00F9667C"/>
    <w:rsid w:val="00F969C6"/>
    <w:rsid w:val="00F96A46"/>
    <w:rsid w:val="00F96B7A"/>
    <w:rsid w:val="00F97005"/>
    <w:rsid w:val="00F9735C"/>
    <w:rsid w:val="00F97646"/>
    <w:rsid w:val="00F97B05"/>
    <w:rsid w:val="00F97C33"/>
    <w:rsid w:val="00FA05EC"/>
    <w:rsid w:val="00FA0810"/>
    <w:rsid w:val="00FA0A7B"/>
    <w:rsid w:val="00FA0CFB"/>
    <w:rsid w:val="00FA0D17"/>
    <w:rsid w:val="00FA11C7"/>
    <w:rsid w:val="00FA154B"/>
    <w:rsid w:val="00FA1A6C"/>
    <w:rsid w:val="00FA1B67"/>
    <w:rsid w:val="00FA1C3A"/>
    <w:rsid w:val="00FA3594"/>
    <w:rsid w:val="00FA3AC9"/>
    <w:rsid w:val="00FA49F8"/>
    <w:rsid w:val="00FA4B7E"/>
    <w:rsid w:val="00FA4EE6"/>
    <w:rsid w:val="00FA52B1"/>
    <w:rsid w:val="00FA59F5"/>
    <w:rsid w:val="00FA6018"/>
    <w:rsid w:val="00FA6564"/>
    <w:rsid w:val="00FA6642"/>
    <w:rsid w:val="00FA690E"/>
    <w:rsid w:val="00FA6D8D"/>
    <w:rsid w:val="00FA70D9"/>
    <w:rsid w:val="00FA7270"/>
    <w:rsid w:val="00FA7546"/>
    <w:rsid w:val="00FA7925"/>
    <w:rsid w:val="00FA79D2"/>
    <w:rsid w:val="00FA7AAB"/>
    <w:rsid w:val="00FA7BB9"/>
    <w:rsid w:val="00FA7D26"/>
    <w:rsid w:val="00FB0163"/>
    <w:rsid w:val="00FB01F4"/>
    <w:rsid w:val="00FB1128"/>
    <w:rsid w:val="00FB15AB"/>
    <w:rsid w:val="00FB1696"/>
    <w:rsid w:val="00FB183A"/>
    <w:rsid w:val="00FB1B8E"/>
    <w:rsid w:val="00FB1FA4"/>
    <w:rsid w:val="00FB23C9"/>
    <w:rsid w:val="00FB242F"/>
    <w:rsid w:val="00FB2B7C"/>
    <w:rsid w:val="00FB32E8"/>
    <w:rsid w:val="00FB3BCA"/>
    <w:rsid w:val="00FB3C1D"/>
    <w:rsid w:val="00FB4390"/>
    <w:rsid w:val="00FB4405"/>
    <w:rsid w:val="00FB455F"/>
    <w:rsid w:val="00FB45AF"/>
    <w:rsid w:val="00FB5088"/>
    <w:rsid w:val="00FB57FD"/>
    <w:rsid w:val="00FB591E"/>
    <w:rsid w:val="00FB5B29"/>
    <w:rsid w:val="00FB5DF9"/>
    <w:rsid w:val="00FB5EB9"/>
    <w:rsid w:val="00FB6035"/>
    <w:rsid w:val="00FB6106"/>
    <w:rsid w:val="00FB6162"/>
    <w:rsid w:val="00FB6820"/>
    <w:rsid w:val="00FB6B78"/>
    <w:rsid w:val="00FB7659"/>
    <w:rsid w:val="00FB7720"/>
    <w:rsid w:val="00FB798C"/>
    <w:rsid w:val="00FB7F1C"/>
    <w:rsid w:val="00FB7F69"/>
    <w:rsid w:val="00FC0382"/>
    <w:rsid w:val="00FC080E"/>
    <w:rsid w:val="00FC0831"/>
    <w:rsid w:val="00FC089B"/>
    <w:rsid w:val="00FC08E0"/>
    <w:rsid w:val="00FC0BD5"/>
    <w:rsid w:val="00FC100C"/>
    <w:rsid w:val="00FC1822"/>
    <w:rsid w:val="00FC1D50"/>
    <w:rsid w:val="00FC1DEF"/>
    <w:rsid w:val="00FC220F"/>
    <w:rsid w:val="00FC2275"/>
    <w:rsid w:val="00FC2B05"/>
    <w:rsid w:val="00FC2CF2"/>
    <w:rsid w:val="00FC30B7"/>
    <w:rsid w:val="00FC332D"/>
    <w:rsid w:val="00FC356D"/>
    <w:rsid w:val="00FC3BB5"/>
    <w:rsid w:val="00FC3CF2"/>
    <w:rsid w:val="00FC3E6E"/>
    <w:rsid w:val="00FC3F3A"/>
    <w:rsid w:val="00FC3FFE"/>
    <w:rsid w:val="00FC4149"/>
    <w:rsid w:val="00FC418E"/>
    <w:rsid w:val="00FC452F"/>
    <w:rsid w:val="00FC45C9"/>
    <w:rsid w:val="00FC4B0A"/>
    <w:rsid w:val="00FC509A"/>
    <w:rsid w:val="00FC56F2"/>
    <w:rsid w:val="00FC5961"/>
    <w:rsid w:val="00FC5985"/>
    <w:rsid w:val="00FC5AB0"/>
    <w:rsid w:val="00FC5E19"/>
    <w:rsid w:val="00FC6679"/>
    <w:rsid w:val="00FC6E03"/>
    <w:rsid w:val="00FC6EB4"/>
    <w:rsid w:val="00FC6F75"/>
    <w:rsid w:val="00FC7077"/>
    <w:rsid w:val="00FC708C"/>
    <w:rsid w:val="00FC7234"/>
    <w:rsid w:val="00FC7267"/>
    <w:rsid w:val="00FC7411"/>
    <w:rsid w:val="00FC771E"/>
    <w:rsid w:val="00FC7A0F"/>
    <w:rsid w:val="00FC7E34"/>
    <w:rsid w:val="00FD0257"/>
    <w:rsid w:val="00FD0EC3"/>
    <w:rsid w:val="00FD1319"/>
    <w:rsid w:val="00FD22FE"/>
    <w:rsid w:val="00FD23DD"/>
    <w:rsid w:val="00FD2419"/>
    <w:rsid w:val="00FD24F0"/>
    <w:rsid w:val="00FD26E1"/>
    <w:rsid w:val="00FD28E5"/>
    <w:rsid w:val="00FD32B4"/>
    <w:rsid w:val="00FD32CF"/>
    <w:rsid w:val="00FD3D64"/>
    <w:rsid w:val="00FD43B2"/>
    <w:rsid w:val="00FD4772"/>
    <w:rsid w:val="00FD518B"/>
    <w:rsid w:val="00FD52FA"/>
    <w:rsid w:val="00FD54F7"/>
    <w:rsid w:val="00FD5701"/>
    <w:rsid w:val="00FD5F78"/>
    <w:rsid w:val="00FD67DB"/>
    <w:rsid w:val="00FD6875"/>
    <w:rsid w:val="00FD697F"/>
    <w:rsid w:val="00FD6C34"/>
    <w:rsid w:val="00FD6E45"/>
    <w:rsid w:val="00FD6F5E"/>
    <w:rsid w:val="00FD7B41"/>
    <w:rsid w:val="00FD7E24"/>
    <w:rsid w:val="00FE0061"/>
    <w:rsid w:val="00FE0198"/>
    <w:rsid w:val="00FE02AF"/>
    <w:rsid w:val="00FE04A6"/>
    <w:rsid w:val="00FE05D7"/>
    <w:rsid w:val="00FE09CA"/>
    <w:rsid w:val="00FE0D0B"/>
    <w:rsid w:val="00FE135E"/>
    <w:rsid w:val="00FE1A54"/>
    <w:rsid w:val="00FE2085"/>
    <w:rsid w:val="00FE23AB"/>
    <w:rsid w:val="00FE23FF"/>
    <w:rsid w:val="00FE291A"/>
    <w:rsid w:val="00FE2C57"/>
    <w:rsid w:val="00FE2D50"/>
    <w:rsid w:val="00FE2F48"/>
    <w:rsid w:val="00FE30FB"/>
    <w:rsid w:val="00FE386A"/>
    <w:rsid w:val="00FE395A"/>
    <w:rsid w:val="00FE3FEE"/>
    <w:rsid w:val="00FE4211"/>
    <w:rsid w:val="00FE42EB"/>
    <w:rsid w:val="00FE459D"/>
    <w:rsid w:val="00FE4764"/>
    <w:rsid w:val="00FE4BE8"/>
    <w:rsid w:val="00FE4F54"/>
    <w:rsid w:val="00FE5C93"/>
    <w:rsid w:val="00FE664C"/>
    <w:rsid w:val="00FE67F6"/>
    <w:rsid w:val="00FE6C77"/>
    <w:rsid w:val="00FE6D28"/>
    <w:rsid w:val="00FE6E3C"/>
    <w:rsid w:val="00FE6EC1"/>
    <w:rsid w:val="00FE7622"/>
    <w:rsid w:val="00FE7668"/>
    <w:rsid w:val="00FE77A4"/>
    <w:rsid w:val="00FE7A4A"/>
    <w:rsid w:val="00FE7CB0"/>
    <w:rsid w:val="00FE7EBB"/>
    <w:rsid w:val="00FF08DA"/>
    <w:rsid w:val="00FF0A4F"/>
    <w:rsid w:val="00FF0F5A"/>
    <w:rsid w:val="00FF101C"/>
    <w:rsid w:val="00FF126C"/>
    <w:rsid w:val="00FF1435"/>
    <w:rsid w:val="00FF16CA"/>
    <w:rsid w:val="00FF175C"/>
    <w:rsid w:val="00FF1A57"/>
    <w:rsid w:val="00FF20E8"/>
    <w:rsid w:val="00FF212C"/>
    <w:rsid w:val="00FF2356"/>
    <w:rsid w:val="00FF2ED0"/>
    <w:rsid w:val="00FF38AF"/>
    <w:rsid w:val="00FF3B2C"/>
    <w:rsid w:val="00FF3CF2"/>
    <w:rsid w:val="00FF3E17"/>
    <w:rsid w:val="00FF3FF8"/>
    <w:rsid w:val="00FF40A1"/>
    <w:rsid w:val="00FF40D8"/>
    <w:rsid w:val="00FF42A4"/>
    <w:rsid w:val="00FF4E30"/>
    <w:rsid w:val="00FF4E57"/>
    <w:rsid w:val="00FF4EC2"/>
    <w:rsid w:val="00FF4EEF"/>
    <w:rsid w:val="00FF56CA"/>
    <w:rsid w:val="00FF56FD"/>
    <w:rsid w:val="00FF61CA"/>
    <w:rsid w:val="00FF6261"/>
    <w:rsid w:val="00FF656C"/>
    <w:rsid w:val="00FF6993"/>
    <w:rsid w:val="00FF6AEA"/>
    <w:rsid w:val="00FF77FE"/>
    <w:rsid w:val="00FF7BA0"/>
    <w:rsid w:val="00FF7EB5"/>
    <w:rsid w:val="0102785F"/>
    <w:rsid w:val="015C51B0"/>
    <w:rsid w:val="015E4057"/>
    <w:rsid w:val="017F2866"/>
    <w:rsid w:val="02164638"/>
    <w:rsid w:val="023A68A7"/>
    <w:rsid w:val="025A0C4E"/>
    <w:rsid w:val="02DD397B"/>
    <w:rsid w:val="02DE220D"/>
    <w:rsid w:val="02F228B9"/>
    <w:rsid w:val="030205AD"/>
    <w:rsid w:val="033216A3"/>
    <w:rsid w:val="035248F5"/>
    <w:rsid w:val="03C74D45"/>
    <w:rsid w:val="03C840CA"/>
    <w:rsid w:val="03DC147B"/>
    <w:rsid w:val="043B7484"/>
    <w:rsid w:val="0476579C"/>
    <w:rsid w:val="04885744"/>
    <w:rsid w:val="04966F83"/>
    <w:rsid w:val="04AE7FF3"/>
    <w:rsid w:val="04EB7AFD"/>
    <w:rsid w:val="05337B98"/>
    <w:rsid w:val="05783165"/>
    <w:rsid w:val="0621436E"/>
    <w:rsid w:val="0622121B"/>
    <w:rsid w:val="064E1AA3"/>
    <w:rsid w:val="067232EB"/>
    <w:rsid w:val="06A81D32"/>
    <w:rsid w:val="06AA5C09"/>
    <w:rsid w:val="072709DB"/>
    <w:rsid w:val="073E0944"/>
    <w:rsid w:val="074F071A"/>
    <w:rsid w:val="075B0E9C"/>
    <w:rsid w:val="077B2791"/>
    <w:rsid w:val="07C3436B"/>
    <w:rsid w:val="07E15E14"/>
    <w:rsid w:val="083D3AEE"/>
    <w:rsid w:val="084B7B90"/>
    <w:rsid w:val="084C16F4"/>
    <w:rsid w:val="089770E5"/>
    <w:rsid w:val="09161717"/>
    <w:rsid w:val="09240BDE"/>
    <w:rsid w:val="09483451"/>
    <w:rsid w:val="099A3158"/>
    <w:rsid w:val="09B926AE"/>
    <w:rsid w:val="09D814BA"/>
    <w:rsid w:val="09D91416"/>
    <w:rsid w:val="09DF2821"/>
    <w:rsid w:val="0A0421B4"/>
    <w:rsid w:val="0A0F6B52"/>
    <w:rsid w:val="0A5A06F1"/>
    <w:rsid w:val="0A6D0D97"/>
    <w:rsid w:val="0A996EF1"/>
    <w:rsid w:val="0AD2644A"/>
    <w:rsid w:val="0B690AF6"/>
    <w:rsid w:val="0B9B5220"/>
    <w:rsid w:val="0BAD43A7"/>
    <w:rsid w:val="0BBA5383"/>
    <w:rsid w:val="0BF26CD4"/>
    <w:rsid w:val="0C046ABA"/>
    <w:rsid w:val="0C721473"/>
    <w:rsid w:val="0C7B43B2"/>
    <w:rsid w:val="0CE049C8"/>
    <w:rsid w:val="0D8E6B2F"/>
    <w:rsid w:val="0DC46026"/>
    <w:rsid w:val="0DDF570F"/>
    <w:rsid w:val="0DE45CC0"/>
    <w:rsid w:val="0E007F83"/>
    <w:rsid w:val="0E223827"/>
    <w:rsid w:val="0E266E30"/>
    <w:rsid w:val="0F360065"/>
    <w:rsid w:val="0F4A5082"/>
    <w:rsid w:val="0F734E20"/>
    <w:rsid w:val="0F774780"/>
    <w:rsid w:val="0FCA1C79"/>
    <w:rsid w:val="0FFF1AD6"/>
    <w:rsid w:val="104B595C"/>
    <w:rsid w:val="106F6C22"/>
    <w:rsid w:val="107D1444"/>
    <w:rsid w:val="10B24A41"/>
    <w:rsid w:val="10F61427"/>
    <w:rsid w:val="10F76568"/>
    <w:rsid w:val="11093E5B"/>
    <w:rsid w:val="1116111E"/>
    <w:rsid w:val="119A2D70"/>
    <w:rsid w:val="11E17A35"/>
    <w:rsid w:val="1222433F"/>
    <w:rsid w:val="127B26B4"/>
    <w:rsid w:val="12F06777"/>
    <w:rsid w:val="13355D11"/>
    <w:rsid w:val="13391B01"/>
    <w:rsid w:val="13A2023A"/>
    <w:rsid w:val="13A32E5A"/>
    <w:rsid w:val="141A1E86"/>
    <w:rsid w:val="149555E0"/>
    <w:rsid w:val="14C44987"/>
    <w:rsid w:val="14EC4A29"/>
    <w:rsid w:val="14F74B27"/>
    <w:rsid w:val="14F770D2"/>
    <w:rsid w:val="15162F2F"/>
    <w:rsid w:val="152766F2"/>
    <w:rsid w:val="15CA699E"/>
    <w:rsid w:val="15F0108A"/>
    <w:rsid w:val="16172514"/>
    <w:rsid w:val="161A64E6"/>
    <w:rsid w:val="16615D42"/>
    <w:rsid w:val="16FC471D"/>
    <w:rsid w:val="177600DA"/>
    <w:rsid w:val="1879170F"/>
    <w:rsid w:val="191849CE"/>
    <w:rsid w:val="19184DE3"/>
    <w:rsid w:val="1929001D"/>
    <w:rsid w:val="19626492"/>
    <w:rsid w:val="1977290B"/>
    <w:rsid w:val="19BB0078"/>
    <w:rsid w:val="19C07B9A"/>
    <w:rsid w:val="19E570DF"/>
    <w:rsid w:val="1A041FF4"/>
    <w:rsid w:val="1AC16E5C"/>
    <w:rsid w:val="1AE933B2"/>
    <w:rsid w:val="1B055427"/>
    <w:rsid w:val="1B4777B0"/>
    <w:rsid w:val="1B7113BB"/>
    <w:rsid w:val="1B9A56D8"/>
    <w:rsid w:val="1BB456C1"/>
    <w:rsid w:val="1BCB39F5"/>
    <w:rsid w:val="1C322549"/>
    <w:rsid w:val="1CDA46D7"/>
    <w:rsid w:val="1DEB1D7B"/>
    <w:rsid w:val="1E2B1393"/>
    <w:rsid w:val="1E5D074E"/>
    <w:rsid w:val="1EAD6375"/>
    <w:rsid w:val="1EB17D57"/>
    <w:rsid w:val="1EFD3381"/>
    <w:rsid w:val="1F06408E"/>
    <w:rsid w:val="1F3A3720"/>
    <w:rsid w:val="1F726F15"/>
    <w:rsid w:val="1F8E6C00"/>
    <w:rsid w:val="1FAD6FE1"/>
    <w:rsid w:val="1FAF2B4A"/>
    <w:rsid w:val="1FAF543E"/>
    <w:rsid w:val="1FED5E2A"/>
    <w:rsid w:val="200C1907"/>
    <w:rsid w:val="203C0FAD"/>
    <w:rsid w:val="203E632E"/>
    <w:rsid w:val="204D1672"/>
    <w:rsid w:val="20626E1D"/>
    <w:rsid w:val="20911E4B"/>
    <w:rsid w:val="20B06B05"/>
    <w:rsid w:val="20B077D7"/>
    <w:rsid w:val="20E23692"/>
    <w:rsid w:val="20F07F26"/>
    <w:rsid w:val="210149D0"/>
    <w:rsid w:val="21E054F3"/>
    <w:rsid w:val="21ED65CA"/>
    <w:rsid w:val="21EF3116"/>
    <w:rsid w:val="220025DB"/>
    <w:rsid w:val="22517588"/>
    <w:rsid w:val="22604ECC"/>
    <w:rsid w:val="22BD09AD"/>
    <w:rsid w:val="22E17FCA"/>
    <w:rsid w:val="23192558"/>
    <w:rsid w:val="2337092E"/>
    <w:rsid w:val="23D52087"/>
    <w:rsid w:val="2440187A"/>
    <w:rsid w:val="246339E2"/>
    <w:rsid w:val="246B208C"/>
    <w:rsid w:val="24893679"/>
    <w:rsid w:val="24B6727E"/>
    <w:rsid w:val="250D389E"/>
    <w:rsid w:val="25193598"/>
    <w:rsid w:val="252C2BB2"/>
    <w:rsid w:val="254213DD"/>
    <w:rsid w:val="2547234D"/>
    <w:rsid w:val="25585345"/>
    <w:rsid w:val="256720B4"/>
    <w:rsid w:val="25A14F8F"/>
    <w:rsid w:val="25AD05F5"/>
    <w:rsid w:val="25BB7061"/>
    <w:rsid w:val="260D71FF"/>
    <w:rsid w:val="264D62B2"/>
    <w:rsid w:val="267378C5"/>
    <w:rsid w:val="26996F83"/>
    <w:rsid w:val="26C97AB4"/>
    <w:rsid w:val="26F2331F"/>
    <w:rsid w:val="26F24035"/>
    <w:rsid w:val="2727033C"/>
    <w:rsid w:val="273A0C2C"/>
    <w:rsid w:val="27D34F56"/>
    <w:rsid w:val="27FB7270"/>
    <w:rsid w:val="281B50C4"/>
    <w:rsid w:val="283A0646"/>
    <w:rsid w:val="28592014"/>
    <w:rsid w:val="286E4761"/>
    <w:rsid w:val="28AD4280"/>
    <w:rsid w:val="28C6445C"/>
    <w:rsid w:val="290F5EDF"/>
    <w:rsid w:val="299A6EC0"/>
    <w:rsid w:val="29AD2901"/>
    <w:rsid w:val="29BD5145"/>
    <w:rsid w:val="2A130FAB"/>
    <w:rsid w:val="2A6266D4"/>
    <w:rsid w:val="2B0940CD"/>
    <w:rsid w:val="2B1C57D9"/>
    <w:rsid w:val="2B525087"/>
    <w:rsid w:val="2B572764"/>
    <w:rsid w:val="2B936A23"/>
    <w:rsid w:val="2BA61781"/>
    <w:rsid w:val="2BC03FE4"/>
    <w:rsid w:val="2BDA7ADF"/>
    <w:rsid w:val="2BFB5EE4"/>
    <w:rsid w:val="2C1304F8"/>
    <w:rsid w:val="2C405BA2"/>
    <w:rsid w:val="2C5855D1"/>
    <w:rsid w:val="2CC3151C"/>
    <w:rsid w:val="2D308165"/>
    <w:rsid w:val="2DA4508A"/>
    <w:rsid w:val="2E542454"/>
    <w:rsid w:val="2EAE4C15"/>
    <w:rsid w:val="2EC831B0"/>
    <w:rsid w:val="2EF57F23"/>
    <w:rsid w:val="2F684951"/>
    <w:rsid w:val="2F881A53"/>
    <w:rsid w:val="2FBF94F4"/>
    <w:rsid w:val="2FD32B8B"/>
    <w:rsid w:val="2FD52FAB"/>
    <w:rsid w:val="303512DA"/>
    <w:rsid w:val="30787AA1"/>
    <w:rsid w:val="30CC3412"/>
    <w:rsid w:val="31072A25"/>
    <w:rsid w:val="317E186B"/>
    <w:rsid w:val="319D9EB7"/>
    <w:rsid w:val="31A50709"/>
    <w:rsid w:val="31E42C7F"/>
    <w:rsid w:val="321428EC"/>
    <w:rsid w:val="321447E5"/>
    <w:rsid w:val="323E2973"/>
    <w:rsid w:val="326F3E4D"/>
    <w:rsid w:val="327C69F6"/>
    <w:rsid w:val="32CC36D9"/>
    <w:rsid w:val="32F005B3"/>
    <w:rsid w:val="333545D6"/>
    <w:rsid w:val="33796113"/>
    <w:rsid w:val="34096BF2"/>
    <w:rsid w:val="34C171DA"/>
    <w:rsid w:val="355B3B9C"/>
    <w:rsid w:val="357A67AB"/>
    <w:rsid w:val="360C6AB4"/>
    <w:rsid w:val="3660456B"/>
    <w:rsid w:val="36861F01"/>
    <w:rsid w:val="37383600"/>
    <w:rsid w:val="37703759"/>
    <w:rsid w:val="377141F6"/>
    <w:rsid w:val="37900A64"/>
    <w:rsid w:val="37BF121D"/>
    <w:rsid w:val="37C12B59"/>
    <w:rsid w:val="37CF7B16"/>
    <w:rsid w:val="38183E62"/>
    <w:rsid w:val="38343A5F"/>
    <w:rsid w:val="385653BB"/>
    <w:rsid w:val="38681F23"/>
    <w:rsid w:val="38993566"/>
    <w:rsid w:val="389C60F9"/>
    <w:rsid w:val="38DF288A"/>
    <w:rsid w:val="39C70305"/>
    <w:rsid w:val="3A6E42EB"/>
    <w:rsid w:val="3A905131"/>
    <w:rsid w:val="3AC62317"/>
    <w:rsid w:val="3AFA5CF0"/>
    <w:rsid w:val="3B2F1AAF"/>
    <w:rsid w:val="3B4E3CEF"/>
    <w:rsid w:val="3B753A91"/>
    <w:rsid w:val="3B98461E"/>
    <w:rsid w:val="3BBA46B0"/>
    <w:rsid w:val="3BBF3C34"/>
    <w:rsid w:val="3CA550F0"/>
    <w:rsid w:val="3CAD27B5"/>
    <w:rsid w:val="3CBE615E"/>
    <w:rsid w:val="3D3919F2"/>
    <w:rsid w:val="3D854B15"/>
    <w:rsid w:val="3D8D2A51"/>
    <w:rsid w:val="3DA9407B"/>
    <w:rsid w:val="3DF750D3"/>
    <w:rsid w:val="3E3820A9"/>
    <w:rsid w:val="3E5F3CC5"/>
    <w:rsid w:val="3E712BD9"/>
    <w:rsid w:val="3E775EBE"/>
    <w:rsid w:val="3EA904D7"/>
    <w:rsid w:val="3EB80E6A"/>
    <w:rsid w:val="3F7F74E6"/>
    <w:rsid w:val="3F8E7266"/>
    <w:rsid w:val="3FBFB20C"/>
    <w:rsid w:val="3FEF30F3"/>
    <w:rsid w:val="3FF7B0C4"/>
    <w:rsid w:val="3FFF7D44"/>
    <w:rsid w:val="40077C57"/>
    <w:rsid w:val="403F2AC1"/>
    <w:rsid w:val="406C19B7"/>
    <w:rsid w:val="40F0472C"/>
    <w:rsid w:val="41117CDB"/>
    <w:rsid w:val="41193B9B"/>
    <w:rsid w:val="414B214C"/>
    <w:rsid w:val="418D1FFD"/>
    <w:rsid w:val="41AC2A39"/>
    <w:rsid w:val="42142A5B"/>
    <w:rsid w:val="42DA360A"/>
    <w:rsid w:val="42FF7978"/>
    <w:rsid w:val="44DD5296"/>
    <w:rsid w:val="451A4EF8"/>
    <w:rsid w:val="453654EA"/>
    <w:rsid w:val="457972C4"/>
    <w:rsid w:val="45B04DA7"/>
    <w:rsid w:val="45D04EE4"/>
    <w:rsid w:val="45D57328"/>
    <w:rsid w:val="45D861B4"/>
    <w:rsid w:val="460A2A21"/>
    <w:rsid w:val="46553857"/>
    <w:rsid w:val="467350BF"/>
    <w:rsid w:val="469E2A90"/>
    <w:rsid w:val="46DD7135"/>
    <w:rsid w:val="46F66CD1"/>
    <w:rsid w:val="473F1ABE"/>
    <w:rsid w:val="47A14F1A"/>
    <w:rsid w:val="47AE71C0"/>
    <w:rsid w:val="47B94366"/>
    <w:rsid w:val="47C53D63"/>
    <w:rsid w:val="49507B47"/>
    <w:rsid w:val="496F55F0"/>
    <w:rsid w:val="499C404B"/>
    <w:rsid w:val="49FE3D46"/>
    <w:rsid w:val="4B70289C"/>
    <w:rsid w:val="4B77389F"/>
    <w:rsid w:val="4B7C330A"/>
    <w:rsid w:val="4BAF3185"/>
    <w:rsid w:val="4BB0155C"/>
    <w:rsid w:val="4BF56AC8"/>
    <w:rsid w:val="4CF273EC"/>
    <w:rsid w:val="4D5E5983"/>
    <w:rsid w:val="4D8D71A5"/>
    <w:rsid w:val="4E13796B"/>
    <w:rsid w:val="4E21235F"/>
    <w:rsid w:val="4E3B27C9"/>
    <w:rsid w:val="4E4661E6"/>
    <w:rsid w:val="4EAD162A"/>
    <w:rsid w:val="4EF32CF2"/>
    <w:rsid w:val="4EFD5223"/>
    <w:rsid w:val="4F027D6B"/>
    <w:rsid w:val="4F4F5199"/>
    <w:rsid w:val="4FCE6712"/>
    <w:rsid w:val="50897101"/>
    <w:rsid w:val="50EF1EA9"/>
    <w:rsid w:val="50F32D1F"/>
    <w:rsid w:val="50FF360E"/>
    <w:rsid w:val="5116608B"/>
    <w:rsid w:val="513258B7"/>
    <w:rsid w:val="520423EB"/>
    <w:rsid w:val="52306252"/>
    <w:rsid w:val="52376565"/>
    <w:rsid w:val="524918EE"/>
    <w:rsid w:val="52806093"/>
    <w:rsid w:val="528F733F"/>
    <w:rsid w:val="52E55C73"/>
    <w:rsid w:val="52EE779D"/>
    <w:rsid w:val="52F57084"/>
    <w:rsid w:val="5337302B"/>
    <w:rsid w:val="53376E7F"/>
    <w:rsid w:val="536E041F"/>
    <w:rsid w:val="538066AC"/>
    <w:rsid w:val="538403F6"/>
    <w:rsid w:val="53A055E9"/>
    <w:rsid w:val="53B14F71"/>
    <w:rsid w:val="53B52AC4"/>
    <w:rsid w:val="53D3184C"/>
    <w:rsid w:val="54062606"/>
    <w:rsid w:val="545A2C4F"/>
    <w:rsid w:val="54766564"/>
    <w:rsid w:val="54773FBE"/>
    <w:rsid w:val="54A84ADA"/>
    <w:rsid w:val="5551117B"/>
    <w:rsid w:val="55840BEE"/>
    <w:rsid w:val="55920D6B"/>
    <w:rsid w:val="559831FC"/>
    <w:rsid w:val="560D7FCF"/>
    <w:rsid w:val="570F02E7"/>
    <w:rsid w:val="57185219"/>
    <w:rsid w:val="57415D26"/>
    <w:rsid w:val="57725106"/>
    <w:rsid w:val="57E532ED"/>
    <w:rsid w:val="57FB9703"/>
    <w:rsid w:val="5822408B"/>
    <w:rsid w:val="58564869"/>
    <w:rsid w:val="587F7FAD"/>
    <w:rsid w:val="58963947"/>
    <w:rsid w:val="58F13ABB"/>
    <w:rsid w:val="5916083F"/>
    <w:rsid w:val="591B15FC"/>
    <w:rsid w:val="592B6026"/>
    <w:rsid w:val="59310641"/>
    <w:rsid w:val="593F077C"/>
    <w:rsid w:val="5984058E"/>
    <w:rsid w:val="599863C5"/>
    <w:rsid w:val="599A5B19"/>
    <w:rsid w:val="5A0646C8"/>
    <w:rsid w:val="5A0F5F31"/>
    <w:rsid w:val="5A3D13BE"/>
    <w:rsid w:val="5A597944"/>
    <w:rsid w:val="5A642D9E"/>
    <w:rsid w:val="5AF00318"/>
    <w:rsid w:val="5B003269"/>
    <w:rsid w:val="5B3A350F"/>
    <w:rsid w:val="5B4167B2"/>
    <w:rsid w:val="5B821BC2"/>
    <w:rsid w:val="5BB46DAF"/>
    <w:rsid w:val="5BF5208B"/>
    <w:rsid w:val="5C822B6A"/>
    <w:rsid w:val="5D347AB0"/>
    <w:rsid w:val="5D4638AE"/>
    <w:rsid w:val="5D593D0C"/>
    <w:rsid w:val="5D6E500E"/>
    <w:rsid w:val="5D7F3900"/>
    <w:rsid w:val="5DF65E4B"/>
    <w:rsid w:val="5DFD2259"/>
    <w:rsid w:val="5E1810E0"/>
    <w:rsid w:val="5E5021D1"/>
    <w:rsid w:val="5E752CE5"/>
    <w:rsid w:val="5E970FFF"/>
    <w:rsid w:val="5F7D30CB"/>
    <w:rsid w:val="5F847C6B"/>
    <w:rsid w:val="5FC82C64"/>
    <w:rsid w:val="5FD00C0C"/>
    <w:rsid w:val="60117E29"/>
    <w:rsid w:val="60262AEE"/>
    <w:rsid w:val="60280E6B"/>
    <w:rsid w:val="605926DB"/>
    <w:rsid w:val="61865CF1"/>
    <w:rsid w:val="61AB47C9"/>
    <w:rsid w:val="61BF60DD"/>
    <w:rsid w:val="61DF1840"/>
    <w:rsid w:val="620A4C71"/>
    <w:rsid w:val="623D0D8D"/>
    <w:rsid w:val="62DB48FC"/>
    <w:rsid w:val="62F82F7B"/>
    <w:rsid w:val="62F9590A"/>
    <w:rsid w:val="631979ED"/>
    <w:rsid w:val="632A4433"/>
    <w:rsid w:val="63344C0C"/>
    <w:rsid w:val="637A6B7E"/>
    <w:rsid w:val="63FF4ED5"/>
    <w:rsid w:val="64DE5B06"/>
    <w:rsid w:val="65BD39A6"/>
    <w:rsid w:val="65DF81FA"/>
    <w:rsid w:val="660C3233"/>
    <w:rsid w:val="667C0269"/>
    <w:rsid w:val="66993BCC"/>
    <w:rsid w:val="66A64E26"/>
    <w:rsid w:val="679D51D0"/>
    <w:rsid w:val="67CDBB27"/>
    <w:rsid w:val="67DA7732"/>
    <w:rsid w:val="67EE41B0"/>
    <w:rsid w:val="67EF164D"/>
    <w:rsid w:val="68A1508F"/>
    <w:rsid w:val="696A48E0"/>
    <w:rsid w:val="69E7711D"/>
    <w:rsid w:val="69FE3C7D"/>
    <w:rsid w:val="6A082BD6"/>
    <w:rsid w:val="6A6E0AA2"/>
    <w:rsid w:val="6ABA2C79"/>
    <w:rsid w:val="6AD349EE"/>
    <w:rsid w:val="6AE8209C"/>
    <w:rsid w:val="6B077DA8"/>
    <w:rsid w:val="6B3FEC0F"/>
    <w:rsid w:val="6B7976B1"/>
    <w:rsid w:val="6B9410E0"/>
    <w:rsid w:val="6BB71633"/>
    <w:rsid w:val="6BBC4A9F"/>
    <w:rsid w:val="6BCD7279"/>
    <w:rsid w:val="6BD42C60"/>
    <w:rsid w:val="6BE21F3E"/>
    <w:rsid w:val="6BEDAB2C"/>
    <w:rsid w:val="6C380F2E"/>
    <w:rsid w:val="6CDB5F1E"/>
    <w:rsid w:val="6DBF4C2B"/>
    <w:rsid w:val="6DC070E2"/>
    <w:rsid w:val="6DD47E92"/>
    <w:rsid w:val="6DDC12C2"/>
    <w:rsid w:val="6DEC6829"/>
    <w:rsid w:val="6E35676A"/>
    <w:rsid w:val="6E39120F"/>
    <w:rsid w:val="6E744EFC"/>
    <w:rsid w:val="6EA63E31"/>
    <w:rsid w:val="6EC942AF"/>
    <w:rsid w:val="6EE17A21"/>
    <w:rsid w:val="6EFFEDB1"/>
    <w:rsid w:val="6F5F2D71"/>
    <w:rsid w:val="6F8F354E"/>
    <w:rsid w:val="6FEF6DFD"/>
    <w:rsid w:val="6FF86712"/>
    <w:rsid w:val="705C32F7"/>
    <w:rsid w:val="70BB3983"/>
    <w:rsid w:val="70CD73DC"/>
    <w:rsid w:val="70E60BE0"/>
    <w:rsid w:val="7139316B"/>
    <w:rsid w:val="716C63E0"/>
    <w:rsid w:val="724B58AB"/>
    <w:rsid w:val="728564F7"/>
    <w:rsid w:val="72AF6C04"/>
    <w:rsid w:val="731D011C"/>
    <w:rsid w:val="73292777"/>
    <w:rsid w:val="734C62A9"/>
    <w:rsid w:val="73811D4E"/>
    <w:rsid w:val="739923C3"/>
    <w:rsid w:val="73DB0363"/>
    <w:rsid w:val="74577492"/>
    <w:rsid w:val="74CE056F"/>
    <w:rsid w:val="74D56A89"/>
    <w:rsid w:val="75154CD2"/>
    <w:rsid w:val="75805161"/>
    <w:rsid w:val="75EC5C39"/>
    <w:rsid w:val="76A37FAB"/>
    <w:rsid w:val="76D919E3"/>
    <w:rsid w:val="770E517F"/>
    <w:rsid w:val="775C14A0"/>
    <w:rsid w:val="776103F0"/>
    <w:rsid w:val="77636C4B"/>
    <w:rsid w:val="77A27878"/>
    <w:rsid w:val="77E0164A"/>
    <w:rsid w:val="77EA3A34"/>
    <w:rsid w:val="78526BC5"/>
    <w:rsid w:val="78926905"/>
    <w:rsid w:val="79367E03"/>
    <w:rsid w:val="7A2E6B5F"/>
    <w:rsid w:val="7A3F0F25"/>
    <w:rsid w:val="7A7E9385"/>
    <w:rsid w:val="7AC629C5"/>
    <w:rsid w:val="7ADE1130"/>
    <w:rsid w:val="7B604851"/>
    <w:rsid w:val="7B7A434E"/>
    <w:rsid w:val="7BC1280E"/>
    <w:rsid w:val="7BE7B9E8"/>
    <w:rsid w:val="7C717E8D"/>
    <w:rsid w:val="7C930151"/>
    <w:rsid w:val="7C9A782B"/>
    <w:rsid w:val="7CDA7F18"/>
    <w:rsid w:val="7D08594E"/>
    <w:rsid w:val="7D295D99"/>
    <w:rsid w:val="7D5F3BC4"/>
    <w:rsid w:val="7D9C6A0D"/>
    <w:rsid w:val="7DB7A23C"/>
    <w:rsid w:val="7DDF403B"/>
    <w:rsid w:val="7DE74A33"/>
    <w:rsid w:val="7E3B4DCD"/>
    <w:rsid w:val="7EFF168F"/>
    <w:rsid w:val="7EFF545C"/>
    <w:rsid w:val="7F1D7917"/>
    <w:rsid w:val="7F3D2ED0"/>
    <w:rsid w:val="7F5A5803"/>
    <w:rsid w:val="7F5E2C64"/>
    <w:rsid w:val="7F833A65"/>
    <w:rsid w:val="7F9E88B6"/>
    <w:rsid w:val="7FA70813"/>
    <w:rsid w:val="7FB43C77"/>
    <w:rsid w:val="7FCB191D"/>
    <w:rsid w:val="7FE03E78"/>
    <w:rsid w:val="7FFC5701"/>
    <w:rsid w:val="7FFFC893"/>
    <w:rsid w:val="83FEF17A"/>
    <w:rsid w:val="85BE2F0F"/>
    <w:rsid w:val="9FF75778"/>
    <w:rsid w:val="9FFE19E7"/>
    <w:rsid w:val="A2F61ABD"/>
    <w:rsid w:val="ABEA1AE1"/>
    <w:rsid w:val="BADF456F"/>
    <w:rsid w:val="BBDFE790"/>
    <w:rsid w:val="BF7F4A7A"/>
    <w:rsid w:val="BFE881B1"/>
    <w:rsid w:val="BFFE3DAB"/>
    <w:rsid w:val="CC5F6429"/>
    <w:rsid w:val="D3FB9306"/>
    <w:rsid w:val="DBAC6E71"/>
    <w:rsid w:val="DDBE7340"/>
    <w:rsid w:val="DEEEA119"/>
    <w:rsid w:val="DF1FECE5"/>
    <w:rsid w:val="DF33D17D"/>
    <w:rsid w:val="DF5F831C"/>
    <w:rsid w:val="DFDF7113"/>
    <w:rsid w:val="DFFA1F8D"/>
    <w:rsid w:val="DFFF5FB9"/>
    <w:rsid w:val="EBE2BCBC"/>
    <w:rsid w:val="EDF315CF"/>
    <w:rsid w:val="EE7FB211"/>
    <w:rsid w:val="F77F91AF"/>
    <w:rsid w:val="F77FE938"/>
    <w:rsid w:val="F7CE3396"/>
    <w:rsid w:val="F9F0D893"/>
    <w:rsid w:val="FADA1778"/>
    <w:rsid w:val="FBAAC025"/>
    <w:rsid w:val="FDFFCBA9"/>
    <w:rsid w:val="FF078C15"/>
    <w:rsid w:val="FF3AA7AE"/>
    <w:rsid w:val="FF5F9BB2"/>
    <w:rsid w:val="FF9B8EE1"/>
    <w:rsid w:val="FFB9A64E"/>
    <w:rsid w:val="FFEDA1D2"/>
    <w:rsid w:val="FFF51ED0"/>
    <w:rsid w:val="FFFB9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78"/>
    <w:qFormat/>
    <w:uiPriority w:val="0"/>
    <w:pPr>
      <w:keepNext/>
      <w:keepLines/>
      <w:spacing w:before="340" w:after="330" w:line="578" w:lineRule="auto"/>
      <w:jc w:val="left"/>
      <w:outlineLvl w:val="0"/>
    </w:pPr>
    <w:rPr>
      <w:b/>
      <w:bCs/>
      <w:kern w:val="44"/>
      <w:sz w:val="30"/>
      <w:szCs w:val="44"/>
    </w:rPr>
  </w:style>
  <w:style w:type="paragraph" w:styleId="5">
    <w:name w:val="heading 2"/>
    <w:basedOn w:val="1"/>
    <w:next w:val="1"/>
    <w:qFormat/>
    <w:uiPriority w:val="0"/>
    <w:pPr>
      <w:keepNext/>
      <w:spacing w:line="360" w:lineRule="auto"/>
      <w:outlineLvl w:val="1"/>
    </w:pPr>
    <w:rPr>
      <w:sz w:val="28"/>
      <w:szCs w:val="20"/>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40">
    <w:name w:val="Default Paragraph Font"/>
    <w:unhideWhenUsed/>
    <w:qFormat/>
    <w:uiPriority w:val="1"/>
  </w:style>
  <w:style w:type="table" w:default="1" w:styleId="3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link w:val="81"/>
    <w:qFormat/>
    <w:uiPriority w:val="0"/>
    <w:pPr>
      <w:ind w:firstLine="420" w:firstLineChars="200"/>
    </w:pPr>
  </w:style>
  <w:style w:type="paragraph" w:styleId="3">
    <w:name w:val="Body Text Indent"/>
    <w:basedOn w:val="1"/>
    <w:link w:val="80"/>
    <w:qFormat/>
    <w:uiPriority w:val="0"/>
    <w:pPr>
      <w:spacing w:after="120"/>
      <w:ind w:left="420" w:leftChars="200"/>
    </w:pPr>
    <w:rPr>
      <w:rFonts w:ascii="宋体" w:hAnsi="宋体"/>
      <w:sz w:val="28"/>
      <w:szCs w:val="24"/>
    </w:rPr>
  </w:style>
  <w:style w:type="paragraph" w:styleId="8">
    <w:name w:val="toc 7"/>
    <w:basedOn w:val="1"/>
    <w:next w:val="1"/>
    <w:qFormat/>
    <w:uiPriority w:val="0"/>
    <w:pPr>
      <w:ind w:left="1680"/>
      <w:jc w:val="left"/>
    </w:pPr>
    <w:rPr>
      <w:sz w:val="18"/>
      <w:szCs w:val="18"/>
    </w:rPr>
  </w:style>
  <w:style w:type="paragraph" w:styleId="9">
    <w:name w:val="Normal Indent"/>
    <w:basedOn w:val="1"/>
    <w:link w:val="48"/>
    <w:qFormat/>
    <w:uiPriority w:val="0"/>
    <w:rPr>
      <w:sz w:val="28"/>
      <w:szCs w:val="20"/>
    </w:rPr>
  </w:style>
  <w:style w:type="paragraph" w:styleId="10">
    <w:name w:val="Document Map"/>
    <w:basedOn w:val="1"/>
    <w:qFormat/>
    <w:uiPriority w:val="0"/>
    <w:pPr>
      <w:shd w:val="clear" w:color="auto" w:fill="000080"/>
    </w:pPr>
    <w:rPr>
      <w:sz w:val="28"/>
      <w:szCs w:val="20"/>
    </w:rPr>
  </w:style>
  <w:style w:type="paragraph" w:styleId="11">
    <w:name w:val="annotation text"/>
    <w:basedOn w:val="1"/>
    <w:link w:val="55"/>
    <w:qFormat/>
    <w:uiPriority w:val="0"/>
    <w:pPr>
      <w:jc w:val="left"/>
    </w:pPr>
    <w:rPr>
      <w:sz w:val="28"/>
      <w:szCs w:val="20"/>
    </w:rPr>
  </w:style>
  <w:style w:type="paragraph" w:styleId="12">
    <w:name w:val="Body Text 3"/>
    <w:basedOn w:val="1"/>
    <w:qFormat/>
    <w:uiPriority w:val="0"/>
    <w:pPr>
      <w:spacing w:after="120"/>
    </w:pPr>
    <w:rPr>
      <w:sz w:val="16"/>
      <w:szCs w:val="16"/>
    </w:rPr>
  </w:style>
  <w:style w:type="paragraph" w:styleId="13">
    <w:name w:val="Body Text"/>
    <w:basedOn w:val="1"/>
    <w:link w:val="51"/>
    <w:qFormat/>
    <w:uiPriority w:val="0"/>
    <w:pPr>
      <w:spacing w:after="120"/>
    </w:pPr>
    <w:rPr>
      <w:rFonts w:ascii="宋体" w:hAnsi="宋体" w:cs="宋体"/>
      <w:sz w:val="28"/>
      <w:szCs w:val="24"/>
    </w:rPr>
  </w:style>
  <w:style w:type="paragraph" w:styleId="14">
    <w:name w:val="List 2"/>
    <w:basedOn w:val="1"/>
    <w:qFormat/>
    <w:uiPriority w:val="0"/>
    <w:pPr>
      <w:ind w:left="100" w:leftChars="200" w:hanging="200" w:hangingChars="200"/>
    </w:pPr>
    <w:rPr>
      <w:sz w:val="28"/>
      <w:szCs w:val="20"/>
    </w:rPr>
  </w:style>
  <w:style w:type="paragraph" w:styleId="15">
    <w:name w:val="toc 5"/>
    <w:basedOn w:val="1"/>
    <w:next w:val="1"/>
    <w:qFormat/>
    <w:uiPriority w:val="0"/>
    <w:pPr>
      <w:ind w:left="1120"/>
      <w:jc w:val="left"/>
    </w:pPr>
    <w:rPr>
      <w:sz w:val="18"/>
      <w:szCs w:val="18"/>
    </w:rPr>
  </w:style>
  <w:style w:type="paragraph" w:styleId="16">
    <w:name w:val="toc 3"/>
    <w:basedOn w:val="1"/>
    <w:next w:val="1"/>
    <w:qFormat/>
    <w:uiPriority w:val="0"/>
    <w:pPr>
      <w:ind w:left="560"/>
      <w:jc w:val="left"/>
    </w:pPr>
    <w:rPr>
      <w:i/>
      <w:iCs/>
      <w:sz w:val="20"/>
      <w:szCs w:val="20"/>
    </w:rPr>
  </w:style>
  <w:style w:type="paragraph" w:styleId="17">
    <w:name w:val="Plain Text"/>
    <w:basedOn w:val="1"/>
    <w:link w:val="61"/>
    <w:qFormat/>
    <w:uiPriority w:val="0"/>
    <w:rPr>
      <w:rFonts w:ascii="宋体" w:hAnsi="Courier New" w:cs="Courier New"/>
    </w:rPr>
  </w:style>
  <w:style w:type="paragraph" w:styleId="18">
    <w:name w:val="toc 8"/>
    <w:basedOn w:val="1"/>
    <w:next w:val="1"/>
    <w:qFormat/>
    <w:uiPriority w:val="0"/>
    <w:pPr>
      <w:ind w:left="1960"/>
      <w:jc w:val="left"/>
    </w:pPr>
    <w:rPr>
      <w:sz w:val="18"/>
      <w:szCs w:val="18"/>
    </w:rPr>
  </w:style>
  <w:style w:type="paragraph" w:styleId="19">
    <w:name w:val="Date"/>
    <w:basedOn w:val="1"/>
    <w:next w:val="1"/>
    <w:link w:val="68"/>
    <w:qFormat/>
    <w:uiPriority w:val="0"/>
    <w:pPr>
      <w:ind w:left="2500" w:leftChars="2500"/>
    </w:pPr>
    <w:rPr>
      <w:rFonts w:ascii="仿宋_GB2312" w:hAnsi="Courier New" w:eastAsia="仿宋_GB2312"/>
      <w:sz w:val="32"/>
      <w:szCs w:val="20"/>
    </w:rPr>
  </w:style>
  <w:style w:type="paragraph" w:styleId="20">
    <w:name w:val="Body Text Indent 2"/>
    <w:basedOn w:val="1"/>
    <w:qFormat/>
    <w:uiPriority w:val="0"/>
    <w:pPr>
      <w:spacing w:after="120" w:line="480" w:lineRule="auto"/>
      <w:ind w:left="420" w:leftChars="200"/>
    </w:pPr>
    <w:rPr>
      <w:sz w:val="28"/>
      <w:szCs w:val="20"/>
    </w:rPr>
  </w:style>
  <w:style w:type="paragraph" w:styleId="21">
    <w:name w:val="Balloon Text"/>
    <w:basedOn w:val="1"/>
    <w:qFormat/>
    <w:uiPriority w:val="0"/>
    <w:rPr>
      <w:sz w:val="18"/>
      <w:szCs w:val="18"/>
    </w:rPr>
  </w:style>
  <w:style w:type="paragraph" w:styleId="22">
    <w:name w:val="footer"/>
    <w:basedOn w:val="1"/>
    <w:link w:val="74"/>
    <w:qFormat/>
    <w:uiPriority w:val="99"/>
    <w:pPr>
      <w:tabs>
        <w:tab w:val="center" w:pos="4153"/>
        <w:tab w:val="right" w:pos="8306"/>
      </w:tabs>
      <w:snapToGrid w:val="0"/>
      <w:jc w:val="left"/>
    </w:pPr>
    <w:rPr>
      <w:sz w:val="18"/>
      <w:szCs w:val="18"/>
    </w:rPr>
  </w:style>
  <w:style w:type="paragraph" w:styleId="23">
    <w:name w:val="header"/>
    <w:basedOn w:val="1"/>
    <w:link w:val="73"/>
    <w:qFormat/>
    <w:uiPriority w:val="99"/>
    <w:pPr>
      <w:pBdr>
        <w:bottom w:val="single" w:color="auto" w:sz="6" w:space="1"/>
      </w:pBdr>
      <w:tabs>
        <w:tab w:val="center" w:pos="4153"/>
        <w:tab w:val="right" w:pos="8306"/>
      </w:tabs>
      <w:snapToGrid w:val="0"/>
      <w:jc w:val="center"/>
    </w:pPr>
    <w:rPr>
      <w:rFonts w:ascii="宋体" w:hAnsi="宋体" w:cs="宋体"/>
      <w:sz w:val="18"/>
      <w:szCs w:val="18"/>
    </w:rPr>
  </w:style>
  <w:style w:type="paragraph" w:styleId="24">
    <w:name w:val="toc 1"/>
    <w:basedOn w:val="1"/>
    <w:next w:val="1"/>
    <w:qFormat/>
    <w:uiPriority w:val="0"/>
    <w:pPr>
      <w:tabs>
        <w:tab w:val="right" w:leader="dot" w:pos="9000"/>
      </w:tabs>
      <w:adjustRightInd w:val="0"/>
      <w:snapToGrid w:val="0"/>
      <w:jc w:val="center"/>
    </w:pPr>
    <w:rPr>
      <w:bCs/>
      <w:caps/>
      <w:sz w:val="20"/>
      <w:szCs w:val="20"/>
    </w:rPr>
  </w:style>
  <w:style w:type="paragraph" w:styleId="25">
    <w:name w:val="toc 4"/>
    <w:basedOn w:val="1"/>
    <w:next w:val="1"/>
    <w:qFormat/>
    <w:uiPriority w:val="0"/>
    <w:pPr>
      <w:ind w:left="840"/>
      <w:jc w:val="left"/>
    </w:pPr>
    <w:rPr>
      <w:sz w:val="18"/>
      <w:szCs w:val="18"/>
    </w:rPr>
  </w:style>
  <w:style w:type="paragraph" w:styleId="26">
    <w:name w:val="List"/>
    <w:basedOn w:val="1"/>
    <w:qFormat/>
    <w:uiPriority w:val="0"/>
    <w:pPr>
      <w:ind w:left="200" w:hanging="200" w:hangingChars="200"/>
      <w:contextualSpacing/>
    </w:pPr>
    <w:rPr>
      <w:sz w:val="28"/>
      <w:szCs w:val="20"/>
    </w:rPr>
  </w:style>
  <w:style w:type="paragraph" w:styleId="27">
    <w:name w:val="toc 6"/>
    <w:basedOn w:val="1"/>
    <w:next w:val="1"/>
    <w:qFormat/>
    <w:uiPriority w:val="0"/>
    <w:pPr>
      <w:ind w:left="1400"/>
      <w:jc w:val="left"/>
    </w:pPr>
    <w:rPr>
      <w:sz w:val="18"/>
      <w:szCs w:val="18"/>
    </w:rPr>
  </w:style>
  <w:style w:type="paragraph" w:styleId="28">
    <w:name w:val="Body Text Indent 3"/>
    <w:basedOn w:val="1"/>
    <w:link w:val="67"/>
    <w:qFormat/>
    <w:uiPriority w:val="0"/>
    <w:pPr>
      <w:spacing w:after="120"/>
      <w:ind w:left="420" w:leftChars="200"/>
    </w:pPr>
    <w:rPr>
      <w:rFonts w:ascii="宋体" w:hAnsi="宋体"/>
      <w:sz w:val="16"/>
      <w:szCs w:val="16"/>
    </w:rPr>
  </w:style>
  <w:style w:type="paragraph" w:styleId="29">
    <w:name w:val="table of figures"/>
    <w:basedOn w:val="1"/>
    <w:next w:val="1"/>
    <w:qFormat/>
    <w:uiPriority w:val="0"/>
    <w:pPr>
      <w:ind w:left="200" w:leftChars="200" w:hanging="200" w:hangingChars="200"/>
    </w:pPr>
    <w:rPr>
      <w:szCs w:val="24"/>
    </w:rPr>
  </w:style>
  <w:style w:type="paragraph" w:styleId="30">
    <w:name w:val="toc 2"/>
    <w:basedOn w:val="1"/>
    <w:next w:val="1"/>
    <w:qFormat/>
    <w:uiPriority w:val="0"/>
    <w:pPr>
      <w:ind w:left="280"/>
      <w:jc w:val="left"/>
    </w:pPr>
    <w:rPr>
      <w:smallCaps/>
      <w:sz w:val="20"/>
      <w:szCs w:val="20"/>
    </w:rPr>
  </w:style>
  <w:style w:type="paragraph" w:styleId="31">
    <w:name w:val="toc 9"/>
    <w:basedOn w:val="1"/>
    <w:next w:val="1"/>
    <w:qFormat/>
    <w:uiPriority w:val="0"/>
    <w:pPr>
      <w:ind w:left="2240"/>
      <w:jc w:val="left"/>
    </w:pPr>
    <w:rPr>
      <w:sz w:val="18"/>
      <w:szCs w:val="18"/>
    </w:rPr>
  </w:style>
  <w:style w:type="paragraph" w:styleId="32">
    <w:name w:val="Body Text 2"/>
    <w:basedOn w:val="1"/>
    <w:qFormat/>
    <w:uiPriority w:val="0"/>
    <w:pPr>
      <w:spacing w:line="360" w:lineRule="auto"/>
      <w:jc w:val="left"/>
    </w:pPr>
    <w:rPr>
      <w:sz w:val="24"/>
      <w:szCs w:val="20"/>
    </w:rPr>
  </w:style>
  <w:style w:type="paragraph" w:styleId="3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rPr>
  </w:style>
  <w:style w:type="paragraph" w:styleId="34">
    <w:name w:val="Normal (Web)"/>
    <w:basedOn w:val="1"/>
    <w:qFormat/>
    <w:uiPriority w:val="99"/>
    <w:pPr>
      <w:widowControl/>
      <w:spacing w:before="100" w:beforeAutospacing="1" w:after="100" w:afterAutospacing="1"/>
      <w:jc w:val="left"/>
    </w:pPr>
    <w:rPr>
      <w:rFonts w:ascii="宋体" w:hAnsi="宋体"/>
      <w:kern w:val="0"/>
      <w:sz w:val="24"/>
      <w:szCs w:val="24"/>
    </w:rPr>
  </w:style>
  <w:style w:type="paragraph" w:styleId="35">
    <w:name w:val="Title"/>
    <w:basedOn w:val="1"/>
    <w:qFormat/>
    <w:uiPriority w:val="0"/>
    <w:pPr>
      <w:spacing w:before="240" w:after="60"/>
      <w:jc w:val="center"/>
      <w:outlineLvl w:val="0"/>
    </w:pPr>
    <w:rPr>
      <w:rFonts w:ascii="Arial" w:hAnsi="Arial" w:cs="Arial"/>
      <w:b/>
      <w:bCs/>
      <w:sz w:val="32"/>
      <w:szCs w:val="32"/>
    </w:rPr>
  </w:style>
  <w:style w:type="paragraph" w:styleId="36">
    <w:name w:val="annotation subject"/>
    <w:basedOn w:val="11"/>
    <w:next w:val="11"/>
    <w:qFormat/>
    <w:uiPriority w:val="0"/>
    <w:rPr>
      <w:b/>
      <w:bCs/>
    </w:rPr>
  </w:style>
  <w:style w:type="paragraph" w:styleId="37">
    <w:name w:val="Body Text First Indent"/>
    <w:basedOn w:val="13"/>
    <w:qFormat/>
    <w:uiPriority w:val="0"/>
    <w:pPr>
      <w:ind w:firstLine="420" w:firstLineChars="100"/>
    </w:pPr>
    <w:rPr>
      <w:sz w:val="21"/>
    </w:rPr>
  </w:style>
  <w:style w:type="table" w:styleId="39">
    <w:name w:val="Table Grid"/>
    <w:basedOn w:val="3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qFormat/>
    <w:uiPriority w:val="0"/>
    <w:rPr>
      <w:rFonts w:ascii="宋体" w:hAnsi="宋体" w:cs="宋体"/>
      <w:b/>
      <w:bCs/>
      <w:sz w:val="24"/>
      <w:szCs w:val="24"/>
    </w:rPr>
  </w:style>
  <w:style w:type="character" w:styleId="42">
    <w:name w:val="page number"/>
    <w:basedOn w:val="40"/>
    <w:qFormat/>
    <w:uiPriority w:val="0"/>
    <w:rPr>
      <w:rFonts w:ascii="宋体" w:hAnsi="宋体" w:cs="宋体"/>
      <w:sz w:val="24"/>
      <w:szCs w:val="24"/>
    </w:rPr>
  </w:style>
  <w:style w:type="character" w:styleId="43">
    <w:name w:val="FollowedHyperlink"/>
    <w:basedOn w:val="40"/>
    <w:qFormat/>
    <w:uiPriority w:val="0"/>
    <w:rPr>
      <w:color w:val="954F72" w:themeColor="followedHyperlink"/>
      <w:u w:val="single"/>
      <w14:textFill>
        <w14:solidFill>
          <w14:schemeClr w14:val="folHlink"/>
        </w14:solidFill>
      </w14:textFill>
    </w:rPr>
  </w:style>
  <w:style w:type="character" w:styleId="44">
    <w:name w:val="Emphasis"/>
    <w:qFormat/>
    <w:uiPriority w:val="0"/>
    <w:rPr>
      <w:rFonts w:ascii="宋体" w:hAnsi="宋体" w:cs="宋体"/>
      <w:i/>
      <w:sz w:val="24"/>
      <w:szCs w:val="24"/>
    </w:rPr>
  </w:style>
  <w:style w:type="character" w:styleId="45">
    <w:name w:val="Hyperlink"/>
    <w:qFormat/>
    <w:uiPriority w:val="0"/>
    <w:rPr>
      <w:color w:val="0000FF"/>
      <w:u w:val="single"/>
    </w:rPr>
  </w:style>
  <w:style w:type="character" w:styleId="46">
    <w:name w:val="annotation reference"/>
    <w:qFormat/>
    <w:uiPriority w:val="0"/>
    <w:rPr>
      <w:sz w:val="21"/>
      <w:szCs w:val="21"/>
    </w:rPr>
  </w:style>
  <w:style w:type="character" w:customStyle="1" w:styleId="47">
    <w:name w:val="style51"/>
    <w:qFormat/>
    <w:uiPriority w:val="0"/>
    <w:rPr>
      <w:b/>
      <w:bCs/>
      <w:color w:val="FF9900"/>
      <w:sz w:val="21"/>
      <w:szCs w:val="21"/>
    </w:rPr>
  </w:style>
  <w:style w:type="character" w:customStyle="1" w:styleId="48">
    <w:name w:val="正文缩进字符"/>
    <w:link w:val="9"/>
    <w:qFormat/>
    <w:uiPriority w:val="0"/>
    <w:rPr>
      <w:rFonts w:eastAsia="宋体"/>
      <w:kern w:val="2"/>
      <w:sz w:val="28"/>
      <w:lang w:val="en-US" w:eastAsia="zh-CN" w:bidi="ar-SA"/>
    </w:rPr>
  </w:style>
  <w:style w:type="character" w:customStyle="1" w:styleId="49">
    <w:name w:val="表格正文 Char"/>
    <w:link w:val="50"/>
    <w:qFormat/>
    <w:uiPriority w:val="0"/>
    <w:rPr>
      <w:rFonts w:ascii="等线" w:hAnsi="等线"/>
      <w:kern w:val="2"/>
      <w:sz w:val="21"/>
      <w:szCs w:val="24"/>
    </w:rPr>
  </w:style>
  <w:style w:type="paragraph" w:customStyle="1" w:styleId="50">
    <w:name w:val="表格正文"/>
    <w:basedOn w:val="1"/>
    <w:link w:val="49"/>
    <w:qFormat/>
    <w:uiPriority w:val="0"/>
    <w:pPr>
      <w:spacing w:line="360" w:lineRule="exact"/>
      <w:jc w:val="center"/>
    </w:pPr>
    <w:rPr>
      <w:rFonts w:ascii="等线" w:hAnsi="等线"/>
      <w:szCs w:val="24"/>
    </w:rPr>
  </w:style>
  <w:style w:type="character" w:customStyle="1" w:styleId="51">
    <w:name w:val="正文文本字符"/>
    <w:link w:val="13"/>
    <w:qFormat/>
    <w:uiPriority w:val="0"/>
    <w:rPr>
      <w:rFonts w:ascii="宋体" w:hAnsi="宋体" w:eastAsia="宋体" w:cs="宋体"/>
      <w:kern w:val="2"/>
      <w:sz w:val="28"/>
      <w:szCs w:val="24"/>
      <w:lang w:val="en-US" w:eastAsia="zh-CN" w:bidi="ar-SA"/>
    </w:rPr>
  </w:style>
  <w:style w:type="character" w:customStyle="1" w:styleId="52">
    <w:name w:val="style71"/>
    <w:qFormat/>
    <w:uiPriority w:val="0"/>
    <w:rPr>
      <w:b/>
      <w:bCs/>
      <w:color w:val="D70703"/>
      <w:sz w:val="21"/>
      <w:szCs w:val="21"/>
    </w:rPr>
  </w:style>
  <w:style w:type="character" w:customStyle="1" w:styleId="53">
    <w:name w:val="表格文字 Char Char"/>
    <w:link w:val="54"/>
    <w:qFormat/>
    <w:uiPriority w:val="0"/>
    <w:rPr>
      <w:rFonts w:ascii="仿宋_GB2312" w:hAnsi="Arial Black" w:eastAsia="仿宋_GB2312" w:cs="宋体"/>
      <w:kern w:val="44"/>
      <w:sz w:val="24"/>
      <w:szCs w:val="24"/>
      <w:lang w:val="en-US" w:eastAsia="zh-CN" w:bidi="ar-SA"/>
    </w:rPr>
  </w:style>
  <w:style w:type="paragraph" w:customStyle="1" w:styleId="54">
    <w:name w:val="表格文字"/>
    <w:basedOn w:val="1"/>
    <w:link w:val="53"/>
    <w:qFormat/>
    <w:uiPriority w:val="0"/>
    <w:pPr>
      <w:jc w:val="center"/>
    </w:pPr>
    <w:rPr>
      <w:rFonts w:ascii="仿宋_GB2312" w:hAnsi="Arial Black" w:eastAsia="仿宋_GB2312" w:cs="宋体"/>
      <w:kern w:val="44"/>
      <w:sz w:val="24"/>
      <w:szCs w:val="24"/>
    </w:rPr>
  </w:style>
  <w:style w:type="character" w:customStyle="1" w:styleId="55">
    <w:name w:val="批注文字字符"/>
    <w:link w:val="11"/>
    <w:qFormat/>
    <w:uiPriority w:val="0"/>
    <w:rPr>
      <w:kern w:val="2"/>
      <w:sz w:val="28"/>
    </w:rPr>
  </w:style>
  <w:style w:type="character" w:customStyle="1" w:styleId="56">
    <w:name w:val="标题1"/>
    <w:basedOn w:val="40"/>
    <w:qFormat/>
    <w:uiPriority w:val="0"/>
    <w:rPr>
      <w:rFonts w:ascii="宋体" w:hAnsi="宋体" w:cs="宋体"/>
      <w:sz w:val="24"/>
      <w:szCs w:val="24"/>
    </w:rPr>
  </w:style>
  <w:style w:type="character" w:customStyle="1" w:styleId="57">
    <w:name w:val="批注文字 Char1"/>
    <w:semiHidden/>
    <w:qFormat/>
    <w:locked/>
    <w:uiPriority w:val="0"/>
    <w:rPr>
      <w:rFonts w:ascii="宋体" w:hAnsi="宋体" w:cs="宋体"/>
      <w:kern w:val="2"/>
      <w:sz w:val="28"/>
      <w:szCs w:val="24"/>
    </w:rPr>
  </w:style>
  <w:style w:type="character" w:customStyle="1" w:styleId="58">
    <w:name w:val="页码1"/>
    <w:basedOn w:val="40"/>
    <w:qFormat/>
    <w:uiPriority w:val="0"/>
    <w:rPr>
      <w:rFonts w:ascii="宋体" w:hAnsi="宋体" w:cs="宋体"/>
      <w:sz w:val="24"/>
      <w:szCs w:val="24"/>
    </w:rPr>
  </w:style>
  <w:style w:type="character" w:customStyle="1" w:styleId="59">
    <w:name w:val="图表题 Char Char"/>
    <w:link w:val="60"/>
    <w:qFormat/>
    <w:uiPriority w:val="0"/>
    <w:rPr>
      <w:rFonts w:eastAsia="黑体"/>
      <w:sz w:val="24"/>
    </w:rPr>
  </w:style>
  <w:style w:type="paragraph" w:customStyle="1" w:styleId="60">
    <w:name w:val="图表题"/>
    <w:basedOn w:val="1"/>
    <w:next w:val="1"/>
    <w:link w:val="59"/>
    <w:qFormat/>
    <w:uiPriority w:val="0"/>
    <w:pPr>
      <w:adjustRightInd w:val="0"/>
      <w:snapToGrid w:val="0"/>
      <w:spacing w:line="360" w:lineRule="auto"/>
      <w:jc w:val="center"/>
    </w:pPr>
    <w:rPr>
      <w:rFonts w:eastAsia="黑体"/>
      <w:kern w:val="0"/>
      <w:sz w:val="24"/>
      <w:szCs w:val="20"/>
    </w:rPr>
  </w:style>
  <w:style w:type="character" w:customStyle="1" w:styleId="61">
    <w:name w:val="纯文本字符"/>
    <w:link w:val="17"/>
    <w:qFormat/>
    <w:uiPriority w:val="0"/>
    <w:rPr>
      <w:rFonts w:ascii="宋体" w:hAnsi="Courier New" w:eastAsia="宋体" w:cs="Courier New"/>
      <w:kern w:val="2"/>
      <w:sz w:val="21"/>
      <w:szCs w:val="21"/>
      <w:lang w:val="en-US" w:eastAsia="zh-CN" w:bidi="ar-SA"/>
    </w:rPr>
  </w:style>
  <w:style w:type="character" w:customStyle="1" w:styleId="62">
    <w:name w:val="表格文字 Char"/>
    <w:qFormat/>
    <w:locked/>
    <w:uiPriority w:val="0"/>
    <w:rPr>
      <w:rFonts w:ascii="宋体" w:hAnsi="宋体"/>
      <w:color w:val="000000"/>
      <w:kern w:val="2"/>
      <w:sz w:val="24"/>
      <w:szCs w:val="24"/>
    </w:rPr>
  </w:style>
  <w:style w:type="character" w:customStyle="1" w:styleId="63">
    <w:name w:val="正文缩进 Char Char Char Char"/>
    <w:qFormat/>
    <w:uiPriority w:val="0"/>
    <w:rPr>
      <w:rFonts w:ascii="宋体" w:hAnsi="宋体" w:eastAsia="宋体" w:cs="宋体"/>
      <w:kern w:val="2"/>
      <w:sz w:val="21"/>
      <w:szCs w:val="24"/>
      <w:lang w:val="en-US" w:eastAsia="zh-CN" w:bidi="ar-SA"/>
    </w:rPr>
  </w:style>
  <w:style w:type="character" w:customStyle="1" w:styleId="64">
    <w:name w:val="正文文本 Char1"/>
    <w:qFormat/>
    <w:locked/>
    <w:uiPriority w:val="0"/>
    <w:rPr>
      <w:rFonts w:ascii="宋体" w:hAnsi="宋体" w:cs="宋体"/>
      <w:kern w:val="2"/>
      <w:sz w:val="28"/>
      <w:szCs w:val="24"/>
    </w:rPr>
  </w:style>
  <w:style w:type="character" w:customStyle="1" w:styleId="65">
    <w:name w:val="文章正文样式 Char Char"/>
    <w:link w:val="66"/>
    <w:qFormat/>
    <w:uiPriority w:val="0"/>
    <w:rPr>
      <w:rFonts w:ascii="宋体" w:hAnsi="宋体" w:eastAsia="宋体" w:cs="宋体"/>
      <w:kern w:val="2"/>
      <w:sz w:val="24"/>
      <w:szCs w:val="24"/>
      <w:lang w:val="en-US" w:eastAsia="zh-CN" w:bidi="ar-SA"/>
    </w:rPr>
  </w:style>
  <w:style w:type="paragraph" w:customStyle="1" w:styleId="66">
    <w:name w:val="文章正文样式"/>
    <w:basedOn w:val="1"/>
    <w:link w:val="65"/>
    <w:qFormat/>
    <w:uiPriority w:val="0"/>
    <w:pPr>
      <w:spacing w:line="520" w:lineRule="exact"/>
      <w:ind w:firstLine="480" w:firstLineChars="200"/>
      <w:jc w:val="left"/>
    </w:pPr>
    <w:rPr>
      <w:rFonts w:ascii="宋体" w:hAnsi="宋体" w:cs="宋体"/>
      <w:sz w:val="24"/>
      <w:szCs w:val="24"/>
    </w:rPr>
  </w:style>
  <w:style w:type="character" w:customStyle="1" w:styleId="67">
    <w:name w:val="正文文本缩进 3字符"/>
    <w:link w:val="28"/>
    <w:qFormat/>
    <w:uiPriority w:val="0"/>
    <w:rPr>
      <w:rFonts w:ascii="宋体" w:hAnsi="宋体" w:cs="宋体"/>
      <w:kern w:val="2"/>
      <w:sz w:val="16"/>
      <w:szCs w:val="16"/>
    </w:rPr>
  </w:style>
  <w:style w:type="character" w:customStyle="1" w:styleId="68">
    <w:name w:val="日期字符"/>
    <w:link w:val="19"/>
    <w:qFormat/>
    <w:locked/>
    <w:uiPriority w:val="0"/>
    <w:rPr>
      <w:rFonts w:ascii="仿宋_GB2312" w:hAnsi="Courier New" w:eastAsia="仿宋_GB2312"/>
      <w:kern w:val="2"/>
      <w:sz w:val="32"/>
    </w:rPr>
  </w:style>
  <w:style w:type="character" w:customStyle="1" w:styleId="69">
    <w:name w:val="Char Char Char Char Char"/>
    <w:qFormat/>
    <w:uiPriority w:val="0"/>
    <w:rPr>
      <w:rFonts w:hint="eastAsia" w:ascii="宋体" w:hAnsi="宋体" w:eastAsia="宋体"/>
      <w:kern w:val="2"/>
      <w:sz w:val="24"/>
      <w:lang w:val="en-US" w:eastAsia="zh-CN"/>
    </w:rPr>
  </w:style>
  <w:style w:type="character" w:customStyle="1" w:styleId="70">
    <w:name w:val="Gabriel（正文） Char Char"/>
    <w:link w:val="71"/>
    <w:qFormat/>
    <w:uiPriority w:val="0"/>
    <w:rPr>
      <w:rFonts w:ascii="宋体" w:hAnsi="宋体" w:eastAsia="宋体" w:cs="宋体"/>
      <w:kern w:val="2"/>
      <w:sz w:val="28"/>
      <w:szCs w:val="28"/>
      <w:lang w:val="en-US" w:eastAsia="zh-CN" w:bidi="ar-SA"/>
    </w:rPr>
  </w:style>
  <w:style w:type="paragraph" w:customStyle="1" w:styleId="71">
    <w:name w:val="Gabriel（正文）"/>
    <w:basedOn w:val="1"/>
    <w:next w:val="1"/>
    <w:link w:val="70"/>
    <w:qFormat/>
    <w:uiPriority w:val="0"/>
    <w:pPr>
      <w:spacing w:line="480" w:lineRule="exact"/>
      <w:ind w:firstLine="200" w:firstLineChars="200"/>
    </w:pPr>
    <w:rPr>
      <w:rFonts w:ascii="宋体" w:hAnsi="宋体" w:cs="宋体"/>
      <w:sz w:val="28"/>
      <w:szCs w:val="28"/>
    </w:rPr>
  </w:style>
  <w:style w:type="character" w:customStyle="1" w:styleId="72">
    <w:name w:val="纯文本 Char1"/>
    <w:semiHidden/>
    <w:qFormat/>
    <w:locked/>
    <w:uiPriority w:val="0"/>
    <w:rPr>
      <w:rFonts w:ascii="宋体" w:hAnsi="Courier New" w:cs="Courier New"/>
      <w:kern w:val="2"/>
      <w:sz w:val="21"/>
      <w:szCs w:val="21"/>
    </w:rPr>
  </w:style>
  <w:style w:type="character" w:customStyle="1" w:styleId="73">
    <w:name w:val="页眉字符"/>
    <w:link w:val="23"/>
    <w:qFormat/>
    <w:uiPriority w:val="99"/>
    <w:rPr>
      <w:rFonts w:ascii="宋体" w:hAnsi="宋体" w:eastAsia="宋体" w:cs="宋体"/>
      <w:kern w:val="2"/>
      <w:sz w:val="18"/>
      <w:szCs w:val="18"/>
      <w:lang w:val="en-US" w:eastAsia="zh-CN" w:bidi="ar-SA"/>
    </w:rPr>
  </w:style>
  <w:style w:type="character" w:customStyle="1" w:styleId="74">
    <w:name w:val="页脚字符"/>
    <w:link w:val="22"/>
    <w:qFormat/>
    <w:uiPriority w:val="99"/>
    <w:rPr>
      <w:kern w:val="2"/>
      <w:sz w:val="18"/>
      <w:szCs w:val="18"/>
    </w:rPr>
  </w:style>
  <w:style w:type="character" w:customStyle="1" w:styleId="75">
    <w:name w:val="style81"/>
    <w:qFormat/>
    <w:uiPriority w:val="0"/>
    <w:rPr>
      <w:color w:val="0000FF"/>
    </w:rPr>
  </w:style>
  <w:style w:type="character" w:customStyle="1" w:styleId="76">
    <w:name w:val="正文-biao Char"/>
    <w:link w:val="77"/>
    <w:qFormat/>
    <w:uiPriority w:val="0"/>
    <w:rPr>
      <w:rFonts w:hAnsi="宋体"/>
      <w:kern w:val="2"/>
      <w:sz w:val="24"/>
      <w:szCs w:val="24"/>
    </w:rPr>
  </w:style>
  <w:style w:type="paragraph" w:customStyle="1" w:styleId="77">
    <w:name w:val="正文-biao"/>
    <w:basedOn w:val="1"/>
    <w:link w:val="76"/>
    <w:qFormat/>
    <w:uiPriority w:val="0"/>
    <w:pPr>
      <w:spacing w:before="60" w:line="460" w:lineRule="exact"/>
      <w:ind w:firstLine="482"/>
    </w:pPr>
    <w:rPr>
      <w:rFonts w:hAnsi="宋体"/>
      <w:sz w:val="24"/>
      <w:szCs w:val="24"/>
    </w:rPr>
  </w:style>
  <w:style w:type="character" w:customStyle="1" w:styleId="78">
    <w:name w:val="标题 1字符"/>
    <w:link w:val="4"/>
    <w:qFormat/>
    <w:uiPriority w:val="0"/>
    <w:rPr>
      <w:rFonts w:eastAsia="宋体"/>
      <w:b/>
      <w:bCs/>
      <w:kern w:val="44"/>
      <w:sz w:val="30"/>
      <w:szCs w:val="44"/>
      <w:lang w:val="en-US" w:eastAsia="zh-CN" w:bidi="ar-SA"/>
    </w:rPr>
  </w:style>
  <w:style w:type="character" w:customStyle="1" w:styleId="79">
    <w:name w:val="fontstyle01"/>
    <w:qFormat/>
    <w:uiPriority w:val="0"/>
    <w:rPr>
      <w:rFonts w:hint="eastAsia" w:ascii="宋体" w:hAnsi="宋体" w:eastAsia="宋体" w:cs="宋体"/>
      <w:color w:val="000000"/>
      <w:sz w:val="24"/>
      <w:szCs w:val="24"/>
    </w:rPr>
  </w:style>
  <w:style w:type="character" w:customStyle="1" w:styleId="80">
    <w:name w:val="正文文本缩进字符"/>
    <w:link w:val="3"/>
    <w:qFormat/>
    <w:uiPriority w:val="0"/>
    <w:rPr>
      <w:rFonts w:ascii="宋体" w:hAnsi="宋体" w:cs="宋体"/>
      <w:kern w:val="2"/>
      <w:sz w:val="28"/>
      <w:szCs w:val="24"/>
    </w:rPr>
  </w:style>
  <w:style w:type="character" w:customStyle="1" w:styleId="81">
    <w:name w:val="正文首行缩进 2字符"/>
    <w:link w:val="2"/>
    <w:qFormat/>
    <w:uiPriority w:val="0"/>
    <w:rPr>
      <w:rFonts w:ascii="宋体" w:hAnsi="宋体" w:cs="宋体"/>
      <w:kern w:val="2"/>
      <w:sz w:val="28"/>
      <w:szCs w:val="24"/>
    </w:rPr>
  </w:style>
  <w:style w:type="character" w:customStyle="1" w:styleId="82">
    <w:name w:val="表头 Char Char"/>
    <w:qFormat/>
    <w:uiPriority w:val="0"/>
    <w:rPr>
      <w:rFonts w:eastAsia="黑体"/>
      <w:kern w:val="2"/>
      <w:sz w:val="24"/>
      <w:szCs w:val="24"/>
      <w:lang w:val="en-US" w:eastAsia="zh-CN" w:bidi="ar-SA"/>
      <w14:shadow w14:blurRad="50800" w14:dist="38100" w14:dir="2700000" w14:sx="100000" w14:sy="100000" w14:kx="0" w14:ky="0" w14:algn="tl">
        <w14:srgbClr w14:val="000000">
          <w14:alpha w14:val="60000"/>
        </w14:srgbClr>
      </w14:shadow>
    </w:rPr>
  </w:style>
  <w:style w:type="paragraph" w:customStyle="1" w:styleId="83">
    <w:name w:val="样式 表格 32 + 首行缩进:  2 字符"/>
    <w:basedOn w:val="1"/>
    <w:qFormat/>
    <w:uiPriority w:val="0"/>
    <w:pPr>
      <w:autoSpaceDE w:val="0"/>
      <w:autoSpaceDN w:val="0"/>
      <w:adjustRightInd w:val="0"/>
      <w:spacing w:line="240" w:lineRule="atLeast"/>
      <w:jc w:val="center"/>
      <w:textAlignment w:val="baseline"/>
    </w:pPr>
    <w:rPr>
      <w:kern w:val="0"/>
    </w:rPr>
  </w:style>
  <w:style w:type="paragraph" w:customStyle="1" w:styleId="84">
    <w:name w:val="表内容"/>
    <w:basedOn w:val="1"/>
    <w:next w:val="1"/>
    <w:qFormat/>
    <w:uiPriority w:val="0"/>
    <w:pPr>
      <w:spacing w:line="320" w:lineRule="exact"/>
      <w:jc w:val="center"/>
    </w:pPr>
    <w:rPr>
      <w:szCs w:val="20"/>
    </w:rPr>
  </w:style>
  <w:style w:type="paragraph" w:customStyle="1" w:styleId="85">
    <w:name w:val="样式1"/>
    <w:basedOn w:val="1"/>
    <w:qFormat/>
    <w:uiPriority w:val="0"/>
    <w:pPr>
      <w:adjustRightInd w:val="0"/>
      <w:snapToGrid w:val="0"/>
      <w:spacing w:before="240" w:after="240" w:line="500" w:lineRule="exact"/>
    </w:pPr>
    <w:rPr>
      <w:bCs/>
      <w:sz w:val="30"/>
      <w:szCs w:val="20"/>
    </w:rPr>
  </w:style>
  <w:style w:type="paragraph" w:customStyle="1" w:styleId="86">
    <w:name w:val="表格内容"/>
    <w:qFormat/>
    <w:uiPriority w:val="0"/>
    <w:pPr>
      <w:jc w:val="center"/>
    </w:pPr>
    <w:rPr>
      <w:rFonts w:ascii="Times New Roman" w:hAnsi="Times New Roman" w:eastAsia="宋体" w:cs="Times New Roman"/>
      <w:sz w:val="21"/>
      <w:szCs w:val="21"/>
      <w:lang w:val="en-US" w:eastAsia="zh-CN" w:bidi="ar-SA"/>
    </w:rPr>
  </w:style>
  <w:style w:type="paragraph" w:customStyle="1" w:styleId="87">
    <w:name w:val="1"/>
    <w:basedOn w:val="1"/>
    <w:next w:val="9"/>
    <w:qFormat/>
    <w:uiPriority w:val="0"/>
    <w:pPr>
      <w:ind w:firstLine="602"/>
    </w:pPr>
    <w:rPr>
      <w:rFonts w:eastAsia="仿宋_GB2312"/>
      <w:sz w:val="28"/>
      <w:szCs w:val="20"/>
    </w:rPr>
  </w:style>
  <w:style w:type="paragraph" w:customStyle="1" w:styleId="88">
    <w:name w:val="正文（首行缩进两字）m"/>
    <w:basedOn w:val="9"/>
    <w:qFormat/>
    <w:uiPriority w:val="0"/>
    <w:pPr>
      <w:tabs>
        <w:tab w:val="left" w:pos="1848"/>
        <w:tab w:val="left" w:pos="6061"/>
        <w:tab w:val="left" w:pos="8665"/>
      </w:tabs>
      <w:snapToGrid w:val="0"/>
      <w:spacing w:before="156" w:beforeLines="50" w:line="460" w:lineRule="exact"/>
      <w:ind w:firstLine="480" w:firstLineChars="200"/>
    </w:pPr>
    <w:rPr>
      <w:rFonts w:ascii="宋体" w:hAnsi="宋体"/>
      <w:sz w:val="24"/>
    </w:rPr>
  </w:style>
  <w:style w:type="paragraph" w:customStyle="1" w:styleId="89">
    <w:name w:val="彩色网格 - 强调文字颜色 61"/>
    <w:unhideWhenUsed/>
    <w:qFormat/>
    <w:uiPriority w:val="99"/>
    <w:rPr>
      <w:rFonts w:ascii="Times New Roman" w:hAnsi="Times New Roman" w:eastAsia="宋体" w:cs="Times New Roman"/>
      <w:kern w:val="2"/>
      <w:sz w:val="28"/>
      <w:lang w:val="en-US" w:eastAsia="zh-CN" w:bidi="ar-SA"/>
    </w:rPr>
  </w:style>
  <w:style w:type="paragraph" w:customStyle="1" w:styleId="90">
    <w:name w:val="Char Char Char Char Char Char Char"/>
    <w:basedOn w:val="1"/>
    <w:qFormat/>
    <w:uiPriority w:val="0"/>
    <w:rPr>
      <w:szCs w:val="24"/>
    </w:rPr>
  </w:style>
  <w:style w:type="paragraph" w:customStyle="1" w:styleId="91">
    <w:name w:val="应填表格"/>
    <w:basedOn w:val="1"/>
    <w:qFormat/>
    <w:uiPriority w:val="0"/>
    <w:pPr>
      <w:adjustRightInd w:val="0"/>
      <w:spacing w:before="40" w:after="40"/>
      <w:jc w:val="left"/>
      <w:textAlignment w:val="baseline"/>
    </w:pPr>
    <w:rPr>
      <w:kern w:val="0"/>
      <w:sz w:val="24"/>
      <w:szCs w:val="20"/>
    </w:rPr>
  </w:style>
  <w:style w:type="paragraph" w:customStyle="1" w:styleId="92">
    <w:name w:val="Default"/>
    <w:qFormat/>
    <w:uiPriority w:val="0"/>
    <w:pPr>
      <w:widowControl w:val="0"/>
      <w:autoSpaceDE w:val="0"/>
      <w:autoSpaceDN w:val="0"/>
      <w:adjustRightInd w:val="0"/>
    </w:pPr>
    <w:rPr>
      <w:rFonts w:ascii="华文中宋" w:hAnsi="华文中宋" w:eastAsia="宋体" w:cs="华文中宋"/>
      <w:color w:val="000000"/>
      <w:sz w:val="24"/>
      <w:szCs w:val="24"/>
      <w:lang w:val="en-US" w:eastAsia="zh-CN" w:bidi="ar-SA"/>
    </w:rPr>
  </w:style>
  <w:style w:type="paragraph" w:customStyle="1" w:styleId="93">
    <w:name w:val="环科院表格标题"/>
    <w:basedOn w:val="1"/>
    <w:qFormat/>
    <w:uiPriority w:val="0"/>
    <w:pPr>
      <w:adjustRightInd w:val="0"/>
      <w:snapToGrid w:val="0"/>
      <w:spacing w:before="156" w:beforeLines="50"/>
    </w:pPr>
    <w:rPr>
      <w:sz w:val="24"/>
      <w:szCs w:val="24"/>
    </w:rPr>
  </w:style>
  <w:style w:type="paragraph" w:customStyle="1" w:styleId="94">
    <w:name w:val="表"/>
    <w:basedOn w:val="1"/>
    <w:qFormat/>
    <w:uiPriority w:val="0"/>
    <w:pPr>
      <w:framePr w:wrap="notBeside" w:vAnchor="text" w:hAnchor="text" w:y="1"/>
      <w:widowControl/>
      <w:spacing w:line="320" w:lineRule="exact"/>
      <w:jc w:val="center"/>
    </w:pPr>
    <w:rPr>
      <w:kern w:val="0"/>
      <w:szCs w:val="20"/>
    </w:rPr>
  </w:style>
  <w:style w:type="paragraph" w:customStyle="1" w:styleId="95">
    <w:name w:val="报告书正文"/>
    <w:basedOn w:val="1"/>
    <w:qFormat/>
    <w:uiPriority w:val="0"/>
    <w:pPr>
      <w:adjustRightInd w:val="0"/>
      <w:snapToGrid w:val="0"/>
      <w:spacing w:line="360" w:lineRule="auto"/>
      <w:ind w:firstLine="425"/>
      <w:textAlignment w:val="baseline"/>
    </w:pPr>
    <w:rPr>
      <w:rFonts w:ascii="Arial" w:hAnsi="Arial"/>
      <w:kern w:val="0"/>
      <w:sz w:val="24"/>
      <w:szCs w:val="24"/>
    </w:rPr>
  </w:style>
  <w:style w:type="paragraph" w:customStyle="1" w:styleId="96">
    <w:name w:val="Char Char Char Char Char2 Char Char Char Char"/>
    <w:basedOn w:val="1"/>
    <w:qFormat/>
    <w:uiPriority w:val="0"/>
    <w:pPr>
      <w:adjustRightInd w:val="0"/>
      <w:snapToGrid w:val="0"/>
      <w:spacing w:line="360" w:lineRule="auto"/>
      <w:ind w:firstLine="200" w:firstLineChars="200"/>
    </w:pPr>
    <w:rPr>
      <w:rFonts w:ascii="宋体" w:hAnsi="宋体" w:cs="宋体"/>
      <w:sz w:val="24"/>
      <w:szCs w:val="26"/>
    </w:rPr>
  </w:style>
  <w:style w:type="paragraph" w:customStyle="1" w:styleId="97">
    <w:name w:val="普通 (Web)"/>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98">
    <w:name w:val="l13"/>
    <w:basedOn w:val="1"/>
    <w:qFormat/>
    <w:uiPriority w:val="0"/>
    <w:pPr>
      <w:widowControl/>
      <w:spacing w:before="100" w:beforeAutospacing="1" w:after="100" w:afterAutospacing="1" w:line="312" w:lineRule="auto"/>
      <w:jc w:val="left"/>
    </w:pPr>
    <w:rPr>
      <w:rFonts w:ascii="宋体" w:hAnsi="宋体"/>
      <w:color w:val="000000"/>
      <w:kern w:val="0"/>
      <w:sz w:val="24"/>
      <w:szCs w:val="24"/>
    </w:rPr>
  </w:style>
  <w:style w:type="paragraph" w:customStyle="1" w:styleId="99">
    <w:name w:val="表格"/>
    <w:basedOn w:val="26"/>
    <w:next w:val="1"/>
    <w:link w:val="136"/>
    <w:qFormat/>
    <w:uiPriority w:val="0"/>
    <w:pPr>
      <w:ind w:left="0" w:firstLine="0" w:firstLineChars="0"/>
      <w:jc w:val="center"/>
    </w:pPr>
    <w:rPr>
      <w:sz w:val="21"/>
      <w:szCs w:val="22"/>
    </w:rPr>
  </w:style>
  <w:style w:type="paragraph" w:customStyle="1" w:styleId="100">
    <w:name w:val="组工"/>
    <w:basedOn w:val="17"/>
    <w:qFormat/>
    <w:uiPriority w:val="0"/>
    <w:pPr>
      <w:ind w:firstLine="630"/>
      <w:jc w:val="center"/>
    </w:pPr>
    <w:rPr>
      <w:rFonts w:cs="Times New Roman"/>
      <w:b/>
      <w:sz w:val="36"/>
      <w:szCs w:val="24"/>
    </w:rPr>
  </w:style>
  <w:style w:type="paragraph" w:customStyle="1" w:styleId="101">
    <w:name w:val="Char2 Char Char Char Char Char Char Char Char Char Char Char Char"/>
    <w:basedOn w:val="1"/>
    <w:qFormat/>
    <w:uiPriority w:val="0"/>
    <w:pPr>
      <w:spacing w:line="560" w:lineRule="exact"/>
      <w:ind w:firstLine="200" w:firstLineChars="200"/>
    </w:pPr>
    <w:rPr>
      <w:rFonts w:ascii="宋体" w:hAnsi="宋体" w:cs="宋体"/>
      <w:sz w:val="28"/>
      <w:szCs w:val="28"/>
    </w:rPr>
  </w:style>
  <w:style w:type="paragraph" w:customStyle="1" w:styleId="102">
    <w:name w:val="1正文"/>
    <w:basedOn w:val="1"/>
    <w:qFormat/>
    <w:uiPriority w:val="0"/>
    <w:pPr>
      <w:widowControl/>
      <w:spacing w:line="360" w:lineRule="auto"/>
      <w:ind w:firstLine="200" w:firstLineChars="200"/>
    </w:pPr>
    <w:rPr>
      <w:rFonts w:ascii="Calibri" w:hAnsi="Calibri"/>
      <w:kern w:val="0"/>
      <w:sz w:val="24"/>
      <w:szCs w:val="20"/>
      <w:lang w:val="en-GB"/>
    </w:rPr>
  </w:style>
  <w:style w:type="paragraph" w:customStyle="1" w:styleId="103">
    <w:name w:val="简单回函地址"/>
    <w:basedOn w:val="1"/>
    <w:qFormat/>
    <w:uiPriority w:val="0"/>
    <w:rPr>
      <w:szCs w:val="20"/>
    </w:rPr>
  </w:style>
  <w:style w:type="paragraph" w:customStyle="1" w:styleId="104">
    <w:name w:val="三级标题"/>
    <w:basedOn w:val="1"/>
    <w:next w:val="2"/>
    <w:qFormat/>
    <w:uiPriority w:val="0"/>
    <w:pPr>
      <w:adjustRightInd w:val="0"/>
      <w:snapToGrid w:val="0"/>
      <w:spacing w:line="360" w:lineRule="exact"/>
      <w:jc w:val="center"/>
    </w:pPr>
    <w:rPr>
      <w:bCs/>
      <w:sz w:val="24"/>
      <w:szCs w:val="20"/>
    </w:rPr>
  </w:style>
  <w:style w:type="paragraph" w:customStyle="1" w:styleId="105">
    <w:name w:val="默认段落字体 Para Char Char Char Char"/>
    <w:basedOn w:val="1"/>
    <w:qFormat/>
    <w:uiPriority w:val="0"/>
    <w:rPr>
      <w:sz w:val="24"/>
      <w:szCs w:val="24"/>
    </w:rPr>
  </w:style>
  <w:style w:type="paragraph" w:customStyle="1" w:styleId="106">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rPr>
  </w:style>
  <w:style w:type="paragraph" w:customStyle="1" w:styleId="107">
    <w:name w:val="已有表格"/>
    <w:basedOn w:val="1"/>
    <w:qFormat/>
    <w:uiPriority w:val="0"/>
    <w:pPr>
      <w:adjustRightInd w:val="0"/>
      <w:spacing w:before="40" w:after="40"/>
      <w:jc w:val="center"/>
      <w:textAlignment w:val="baseline"/>
    </w:pPr>
    <w:rPr>
      <w:b/>
      <w:kern w:val="0"/>
      <w:sz w:val="24"/>
      <w:szCs w:val="20"/>
    </w:rPr>
  </w:style>
  <w:style w:type="paragraph" w:customStyle="1" w:styleId="108">
    <w:name w:val="Char"/>
    <w:basedOn w:val="1"/>
    <w:qFormat/>
    <w:uiPriority w:val="0"/>
    <w:rPr>
      <w:sz w:val="28"/>
      <w:szCs w:val="20"/>
    </w:rPr>
  </w:style>
  <w:style w:type="paragraph" w:customStyle="1" w:styleId="109">
    <w:name w:val="正文1"/>
    <w:basedOn w:val="1"/>
    <w:qFormat/>
    <w:uiPriority w:val="0"/>
    <w:pPr>
      <w:adjustRightInd w:val="0"/>
    </w:pPr>
    <w:rPr>
      <w:rFonts w:eastAsia="楷体_GB2312"/>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样式 列表 2 + 华文仿宋 居中"/>
    <w:basedOn w:val="14"/>
    <w:qFormat/>
    <w:uiPriority w:val="0"/>
    <w:pPr>
      <w:ind w:left="0" w:leftChars="0" w:firstLine="0" w:firstLineChars="0"/>
      <w:jc w:val="center"/>
    </w:pPr>
    <w:rPr>
      <w:sz w:val="18"/>
      <w:szCs w:val="18"/>
    </w:rPr>
  </w:style>
  <w:style w:type="paragraph" w:customStyle="1" w:styleId="112">
    <w:name w:val="表头"/>
    <w:next w:val="1"/>
    <w:qFormat/>
    <w:uiPriority w:val="0"/>
    <w:pPr>
      <w:spacing w:line="360" w:lineRule="auto"/>
      <w:jc w:val="center"/>
    </w:pPr>
    <w:rPr>
      <w:rFonts w:ascii="Times New Roman" w:hAnsi="Times New Roman" w:eastAsia="黑体" w:cs="Times New Roman"/>
      <w:sz w:val="24"/>
      <w:szCs w:val="24"/>
      <w:lang w:val="en-US" w:eastAsia="zh-CN" w:bidi="ar-SA"/>
    </w:rPr>
  </w:style>
  <w:style w:type="paragraph" w:customStyle="1" w:styleId="113">
    <w:name w:val="Char Char Char1 Char Char Char Char Char Char Char Char Char Char Char Char Char Char Char Char"/>
    <w:basedOn w:val="1"/>
    <w:qFormat/>
    <w:uiPriority w:val="0"/>
  </w:style>
  <w:style w:type="paragraph" w:customStyle="1" w:styleId="114">
    <w:name w:val="p16"/>
    <w:basedOn w:val="1"/>
    <w:qFormat/>
    <w:uiPriority w:val="0"/>
    <w:rPr>
      <w:sz w:val="20"/>
    </w:rPr>
  </w:style>
  <w:style w:type="paragraph" w:customStyle="1" w:styleId="115">
    <w:name w:val="列出段落1"/>
    <w:basedOn w:val="1"/>
    <w:qFormat/>
    <w:uiPriority w:val="0"/>
    <w:pPr>
      <w:ind w:firstLine="420" w:firstLineChars="200"/>
    </w:pPr>
    <w:rPr>
      <w:szCs w:val="24"/>
    </w:rPr>
  </w:style>
  <w:style w:type="paragraph" w:customStyle="1" w:styleId="116">
    <w:name w:val="style4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17">
    <w:name w:val="正文4号"/>
    <w:qFormat/>
    <w:uiPriority w:val="0"/>
    <w:pPr>
      <w:widowControl w:val="0"/>
      <w:spacing w:line="360" w:lineRule="auto"/>
      <w:ind w:firstLine="200" w:firstLineChars="200"/>
      <w:jc w:val="both"/>
    </w:pPr>
    <w:rPr>
      <w:rFonts w:ascii="Times New Roman" w:hAnsi="Times New Roman" w:eastAsia="Times New Roman" w:cs="Times New Roman"/>
      <w:kern w:val="2"/>
      <w:sz w:val="24"/>
      <w:szCs w:val="24"/>
      <w:lang w:val="en-US" w:eastAsia="zh-CN" w:bidi="ar-SA"/>
    </w:rPr>
  </w:style>
  <w:style w:type="paragraph" w:customStyle="1" w:styleId="118">
    <w:name w:val="正文文本缩进 31"/>
    <w:basedOn w:val="1"/>
    <w:qFormat/>
    <w:uiPriority w:val="0"/>
    <w:pPr>
      <w:spacing w:after="120"/>
      <w:ind w:left="420" w:leftChars="200"/>
    </w:pPr>
    <w:rPr>
      <w:sz w:val="16"/>
      <w:szCs w:val="16"/>
    </w:rPr>
  </w:style>
  <w:style w:type="paragraph" w:customStyle="1" w:styleId="119">
    <w:name w:val="正文001"/>
    <w:basedOn w:val="1"/>
    <w:qFormat/>
    <w:uiPriority w:val="0"/>
    <w:pPr>
      <w:spacing w:before="60" w:line="420" w:lineRule="exact"/>
      <w:ind w:firstLine="482"/>
    </w:pPr>
    <w:rPr>
      <w:sz w:val="24"/>
      <w:szCs w:val="20"/>
    </w:rPr>
  </w:style>
  <w:style w:type="paragraph" w:customStyle="1" w:styleId="120">
    <w:name w:val="1.1.1"/>
    <w:basedOn w:val="1"/>
    <w:qFormat/>
    <w:uiPriority w:val="0"/>
    <w:rPr>
      <w:rFonts w:ascii="黑体"/>
      <w:sz w:val="24"/>
      <w:szCs w:val="24"/>
    </w:rPr>
  </w:style>
  <w:style w:type="paragraph" w:customStyle="1" w:styleId="121">
    <w:name w:val="4"/>
    <w:basedOn w:val="1"/>
    <w:next w:val="3"/>
    <w:qFormat/>
    <w:uiPriority w:val="0"/>
    <w:pPr>
      <w:spacing w:after="120"/>
      <w:ind w:left="420" w:leftChars="200"/>
    </w:pPr>
    <w:rPr>
      <w:szCs w:val="24"/>
    </w:rPr>
  </w:style>
  <w:style w:type="paragraph" w:customStyle="1" w:styleId="122">
    <w:name w:val="六表内容"/>
    <w:basedOn w:val="1"/>
    <w:qFormat/>
    <w:uiPriority w:val="0"/>
    <w:pPr>
      <w:widowControl/>
      <w:spacing w:line="340" w:lineRule="exact"/>
      <w:jc w:val="center"/>
    </w:pPr>
    <w:rPr>
      <w:kern w:val="0"/>
      <w:sz w:val="20"/>
    </w:rPr>
  </w:style>
  <w:style w:type="paragraph" w:customStyle="1" w:styleId="123">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124">
    <w:name w:val="纯文本1"/>
    <w:basedOn w:val="1"/>
    <w:qFormat/>
    <w:uiPriority w:val="0"/>
    <w:pPr>
      <w:adjustRightInd w:val="0"/>
      <w:jc w:val="center"/>
      <w:textAlignment w:val="baseline"/>
    </w:pPr>
    <w:rPr>
      <w:rFonts w:ascii="宋体" w:hAnsi="Courier New"/>
      <w:sz w:val="24"/>
      <w:szCs w:val="20"/>
    </w:rPr>
  </w:style>
  <w:style w:type="paragraph" w:customStyle="1" w:styleId="125">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26">
    <w:name w:val="l_text"/>
    <w:basedOn w:val="1"/>
    <w:qFormat/>
    <w:uiPriority w:val="0"/>
    <w:pPr>
      <w:widowControl/>
      <w:overflowPunct w:val="0"/>
      <w:autoSpaceDE w:val="0"/>
      <w:autoSpaceDN w:val="0"/>
      <w:adjustRightInd w:val="0"/>
      <w:spacing w:line="360" w:lineRule="auto"/>
      <w:ind w:firstLine="567"/>
      <w:textAlignment w:val="baseline"/>
    </w:pPr>
    <w:rPr>
      <w:kern w:val="0"/>
      <w:sz w:val="28"/>
      <w:szCs w:val="20"/>
      <w:lang w:val="en-GB"/>
    </w:rPr>
  </w:style>
  <w:style w:type="paragraph" w:customStyle="1" w:styleId="127">
    <w:name w:val="xl37"/>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b/>
      <w:bCs/>
      <w:kern w:val="0"/>
      <w:sz w:val="28"/>
      <w:szCs w:val="28"/>
    </w:rPr>
  </w:style>
  <w:style w:type="paragraph" w:customStyle="1" w:styleId="128">
    <w:name w:val="正文文本缩进 21"/>
    <w:basedOn w:val="1"/>
    <w:qFormat/>
    <w:uiPriority w:val="0"/>
    <w:pPr>
      <w:spacing w:line="360" w:lineRule="auto"/>
      <w:ind w:firstLine="560" w:firstLineChars="200"/>
    </w:pPr>
    <w:rPr>
      <w:sz w:val="28"/>
      <w:szCs w:val="20"/>
    </w:rPr>
  </w:style>
  <w:style w:type="paragraph" w:customStyle="1" w:styleId="129">
    <w:name w:val="标题03"/>
    <w:basedOn w:val="1"/>
    <w:next w:val="1"/>
    <w:qFormat/>
    <w:uiPriority w:val="0"/>
    <w:pPr>
      <w:spacing w:line="480" w:lineRule="atLeast"/>
      <w:ind w:firstLine="480" w:firstLineChars="200"/>
    </w:pPr>
    <w:rPr>
      <w:b/>
      <w:sz w:val="24"/>
      <w:szCs w:val="20"/>
    </w:rPr>
  </w:style>
  <w:style w:type="paragraph" w:customStyle="1" w:styleId="130">
    <w:name w:val="_Style 29"/>
    <w:basedOn w:val="1"/>
    <w:next w:val="1"/>
    <w:qFormat/>
    <w:uiPriority w:val="0"/>
    <w:pPr>
      <w:spacing w:line="360" w:lineRule="auto"/>
      <w:ind w:firstLine="200" w:firstLineChars="200"/>
    </w:pPr>
    <w:rPr>
      <w:rFonts w:ascii="宋体" w:hAnsi="宋体" w:cs="宋体"/>
      <w:sz w:val="24"/>
      <w:szCs w:val="24"/>
    </w:rPr>
  </w:style>
  <w:style w:type="paragraph" w:customStyle="1" w:styleId="131">
    <w:name w:val="Char Char Char"/>
    <w:basedOn w:val="1"/>
    <w:qFormat/>
    <w:uiPriority w:val="0"/>
    <w:rPr>
      <w:szCs w:val="24"/>
    </w:rPr>
  </w:style>
  <w:style w:type="paragraph" w:customStyle="1" w:styleId="132">
    <w:name w:val="Char Char Char Char Char Char Char Char Char Char Char"/>
    <w:qFormat/>
    <w:uiPriority w:val="0"/>
    <w:pPr>
      <w:widowControl w:val="0"/>
      <w:spacing w:line="30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3">
    <w:name w:val="表格3"/>
    <w:qFormat/>
    <w:uiPriority w:val="0"/>
    <w:pPr>
      <w:spacing w:line="240" w:lineRule="atLeast"/>
      <w:jc w:val="center"/>
    </w:pPr>
    <w:rPr>
      <w:rFonts w:ascii="Calibri" w:hAnsi="Calibri" w:eastAsia="宋体" w:cs="Times New Roman"/>
      <w:kern w:val="2"/>
      <w:sz w:val="21"/>
      <w:szCs w:val="21"/>
      <w:lang w:val="en-US" w:eastAsia="zh-CN" w:bidi="ar-SA"/>
    </w:rPr>
  </w:style>
  <w:style w:type="paragraph" w:customStyle="1" w:styleId="134">
    <w:name w:val="表内文"/>
    <w:basedOn w:val="1"/>
    <w:qFormat/>
    <w:uiPriority w:val="0"/>
    <w:pPr>
      <w:jc w:val="center"/>
    </w:pPr>
  </w:style>
  <w:style w:type="paragraph" w:customStyle="1" w:styleId="135">
    <w:name w:val="图表文字"/>
    <w:basedOn w:val="13"/>
    <w:qFormat/>
    <w:uiPriority w:val="0"/>
    <w:pPr>
      <w:spacing w:after="0"/>
      <w:jc w:val="center"/>
    </w:pPr>
    <w:rPr>
      <w:rFonts w:ascii="Times New Roman" w:hAnsi="Times New Roman" w:cs="Times New Roman"/>
      <w:snapToGrid w:val="0"/>
      <w:sz w:val="21"/>
    </w:rPr>
  </w:style>
  <w:style w:type="character" w:customStyle="1" w:styleId="136">
    <w:name w:val="表格 Char Char"/>
    <w:link w:val="99"/>
    <w:qFormat/>
    <w:uiPriority w:val="0"/>
    <w:rPr>
      <w:kern w:val="2"/>
      <w:sz w:val="21"/>
      <w:szCs w:val="22"/>
    </w:rPr>
  </w:style>
  <w:style w:type="paragraph" w:customStyle="1" w:styleId="137">
    <w:name w:val="正文-ls"/>
    <w:basedOn w:val="1"/>
    <w:qFormat/>
    <w:uiPriority w:val="0"/>
    <w:pPr>
      <w:spacing w:line="360" w:lineRule="auto"/>
      <w:ind w:firstLine="200" w:firstLineChars="200"/>
    </w:pPr>
    <w:rPr>
      <w:rFonts w:hAnsi="宋体" w:cs="宋体"/>
      <w:sz w:val="24"/>
      <w:szCs w:val="20"/>
    </w:rPr>
  </w:style>
  <w:style w:type="paragraph" w:customStyle="1" w:styleId="138">
    <w:name w:val="图表标题"/>
    <w:basedOn w:val="1"/>
    <w:qFormat/>
    <w:uiPriority w:val="0"/>
    <w:pPr>
      <w:spacing w:before="50" w:beforeLines="50" w:after="50" w:afterLines="50"/>
      <w:jc w:val="center"/>
    </w:pPr>
    <w:rPr>
      <w:rFonts w:eastAsia="黑体"/>
      <w:sz w:val="24"/>
      <w:szCs w:val="20"/>
    </w:rPr>
  </w:style>
  <w:style w:type="paragraph" w:customStyle="1" w:styleId="139">
    <w:name w:val="1_正文"/>
    <w:basedOn w:val="1"/>
    <w:qFormat/>
    <w:uiPriority w:val="0"/>
    <w:pPr>
      <w:adjustRightInd w:val="0"/>
      <w:snapToGrid w:val="0"/>
      <w:spacing w:line="360" w:lineRule="auto"/>
      <w:ind w:firstLine="480" w:firstLineChars="200"/>
    </w:pPr>
    <w:rPr>
      <w:color w:val="000000"/>
      <w:sz w:val="24"/>
      <w:szCs w:val="24"/>
    </w:rPr>
  </w:style>
  <w:style w:type="paragraph" w:customStyle="1" w:styleId="140">
    <w:name w:val="列出段落2"/>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3.png"/><Relationship Id="rId33" Type="http://schemas.openxmlformats.org/officeDocument/2006/relationships/image" Target="media/image12.png"/><Relationship Id="rId32" Type="http://schemas.openxmlformats.org/officeDocument/2006/relationships/image" Target="media/image11.png"/><Relationship Id="rId31" Type="http://schemas.openxmlformats.org/officeDocument/2006/relationships/image" Target="media/image10.wmf"/><Relationship Id="rId30" Type="http://schemas.openxmlformats.org/officeDocument/2006/relationships/oleObject" Target="embeddings/oleObject6.bin"/><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5.bin"/><Relationship Id="rId27" Type="http://schemas.openxmlformats.org/officeDocument/2006/relationships/image" Target="media/image8.wmf"/><Relationship Id="rId26" Type="http://schemas.openxmlformats.org/officeDocument/2006/relationships/oleObject" Target="embeddings/oleObject4.bin"/><Relationship Id="rId25" Type="http://schemas.openxmlformats.org/officeDocument/2006/relationships/image" Target="media/image7.wmf"/><Relationship Id="rId24" Type="http://schemas.openxmlformats.org/officeDocument/2006/relationships/oleObject" Target="embeddings/oleObject3.bin"/><Relationship Id="rId23" Type="http://schemas.openxmlformats.org/officeDocument/2006/relationships/image" Target="media/image6.wmf"/><Relationship Id="rId22" Type="http://schemas.openxmlformats.org/officeDocument/2006/relationships/oleObject" Target="embeddings/oleObject2.bin"/><Relationship Id="rId21" Type="http://schemas.openxmlformats.org/officeDocument/2006/relationships/image" Target="media/image5.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86</Pages>
  <Words>9137</Words>
  <Characters>52084</Characters>
  <Lines>434</Lines>
  <Paragraphs>122</Paragraphs>
  <TotalTime>14</TotalTime>
  <ScaleCrop>false</ScaleCrop>
  <LinksUpToDate>false</LinksUpToDate>
  <CharactersWithSpaces>61099</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2019-07-19T16:33:00Z</dcterms:created>
  <dc:creator>lhp</dc:creator>
  <cp:lastModifiedBy>豆豆</cp:lastModifiedBy>
  <cp:lastPrinted>2019-06-08T09:31:00Z</cp:lastPrinted>
  <dcterms:modified xsi:type="dcterms:W3CDTF">2020-05-15T02:50:48Z</dcterms:modified>
  <dc:title>《建设项目环境影响报告表》编制说明</dc:title>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