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tiff" ContentType="image/tif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Style w:val="78"/>
        </w:rPr>
      </w:pPr>
      <w:bookmarkStart w:id="0" w:name="_Toc183088178"/>
      <w:bookmarkStart w:id="1" w:name="_Toc183170407"/>
      <w:bookmarkStart w:id="2" w:name="_Toc182888692"/>
      <w:bookmarkStart w:id="3" w:name="_Toc193872733"/>
      <w:bookmarkStart w:id="4" w:name="_Toc171761613"/>
      <w:bookmarkStart w:id="5" w:name="_Toc182819242"/>
      <w:bookmarkStart w:id="6" w:name="_Toc182830654"/>
      <w:bookmarkStart w:id="7" w:name="_Toc178817696"/>
      <w:bookmarkStart w:id="8" w:name="_Toc183006401"/>
      <w:r>
        <w:rPr>
          <w:rStyle w:val="78"/>
        </w:rPr>
        <w:t>建设项目基本情况</w:t>
      </w:r>
      <w:bookmarkEnd w:id="0"/>
      <w:bookmarkEnd w:id="1"/>
      <w:bookmarkEnd w:id="2"/>
      <w:bookmarkEnd w:id="3"/>
      <w:bookmarkEnd w:id="4"/>
      <w:bookmarkEnd w:id="5"/>
      <w:bookmarkEnd w:id="6"/>
      <w:bookmarkEnd w:id="7"/>
      <w:bookmarkEnd w:id="8"/>
    </w:p>
    <w:tbl>
      <w:tblPr>
        <w:tblStyle w:val="38"/>
        <w:tblW w:w="899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14"/>
        <w:gridCol w:w="1900"/>
        <w:gridCol w:w="1501"/>
        <w:gridCol w:w="959"/>
        <w:gridCol w:w="370"/>
        <w:gridCol w:w="755"/>
        <w:gridCol w:w="870"/>
        <w:gridCol w:w="14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5" w:hRule="exact"/>
          <w:jc w:val="center"/>
        </w:trPr>
        <w:tc>
          <w:tcPr>
            <w:tcW w:w="1214" w:type="dxa"/>
            <w:vAlign w:val="center"/>
          </w:tcPr>
          <w:p>
            <w:pPr>
              <w:jc w:val="center"/>
              <w:rPr>
                <w:b/>
                <w:bCs/>
                <w:sz w:val="24"/>
                <w:szCs w:val="24"/>
              </w:rPr>
            </w:pPr>
            <w:r>
              <w:rPr>
                <w:b/>
                <w:bCs/>
                <w:sz w:val="24"/>
                <w:szCs w:val="24"/>
              </w:rPr>
              <w:t>项目名称</w:t>
            </w:r>
          </w:p>
        </w:tc>
        <w:tc>
          <w:tcPr>
            <w:tcW w:w="7780" w:type="dxa"/>
            <w:gridSpan w:val="7"/>
            <w:vAlign w:val="center"/>
          </w:tcPr>
          <w:p>
            <w:pPr>
              <w:adjustRightInd w:val="0"/>
              <w:snapToGrid w:val="0"/>
              <w:jc w:val="center"/>
              <w:rPr>
                <w:spacing w:val="-4"/>
                <w:sz w:val="24"/>
                <w:szCs w:val="24"/>
              </w:rPr>
            </w:pPr>
            <w:r>
              <w:rPr>
                <w:color w:val="000000"/>
                <w:kern w:val="0"/>
                <w:sz w:val="24"/>
                <w:szCs w:val="24"/>
                <w:lang w:val="zh-CN"/>
              </w:rPr>
              <w:t>东方航空技术有限公司西北分公司1号机库改造项目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32" w:hRule="atLeast"/>
          <w:jc w:val="center"/>
        </w:trPr>
        <w:tc>
          <w:tcPr>
            <w:tcW w:w="1214" w:type="dxa"/>
            <w:vAlign w:val="center"/>
          </w:tcPr>
          <w:p>
            <w:pPr>
              <w:jc w:val="center"/>
              <w:rPr>
                <w:b/>
                <w:bCs/>
                <w:sz w:val="24"/>
                <w:szCs w:val="24"/>
              </w:rPr>
            </w:pPr>
            <w:r>
              <w:rPr>
                <w:b/>
                <w:bCs/>
                <w:sz w:val="24"/>
                <w:szCs w:val="24"/>
              </w:rPr>
              <w:t>建设单位</w:t>
            </w:r>
          </w:p>
        </w:tc>
        <w:tc>
          <w:tcPr>
            <w:tcW w:w="7780" w:type="dxa"/>
            <w:gridSpan w:val="7"/>
            <w:vAlign w:val="center"/>
          </w:tcPr>
          <w:p>
            <w:pPr>
              <w:adjustRightInd w:val="0"/>
              <w:snapToGrid w:val="0"/>
              <w:jc w:val="center"/>
              <w:rPr>
                <w:sz w:val="24"/>
                <w:szCs w:val="24"/>
              </w:rPr>
            </w:pPr>
            <w:r>
              <w:rPr>
                <w:color w:val="000000"/>
                <w:kern w:val="0"/>
                <w:sz w:val="24"/>
                <w:szCs w:val="24"/>
                <w:lang w:val="zh-CN"/>
              </w:rPr>
              <w:t>东方航空技术有限公司西北分公司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0" w:hRule="exact"/>
          <w:jc w:val="center"/>
        </w:trPr>
        <w:tc>
          <w:tcPr>
            <w:tcW w:w="1214" w:type="dxa"/>
            <w:vAlign w:val="center"/>
          </w:tcPr>
          <w:p>
            <w:pPr>
              <w:jc w:val="center"/>
              <w:rPr>
                <w:b/>
                <w:bCs/>
                <w:sz w:val="24"/>
                <w:szCs w:val="24"/>
              </w:rPr>
            </w:pPr>
            <w:r>
              <w:rPr>
                <w:b/>
                <w:bCs/>
                <w:sz w:val="24"/>
                <w:szCs w:val="24"/>
              </w:rPr>
              <w:t>法人代表</w:t>
            </w:r>
          </w:p>
        </w:tc>
        <w:tc>
          <w:tcPr>
            <w:tcW w:w="3401" w:type="dxa"/>
            <w:gridSpan w:val="2"/>
            <w:vAlign w:val="center"/>
          </w:tcPr>
          <w:p>
            <w:pPr>
              <w:adjustRightInd w:val="0"/>
              <w:snapToGrid w:val="0"/>
              <w:ind w:firstLine="1200" w:firstLineChars="500"/>
              <w:rPr>
                <w:sz w:val="24"/>
                <w:szCs w:val="24"/>
              </w:rPr>
            </w:pPr>
            <w:r>
              <w:rPr>
                <w:sz w:val="24"/>
                <w:szCs w:val="24"/>
              </w:rPr>
              <w:t>贾</w:t>
            </w:r>
            <w:r>
              <w:rPr>
                <w:rFonts w:hint="eastAsia"/>
                <w:sz w:val="24"/>
                <w:szCs w:val="24"/>
              </w:rPr>
              <w:t>兴</w:t>
            </w:r>
            <w:r>
              <w:rPr>
                <w:sz w:val="24"/>
                <w:szCs w:val="24"/>
              </w:rPr>
              <w:t xml:space="preserve">华 </w:t>
            </w:r>
          </w:p>
        </w:tc>
        <w:tc>
          <w:tcPr>
            <w:tcW w:w="959" w:type="dxa"/>
            <w:vAlign w:val="center"/>
          </w:tcPr>
          <w:p>
            <w:pPr>
              <w:adjustRightInd w:val="0"/>
              <w:snapToGrid w:val="0"/>
              <w:jc w:val="center"/>
              <w:rPr>
                <w:b/>
                <w:bCs/>
                <w:sz w:val="24"/>
                <w:szCs w:val="24"/>
              </w:rPr>
            </w:pPr>
            <w:r>
              <w:rPr>
                <w:b/>
                <w:bCs/>
                <w:sz w:val="24"/>
                <w:szCs w:val="24"/>
              </w:rPr>
              <w:t>联系人</w:t>
            </w:r>
          </w:p>
        </w:tc>
        <w:tc>
          <w:tcPr>
            <w:tcW w:w="3420" w:type="dxa"/>
            <w:gridSpan w:val="4"/>
            <w:vAlign w:val="center"/>
          </w:tcPr>
          <w:p>
            <w:pPr>
              <w:adjustRightInd w:val="0"/>
              <w:snapToGrid w:val="0"/>
              <w:jc w:val="center"/>
              <w:rPr>
                <w:sz w:val="24"/>
                <w:szCs w:val="24"/>
              </w:rPr>
            </w:pPr>
            <w:r>
              <w:rPr>
                <w:rFonts w:hint="eastAsia"/>
                <w:kern w:val="0"/>
                <w:sz w:val="24"/>
                <w:szCs w:val="24"/>
                <w:highlight w:val="none"/>
              </w:rPr>
              <w:t>伍</w:t>
            </w:r>
            <w:r>
              <w:rPr>
                <w:rFonts w:hint="eastAsia"/>
                <w:kern w:val="0"/>
                <w:sz w:val="24"/>
                <w:szCs w:val="24"/>
              </w:rPr>
              <w:t>海峰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85" w:hRule="exact"/>
          <w:jc w:val="center"/>
        </w:trPr>
        <w:tc>
          <w:tcPr>
            <w:tcW w:w="1214" w:type="dxa"/>
            <w:vAlign w:val="center"/>
          </w:tcPr>
          <w:p>
            <w:pPr>
              <w:jc w:val="center"/>
              <w:rPr>
                <w:b/>
                <w:bCs/>
                <w:sz w:val="24"/>
                <w:szCs w:val="24"/>
              </w:rPr>
            </w:pPr>
            <w:r>
              <w:rPr>
                <w:b/>
                <w:bCs/>
                <w:sz w:val="24"/>
                <w:szCs w:val="24"/>
              </w:rPr>
              <w:t>通讯地址</w:t>
            </w:r>
          </w:p>
        </w:tc>
        <w:tc>
          <w:tcPr>
            <w:tcW w:w="7780" w:type="dxa"/>
            <w:gridSpan w:val="7"/>
            <w:vAlign w:val="center"/>
          </w:tcPr>
          <w:p>
            <w:pPr>
              <w:adjustRightInd w:val="0"/>
              <w:snapToGrid w:val="0"/>
              <w:jc w:val="center"/>
              <w:rPr>
                <w:sz w:val="24"/>
                <w:szCs w:val="24"/>
              </w:rPr>
            </w:pPr>
            <w:r>
              <w:rPr>
                <w:sz w:val="24"/>
                <w:szCs w:val="24"/>
              </w:rPr>
              <w:t>西咸新区空港新城西安咸阳机场空港东二路东航技术公司西北分公司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2" w:hRule="exact"/>
          <w:jc w:val="center"/>
        </w:trPr>
        <w:tc>
          <w:tcPr>
            <w:tcW w:w="1214" w:type="dxa"/>
            <w:vAlign w:val="center"/>
          </w:tcPr>
          <w:p>
            <w:pPr>
              <w:jc w:val="center"/>
              <w:rPr>
                <w:b/>
                <w:bCs/>
                <w:sz w:val="24"/>
                <w:szCs w:val="24"/>
              </w:rPr>
            </w:pPr>
            <w:r>
              <w:rPr>
                <w:b/>
                <w:bCs/>
                <w:sz w:val="24"/>
                <w:szCs w:val="24"/>
              </w:rPr>
              <w:t>联系电话</w:t>
            </w:r>
          </w:p>
        </w:tc>
        <w:tc>
          <w:tcPr>
            <w:tcW w:w="1900" w:type="dxa"/>
            <w:vAlign w:val="center"/>
          </w:tcPr>
          <w:p>
            <w:pPr>
              <w:jc w:val="center"/>
              <w:rPr>
                <w:sz w:val="24"/>
                <w:szCs w:val="24"/>
              </w:rPr>
            </w:pPr>
            <w:r>
              <w:rPr>
                <w:rFonts w:hint="eastAsia"/>
                <w:kern w:val="0"/>
                <w:sz w:val="24"/>
                <w:szCs w:val="24"/>
              </w:rPr>
              <w:t>13991129683</w:t>
            </w:r>
          </w:p>
        </w:tc>
        <w:tc>
          <w:tcPr>
            <w:tcW w:w="1501" w:type="dxa"/>
            <w:vAlign w:val="center"/>
          </w:tcPr>
          <w:p>
            <w:pPr>
              <w:adjustRightInd w:val="0"/>
              <w:snapToGrid w:val="0"/>
              <w:jc w:val="center"/>
              <w:rPr>
                <w:b/>
                <w:bCs/>
                <w:sz w:val="24"/>
                <w:szCs w:val="24"/>
              </w:rPr>
            </w:pPr>
            <w:r>
              <w:rPr>
                <w:b/>
                <w:bCs/>
                <w:sz w:val="24"/>
                <w:szCs w:val="24"/>
              </w:rPr>
              <w:t>传  真</w:t>
            </w:r>
          </w:p>
        </w:tc>
        <w:tc>
          <w:tcPr>
            <w:tcW w:w="959" w:type="dxa"/>
            <w:vAlign w:val="center"/>
          </w:tcPr>
          <w:p>
            <w:pPr>
              <w:adjustRightInd w:val="0"/>
              <w:snapToGrid w:val="0"/>
              <w:jc w:val="center"/>
              <w:rPr>
                <w:sz w:val="24"/>
                <w:szCs w:val="24"/>
              </w:rPr>
            </w:pPr>
            <w:r>
              <w:rPr>
                <w:sz w:val="24"/>
              </w:rPr>
              <w:t>/</w:t>
            </w:r>
          </w:p>
        </w:tc>
        <w:tc>
          <w:tcPr>
            <w:tcW w:w="1995" w:type="dxa"/>
            <w:gridSpan w:val="3"/>
            <w:vAlign w:val="center"/>
          </w:tcPr>
          <w:p>
            <w:pPr>
              <w:adjustRightInd w:val="0"/>
              <w:snapToGrid w:val="0"/>
              <w:jc w:val="center"/>
              <w:rPr>
                <w:b/>
                <w:bCs/>
                <w:sz w:val="24"/>
                <w:szCs w:val="24"/>
              </w:rPr>
            </w:pPr>
            <w:r>
              <w:rPr>
                <w:b/>
                <w:bCs/>
                <w:sz w:val="24"/>
                <w:szCs w:val="24"/>
              </w:rPr>
              <w:t>邮政编码</w:t>
            </w:r>
          </w:p>
        </w:tc>
        <w:tc>
          <w:tcPr>
            <w:tcW w:w="1425" w:type="dxa"/>
            <w:vAlign w:val="center"/>
          </w:tcPr>
          <w:p>
            <w:pPr>
              <w:jc w:val="center"/>
              <w:rPr>
                <w:sz w:val="24"/>
                <w:szCs w:val="24"/>
              </w:rPr>
            </w:pPr>
            <w:r>
              <w:rPr>
                <w:sz w:val="24"/>
                <w:szCs w:val="24"/>
              </w:rPr>
              <w:t>712000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13" w:hRule="exact"/>
          <w:jc w:val="center"/>
        </w:trPr>
        <w:tc>
          <w:tcPr>
            <w:tcW w:w="1214" w:type="dxa"/>
            <w:vAlign w:val="center"/>
          </w:tcPr>
          <w:p>
            <w:pPr>
              <w:jc w:val="center"/>
              <w:rPr>
                <w:b/>
                <w:bCs/>
                <w:sz w:val="24"/>
                <w:szCs w:val="24"/>
              </w:rPr>
            </w:pPr>
            <w:r>
              <w:rPr>
                <w:b/>
                <w:bCs/>
                <w:sz w:val="24"/>
                <w:szCs w:val="24"/>
              </w:rPr>
              <w:t>建设地点</w:t>
            </w:r>
          </w:p>
        </w:tc>
        <w:tc>
          <w:tcPr>
            <w:tcW w:w="7780" w:type="dxa"/>
            <w:gridSpan w:val="7"/>
            <w:vAlign w:val="center"/>
          </w:tcPr>
          <w:p>
            <w:pPr>
              <w:adjustRightInd w:val="0"/>
              <w:snapToGrid w:val="0"/>
              <w:jc w:val="center"/>
              <w:rPr>
                <w:spacing w:val="-4"/>
                <w:sz w:val="24"/>
                <w:szCs w:val="24"/>
              </w:rPr>
            </w:pPr>
            <w:r>
              <w:rPr>
                <w:color w:val="000000"/>
                <w:sz w:val="24"/>
              </w:rPr>
              <w:t>陕西省西咸新区空港新城西安咸阳机场空港东二路东航技术公司西北分公司1号机库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44" w:hRule="atLeast"/>
          <w:jc w:val="center"/>
        </w:trPr>
        <w:tc>
          <w:tcPr>
            <w:tcW w:w="1214" w:type="dxa"/>
            <w:vAlign w:val="center"/>
          </w:tcPr>
          <w:p>
            <w:pPr>
              <w:jc w:val="center"/>
              <w:rPr>
                <w:b/>
                <w:bCs/>
                <w:sz w:val="24"/>
                <w:szCs w:val="24"/>
              </w:rPr>
            </w:pPr>
            <w:r>
              <w:rPr>
                <w:b/>
                <w:bCs/>
                <w:sz w:val="24"/>
                <w:szCs w:val="24"/>
              </w:rPr>
              <w:t>立项审批部门</w:t>
            </w:r>
          </w:p>
        </w:tc>
        <w:tc>
          <w:tcPr>
            <w:tcW w:w="3401" w:type="dxa"/>
            <w:gridSpan w:val="2"/>
            <w:vAlign w:val="center"/>
          </w:tcPr>
          <w:p>
            <w:pPr>
              <w:adjustRightInd w:val="0"/>
              <w:snapToGrid w:val="0"/>
              <w:jc w:val="center"/>
              <w:rPr>
                <w:sz w:val="24"/>
                <w:szCs w:val="24"/>
              </w:rPr>
            </w:pPr>
            <w:r>
              <w:rPr>
                <w:color w:val="000000"/>
                <w:kern w:val="0"/>
                <w:sz w:val="24"/>
              </w:rPr>
              <w:t>空港新城行政审批和政务服务局</w:t>
            </w:r>
          </w:p>
        </w:tc>
        <w:tc>
          <w:tcPr>
            <w:tcW w:w="1329" w:type="dxa"/>
            <w:gridSpan w:val="2"/>
            <w:vAlign w:val="center"/>
          </w:tcPr>
          <w:p>
            <w:pPr>
              <w:adjustRightInd w:val="0"/>
              <w:snapToGrid w:val="0"/>
              <w:jc w:val="center"/>
              <w:rPr>
                <w:b/>
                <w:bCs/>
                <w:spacing w:val="-10"/>
                <w:sz w:val="24"/>
                <w:szCs w:val="24"/>
              </w:rPr>
            </w:pPr>
            <w:r>
              <w:rPr>
                <w:b/>
                <w:bCs/>
                <w:spacing w:val="-10"/>
                <w:sz w:val="24"/>
                <w:szCs w:val="24"/>
              </w:rPr>
              <w:t>备案文号</w:t>
            </w:r>
          </w:p>
        </w:tc>
        <w:tc>
          <w:tcPr>
            <w:tcW w:w="3050" w:type="dxa"/>
            <w:gridSpan w:val="3"/>
            <w:vAlign w:val="center"/>
          </w:tcPr>
          <w:p>
            <w:pPr>
              <w:adjustRightInd w:val="0"/>
              <w:snapToGrid w:val="0"/>
              <w:jc w:val="center"/>
              <w:rPr>
                <w:sz w:val="24"/>
                <w:szCs w:val="24"/>
              </w:rPr>
            </w:pPr>
            <w:r>
              <w:rPr>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0" w:hRule="atLeast"/>
          <w:jc w:val="center"/>
        </w:trPr>
        <w:tc>
          <w:tcPr>
            <w:tcW w:w="1214" w:type="dxa"/>
            <w:vAlign w:val="center"/>
          </w:tcPr>
          <w:p>
            <w:pPr>
              <w:jc w:val="center"/>
              <w:rPr>
                <w:b/>
                <w:bCs/>
                <w:sz w:val="24"/>
                <w:szCs w:val="24"/>
              </w:rPr>
            </w:pPr>
            <w:r>
              <w:rPr>
                <w:b/>
                <w:bCs/>
                <w:sz w:val="24"/>
                <w:szCs w:val="24"/>
              </w:rPr>
              <w:t>建设性质</w:t>
            </w:r>
          </w:p>
        </w:tc>
        <w:tc>
          <w:tcPr>
            <w:tcW w:w="3401" w:type="dxa"/>
            <w:gridSpan w:val="2"/>
            <w:vAlign w:val="center"/>
          </w:tcPr>
          <w:p>
            <w:pPr>
              <w:adjustRightInd w:val="0"/>
              <w:snapToGrid w:val="0"/>
              <w:jc w:val="center"/>
              <w:rPr>
                <w:bCs/>
                <w:sz w:val="24"/>
                <w:szCs w:val="24"/>
              </w:rPr>
            </w:pPr>
            <w:r>
              <w:rPr>
                <w:bCs/>
                <w:sz w:val="24"/>
                <w:szCs w:val="24"/>
              </w:rPr>
              <w:t>□新建■改扩建□技改</w:t>
            </w:r>
          </w:p>
        </w:tc>
        <w:tc>
          <w:tcPr>
            <w:tcW w:w="1329" w:type="dxa"/>
            <w:gridSpan w:val="2"/>
            <w:vAlign w:val="center"/>
          </w:tcPr>
          <w:p>
            <w:pPr>
              <w:adjustRightInd w:val="0"/>
              <w:snapToGrid w:val="0"/>
              <w:jc w:val="center"/>
              <w:rPr>
                <w:b/>
                <w:bCs/>
                <w:spacing w:val="-10"/>
                <w:sz w:val="24"/>
                <w:szCs w:val="24"/>
              </w:rPr>
            </w:pPr>
            <w:r>
              <w:rPr>
                <w:b/>
                <w:bCs/>
                <w:spacing w:val="-10"/>
                <w:sz w:val="24"/>
                <w:szCs w:val="24"/>
              </w:rPr>
              <w:t>行业类别及代码</w:t>
            </w:r>
          </w:p>
        </w:tc>
        <w:tc>
          <w:tcPr>
            <w:tcW w:w="3050" w:type="dxa"/>
            <w:gridSpan w:val="3"/>
            <w:vAlign w:val="center"/>
          </w:tcPr>
          <w:p>
            <w:pPr>
              <w:adjustRightInd w:val="0"/>
              <w:snapToGrid w:val="0"/>
              <w:jc w:val="center"/>
              <w:rPr>
                <w:sz w:val="24"/>
                <w:szCs w:val="24"/>
              </w:rPr>
            </w:pPr>
            <w:r>
              <w:rPr>
                <w:sz w:val="24"/>
                <w:szCs w:val="24"/>
              </w:rPr>
              <w:t>C4343航空航天器修理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jc w:val="center"/>
        </w:trPr>
        <w:tc>
          <w:tcPr>
            <w:tcW w:w="1214" w:type="dxa"/>
            <w:vAlign w:val="center"/>
          </w:tcPr>
          <w:p>
            <w:pPr>
              <w:jc w:val="center"/>
              <w:rPr>
                <w:b/>
                <w:bCs/>
                <w:spacing w:val="-8"/>
                <w:sz w:val="24"/>
                <w:szCs w:val="24"/>
              </w:rPr>
            </w:pPr>
            <w:r>
              <w:rPr>
                <w:b/>
                <w:bCs/>
                <w:spacing w:val="-8"/>
                <w:sz w:val="24"/>
                <w:szCs w:val="24"/>
              </w:rPr>
              <w:t>占地面积</w:t>
            </w:r>
          </w:p>
        </w:tc>
        <w:tc>
          <w:tcPr>
            <w:tcW w:w="3401" w:type="dxa"/>
            <w:gridSpan w:val="2"/>
            <w:vAlign w:val="center"/>
          </w:tcPr>
          <w:p>
            <w:pPr>
              <w:adjustRightInd w:val="0"/>
              <w:snapToGrid w:val="0"/>
              <w:jc w:val="center"/>
              <w:rPr>
                <w:sz w:val="24"/>
                <w:szCs w:val="24"/>
              </w:rPr>
            </w:pPr>
            <w:r>
              <w:rPr>
                <w:sz w:val="24"/>
                <w:szCs w:val="24"/>
              </w:rPr>
              <w:t>4</w:t>
            </w:r>
            <w:r>
              <w:rPr>
                <w:rFonts w:hint="eastAsia"/>
                <w:sz w:val="24"/>
                <w:szCs w:val="24"/>
              </w:rPr>
              <w:t>790</w:t>
            </w:r>
            <w:r>
              <w:rPr>
                <w:sz w:val="24"/>
                <w:szCs w:val="24"/>
              </w:rPr>
              <w:t>m</w:t>
            </w:r>
            <w:r>
              <w:rPr>
                <w:sz w:val="24"/>
                <w:szCs w:val="24"/>
                <w:vertAlign w:val="superscript"/>
              </w:rPr>
              <w:t>2</w:t>
            </w:r>
          </w:p>
        </w:tc>
        <w:tc>
          <w:tcPr>
            <w:tcW w:w="1329" w:type="dxa"/>
            <w:gridSpan w:val="2"/>
            <w:vAlign w:val="center"/>
          </w:tcPr>
          <w:p>
            <w:pPr>
              <w:adjustRightInd w:val="0"/>
              <w:snapToGrid w:val="0"/>
              <w:jc w:val="center"/>
              <w:rPr>
                <w:b/>
                <w:bCs/>
                <w:spacing w:val="-8"/>
                <w:sz w:val="24"/>
                <w:szCs w:val="24"/>
              </w:rPr>
            </w:pPr>
            <w:r>
              <w:rPr>
                <w:b/>
                <w:bCs/>
                <w:spacing w:val="-8"/>
                <w:sz w:val="24"/>
                <w:szCs w:val="24"/>
              </w:rPr>
              <w:t>绿化面积</w:t>
            </w:r>
          </w:p>
        </w:tc>
        <w:tc>
          <w:tcPr>
            <w:tcW w:w="755" w:type="dxa"/>
            <w:tcBorders>
              <w:right w:val="single" w:color="auto" w:sz="4" w:space="0"/>
            </w:tcBorders>
            <w:vAlign w:val="center"/>
          </w:tcPr>
          <w:p>
            <w:pPr>
              <w:adjustRightInd w:val="0"/>
              <w:snapToGrid w:val="0"/>
              <w:jc w:val="center"/>
              <w:rPr>
                <w:sz w:val="24"/>
                <w:szCs w:val="24"/>
              </w:rPr>
            </w:pPr>
            <w:r>
              <w:rPr>
                <w:sz w:val="24"/>
                <w:szCs w:val="24"/>
              </w:rPr>
              <w:t>/</w:t>
            </w:r>
          </w:p>
        </w:tc>
        <w:tc>
          <w:tcPr>
            <w:tcW w:w="870" w:type="dxa"/>
            <w:tcBorders>
              <w:left w:val="single" w:color="auto" w:sz="4" w:space="0"/>
              <w:right w:val="single" w:color="auto" w:sz="4" w:space="0"/>
            </w:tcBorders>
            <w:vAlign w:val="center"/>
          </w:tcPr>
          <w:p>
            <w:pPr>
              <w:adjustRightInd w:val="0"/>
              <w:snapToGrid w:val="0"/>
              <w:jc w:val="center"/>
              <w:rPr>
                <w:sz w:val="24"/>
                <w:szCs w:val="24"/>
              </w:rPr>
            </w:pPr>
            <w:r>
              <w:rPr>
                <w:b/>
                <w:bCs/>
                <w:spacing w:val="-8"/>
                <w:sz w:val="24"/>
                <w:szCs w:val="24"/>
              </w:rPr>
              <w:t>绿化率</w:t>
            </w:r>
          </w:p>
        </w:tc>
        <w:tc>
          <w:tcPr>
            <w:tcW w:w="1425" w:type="dxa"/>
            <w:tcBorders>
              <w:left w:val="single" w:color="auto" w:sz="4" w:space="0"/>
            </w:tcBorders>
            <w:vAlign w:val="center"/>
          </w:tcPr>
          <w:p>
            <w:pPr>
              <w:adjustRightInd w:val="0"/>
              <w:snapToGrid w:val="0"/>
              <w:jc w:val="center"/>
              <w:rPr>
                <w:sz w:val="24"/>
                <w:szCs w:val="24"/>
              </w:rPr>
            </w:pPr>
            <w:r>
              <w:rPr>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85" w:hRule="exact"/>
          <w:jc w:val="center"/>
        </w:trPr>
        <w:tc>
          <w:tcPr>
            <w:tcW w:w="1214" w:type="dxa"/>
            <w:vAlign w:val="center"/>
          </w:tcPr>
          <w:p>
            <w:pPr>
              <w:jc w:val="center"/>
              <w:rPr>
                <w:b/>
                <w:bCs/>
                <w:sz w:val="24"/>
                <w:szCs w:val="24"/>
              </w:rPr>
            </w:pPr>
            <w:r>
              <w:rPr>
                <w:b/>
                <w:bCs/>
                <w:sz w:val="24"/>
                <w:szCs w:val="24"/>
              </w:rPr>
              <w:t>总投资</w:t>
            </w:r>
          </w:p>
          <w:p>
            <w:pPr>
              <w:jc w:val="center"/>
              <w:rPr>
                <w:b/>
                <w:bCs/>
                <w:sz w:val="24"/>
                <w:szCs w:val="24"/>
              </w:rPr>
            </w:pPr>
            <w:r>
              <w:rPr>
                <w:b/>
                <w:bCs/>
                <w:sz w:val="24"/>
                <w:szCs w:val="24"/>
              </w:rPr>
              <w:t>（万元）</w:t>
            </w:r>
          </w:p>
        </w:tc>
        <w:tc>
          <w:tcPr>
            <w:tcW w:w="1900" w:type="dxa"/>
            <w:vAlign w:val="center"/>
          </w:tcPr>
          <w:p>
            <w:pPr>
              <w:adjustRightInd w:val="0"/>
              <w:snapToGrid w:val="0"/>
              <w:jc w:val="center"/>
              <w:rPr>
                <w:sz w:val="24"/>
                <w:szCs w:val="24"/>
              </w:rPr>
            </w:pPr>
            <w:r>
              <w:rPr>
                <w:sz w:val="24"/>
                <w:szCs w:val="24"/>
              </w:rPr>
              <w:t>750</w:t>
            </w:r>
          </w:p>
        </w:tc>
        <w:tc>
          <w:tcPr>
            <w:tcW w:w="1501" w:type="dxa"/>
            <w:vAlign w:val="center"/>
          </w:tcPr>
          <w:p>
            <w:pPr>
              <w:adjustRightInd w:val="0"/>
              <w:snapToGrid w:val="0"/>
              <w:jc w:val="center"/>
              <w:rPr>
                <w:b/>
                <w:bCs/>
                <w:spacing w:val="-12"/>
                <w:sz w:val="24"/>
                <w:szCs w:val="24"/>
              </w:rPr>
            </w:pPr>
            <w:r>
              <w:rPr>
                <w:b/>
                <w:bCs/>
                <w:spacing w:val="-12"/>
                <w:sz w:val="24"/>
                <w:szCs w:val="24"/>
              </w:rPr>
              <w:t>其中：环保投资 (万元)</w:t>
            </w:r>
          </w:p>
        </w:tc>
        <w:tc>
          <w:tcPr>
            <w:tcW w:w="1329" w:type="dxa"/>
            <w:gridSpan w:val="2"/>
            <w:vAlign w:val="center"/>
          </w:tcPr>
          <w:p>
            <w:pPr>
              <w:adjustRightInd w:val="0"/>
              <w:snapToGrid w:val="0"/>
              <w:jc w:val="center"/>
              <w:rPr>
                <w:sz w:val="24"/>
                <w:szCs w:val="24"/>
              </w:rPr>
            </w:pPr>
            <w:r>
              <w:rPr>
                <w:rFonts w:hint="eastAsia"/>
                <w:sz w:val="24"/>
                <w:szCs w:val="24"/>
              </w:rPr>
              <w:t>510</w:t>
            </w:r>
          </w:p>
        </w:tc>
        <w:tc>
          <w:tcPr>
            <w:tcW w:w="1625" w:type="dxa"/>
            <w:gridSpan w:val="2"/>
            <w:vAlign w:val="center"/>
          </w:tcPr>
          <w:p>
            <w:pPr>
              <w:adjustRightInd w:val="0"/>
              <w:snapToGrid w:val="0"/>
              <w:jc w:val="center"/>
              <w:rPr>
                <w:b/>
                <w:bCs/>
                <w:sz w:val="24"/>
                <w:szCs w:val="24"/>
              </w:rPr>
            </w:pPr>
            <w:r>
              <w:rPr>
                <w:b/>
                <w:bCs/>
                <w:sz w:val="24"/>
                <w:szCs w:val="24"/>
              </w:rPr>
              <w:t>环保投资占总投资比例</w:t>
            </w:r>
          </w:p>
        </w:tc>
        <w:tc>
          <w:tcPr>
            <w:tcW w:w="1425" w:type="dxa"/>
            <w:vAlign w:val="center"/>
          </w:tcPr>
          <w:p>
            <w:pPr>
              <w:jc w:val="center"/>
              <w:rPr>
                <w:sz w:val="24"/>
                <w:szCs w:val="24"/>
              </w:rPr>
            </w:pPr>
            <w:r>
              <w:rPr>
                <w:sz w:val="24"/>
                <w:szCs w:val="24"/>
              </w:rPr>
              <w:t>6</w:t>
            </w:r>
            <w:r>
              <w:rPr>
                <w:rFonts w:hint="eastAsia"/>
                <w:sz w:val="24"/>
                <w:szCs w:val="24"/>
              </w:rPr>
              <w:t>8</w:t>
            </w:r>
            <w:r>
              <w:rPr>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94" w:hRule="atLeast"/>
          <w:jc w:val="center"/>
        </w:trPr>
        <w:tc>
          <w:tcPr>
            <w:tcW w:w="1214" w:type="dxa"/>
            <w:vAlign w:val="center"/>
          </w:tcPr>
          <w:p>
            <w:pPr>
              <w:jc w:val="center"/>
              <w:rPr>
                <w:b/>
                <w:bCs/>
                <w:sz w:val="24"/>
                <w:szCs w:val="24"/>
              </w:rPr>
            </w:pPr>
            <w:r>
              <w:rPr>
                <w:b/>
                <w:bCs/>
                <w:sz w:val="24"/>
                <w:szCs w:val="24"/>
              </w:rPr>
              <w:t>评价经费</w:t>
            </w:r>
          </w:p>
          <w:p>
            <w:pPr>
              <w:jc w:val="center"/>
              <w:rPr>
                <w:b/>
                <w:bCs/>
                <w:sz w:val="24"/>
                <w:szCs w:val="24"/>
              </w:rPr>
            </w:pPr>
            <w:r>
              <w:rPr>
                <w:b/>
                <w:bCs/>
                <w:spacing w:val="8"/>
                <w:sz w:val="24"/>
                <w:szCs w:val="24"/>
              </w:rPr>
              <w:t>(万元)</w:t>
            </w:r>
          </w:p>
        </w:tc>
        <w:tc>
          <w:tcPr>
            <w:tcW w:w="1900" w:type="dxa"/>
            <w:vAlign w:val="center"/>
          </w:tcPr>
          <w:p>
            <w:pPr>
              <w:jc w:val="center"/>
              <w:rPr>
                <w:sz w:val="24"/>
                <w:szCs w:val="24"/>
              </w:rPr>
            </w:pPr>
            <w:r>
              <w:rPr>
                <w:sz w:val="24"/>
              </w:rPr>
              <w:t>/</w:t>
            </w:r>
          </w:p>
        </w:tc>
        <w:tc>
          <w:tcPr>
            <w:tcW w:w="1501" w:type="dxa"/>
            <w:vAlign w:val="center"/>
          </w:tcPr>
          <w:p>
            <w:pPr>
              <w:jc w:val="center"/>
              <w:rPr>
                <w:b/>
                <w:bCs/>
                <w:sz w:val="24"/>
                <w:szCs w:val="24"/>
              </w:rPr>
            </w:pPr>
            <w:r>
              <w:rPr>
                <w:b/>
                <w:bCs/>
                <w:sz w:val="24"/>
                <w:szCs w:val="24"/>
              </w:rPr>
              <w:t>预期投产</w:t>
            </w:r>
          </w:p>
          <w:p>
            <w:pPr>
              <w:jc w:val="center"/>
              <w:rPr>
                <w:b/>
                <w:bCs/>
                <w:spacing w:val="-12"/>
                <w:sz w:val="24"/>
                <w:szCs w:val="24"/>
              </w:rPr>
            </w:pPr>
            <w:r>
              <w:rPr>
                <w:b/>
                <w:bCs/>
                <w:sz w:val="24"/>
                <w:szCs w:val="24"/>
              </w:rPr>
              <w:t>日期</w:t>
            </w:r>
          </w:p>
        </w:tc>
        <w:tc>
          <w:tcPr>
            <w:tcW w:w="4379" w:type="dxa"/>
            <w:gridSpan w:val="5"/>
            <w:vAlign w:val="center"/>
          </w:tcPr>
          <w:p>
            <w:pPr>
              <w:adjustRightInd w:val="0"/>
              <w:snapToGrid w:val="0"/>
              <w:ind w:left="-105" w:leftChars="-50" w:right="-105" w:rightChars="-50"/>
              <w:jc w:val="center"/>
              <w:rPr>
                <w:sz w:val="24"/>
                <w:szCs w:val="24"/>
              </w:rPr>
            </w:pPr>
            <w:r>
              <w:rPr>
                <w:sz w:val="24"/>
                <w:szCs w:val="24"/>
              </w:rPr>
              <w:t>2020.</w:t>
            </w:r>
            <w:r>
              <w:rPr>
                <w:rFonts w:hint="eastAsia"/>
                <w:sz w:val="24"/>
                <w:szCs w:val="24"/>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034" w:hRule="atLeast"/>
          <w:jc w:val="center"/>
        </w:trPr>
        <w:tc>
          <w:tcPr>
            <w:tcW w:w="8994" w:type="dxa"/>
            <w:gridSpan w:val="8"/>
            <w:tcBorders>
              <w:bottom w:val="single" w:color="000000" w:sz="4" w:space="0"/>
            </w:tcBorders>
            <w:vAlign w:val="center"/>
          </w:tcPr>
          <w:p>
            <w:pPr>
              <w:adjustRightInd w:val="0"/>
              <w:snapToGrid w:val="0"/>
              <w:spacing w:before="156" w:beforeLines="50" w:line="520" w:lineRule="exact"/>
              <w:rPr>
                <w:b/>
                <w:bCs/>
                <w:spacing w:val="-3"/>
                <w:szCs w:val="28"/>
              </w:rPr>
            </w:pPr>
            <w:r>
              <w:rPr>
                <w:b/>
                <w:bCs/>
                <w:spacing w:val="-3"/>
                <w:szCs w:val="28"/>
              </w:rPr>
              <w:t>项目内容及规模</w:t>
            </w:r>
          </w:p>
          <w:p>
            <w:pPr>
              <w:tabs>
                <w:tab w:val="left" w:pos="1260"/>
              </w:tabs>
              <w:adjustRightInd w:val="0"/>
              <w:snapToGrid w:val="0"/>
              <w:spacing w:before="50" w:line="520" w:lineRule="exact"/>
              <w:ind w:firstLine="448"/>
              <w:rPr>
                <w:spacing w:val="-8"/>
                <w:sz w:val="24"/>
                <w:szCs w:val="24"/>
              </w:rPr>
            </w:pPr>
            <w:r>
              <w:rPr>
                <w:b/>
                <w:spacing w:val="-8"/>
                <w:sz w:val="24"/>
                <w:szCs w:val="24"/>
              </w:rPr>
              <w:t>1、项目由来</w:t>
            </w:r>
          </w:p>
          <w:p>
            <w:pPr>
              <w:spacing w:before="50" w:line="520" w:lineRule="exact"/>
              <w:ind w:firstLine="480"/>
              <w:rPr>
                <w:color w:val="000000"/>
                <w:sz w:val="24"/>
                <w:szCs w:val="24"/>
              </w:rPr>
            </w:pPr>
            <w:r>
              <w:rPr>
                <w:color w:val="000000"/>
                <w:sz w:val="24"/>
                <w:szCs w:val="24"/>
              </w:rPr>
              <w:t>西安咸阳国际机场是中国西北地理位置最重要、规模最大、设备最齐全、运输生产最繁忙的大型国际航空港。东方航空技术有限公司西北分公司是东方航空技术有限公司设在西安的分公司，东方航空技术有限公司是中国东方航空股份有限公司的全资子公司。中国东方航空集团公司（以下简称东航集团）总部位于上海，是中国三大国有骨干航空运输集团之一。随着东航机队规模的扩大和业务量的增长，东航逐步确立了以上海、昆明和西安为中心的维修格局，东航将把西安打造成为其西北主要的维修中心。</w:t>
            </w:r>
            <w:r>
              <w:rPr>
                <w:color w:val="000000"/>
                <w:kern w:val="0"/>
                <w:sz w:val="24"/>
                <w:szCs w:val="24"/>
                <w:lang w:val="zh-CN"/>
              </w:rPr>
              <w:t>东方航空技术有限公司西北分公司1号机库始建于1991年，主要用于飞机的整体维修，因建成时间较早，未办理环评手续。</w:t>
            </w:r>
            <w:r>
              <w:rPr>
                <w:sz w:val="24"/>
              </w:rPr>
              <w:t>2013年对原有项目进行第一次改造，并于2013年10月16日取得陕西省西咸新区空港新城生态环保局文件关于东航西安维修基地新机库及配套建设项目环境影响报告表的批复（陕空港环批复</w:t>
            </w:r>
            <w:r>
              <w:rPr>
                <w:sz w:val="24"/>
                <w:highlight w:val="none"/>
              </w:rPr>
              <w:t>[</w:t>
            </w:r>
            <w:r>
              <w:rPr>
                <w:sz w:val="24"/>
              </w:rPr>
              <w:t>2013</w:t>
            </w:r>
            <w:r>
              <w:rPr>
                <w:sz w:val="24"/>
                <w:highlight w:val="none"/>
              </w:rPr>
              <w:t>]</w:t>
            </w:r>
            <w:r>
              <w:rPr>
                <w:sz w:val="24"/>
              </w:rPr>
              <w:t>10号）</w:t>
            </w:r>
            <w:r>
              <w:rPr>
                <w:rFonts w:hint="eastAsia"/>
                <w:sz w:val="24"/>
              </w:rPr>
              <w:t>，2016年7月21日取得陕西省西咸新区空港新城规划建设环保局关于东航西安维修基地新机库及配套建设项目竣工环保验收的批复（空港规建环[2016]23号）</w:t>
            </w:r>
            <w:r>
              <w:rPr>
                <w:sz w:val="24"/>
              </w:rPr>
              <w:t>。2019年，为响应国家环保政策，并规范机库维修工艺及环保治理措施，</w:t>
            </w:r>
            <w:r>
              <w:rPr>
                <w:rFonts w:hint="eastAsia"/>
                <w:color w:val="000000"/>
                <w:sz w:val="24"/>
              </w:rPr>
              <w:t>东方航空技术有限公司</w:t>
            </w:r>
            <w:r>
              <w:rPr>
                <w:color w:val="000000"/>
                <w:sz w:val="24"/>
              </w:rPr>
              <w:t>投资750万元建设</w:t>
            </w:r>
            <w:r>
              <w:rPr>
                <w:color w:val="000000"/>
                <w:kern w:val="0"/>
                <w:sz w:val="24"/>
                <w:szCs w:val="24"/>
                <w:lang w:val="zh-CN"/>
              </w:rPr>
              <w:t>东方航空技术有限公司西北分公司1号机库改造项目</w:t>
            </w:r>
            <w:r>
              <w:rPr>
                <w:color w:val="000000"/>
                <w:sz w:val="24"/>
                <w:szCs w:val="24"/>
              </w:rPr>
              <w:t>，</w:t>
            </w:r>
            <w:r>
              <w:rPr>
                <w:color w:val="000000"/>
                <w:sz w:val="24"/>
              </w:rPr>
              <w:t>对1号机库生产线及环保设备设施和消防系统进行改造，安装废气通排风一体深度处理设备、气体检测报警系统，并进行消防设备设施及防爆电气、照明改造。</w:t>
            </w:r>
          </w:p>
          <w:p>
            <w:pPr>
              <w:adjustRightInd w:val="0"/>
              <w:snapToGrid w:val="0"/>
              <w:spacing w:before="50" w:line="520" w:lineRule="exact"/>
              <w:ind w:firstLine="480"/>
              <w:rPr>
                <w:b/>
                <w:sz w:val="24"/>
                <w:szCs w:val="24"/>
              </w:rPr>
            </w:pPr>
            <w:r>
              <w:rPr>
                <w:b/>
                <w:sz w:val="24"/>
                <w:szCs w:val="24"/>
              </w:rPr>
              <w:t>2、分析判定情况</w:t>
            </w:r>
          </w:p>
          <w:p>
            <w:pPr>
              <w:adjustRightInd w:val="0"/>
              <w:snapToGrid w:val="0"/>
              <w:spacing w:before="50" w:line="520" w:lineRule="exact"/>
              <w:ind w:firstLine="480" w:firstLineChars="200"/>
              <w:rPr>
                <w:sz w:val="24"/>
                <w:szCs w:val="24"/>
              </w:rPr>
            </w:pPr>
            <w:r>
              <w:rPr>
                <w:sz w:val="24"/>
                <w:szCs w:val="24"/>
              </w:rPr>
              <w:t>（1）产业政策</w:t>
            </w:r>
          </w:p>
          <w:p>
            <w:pPr>
              <w:adjustRightInd w:val="0"/>
              <w:snapToGrid w:val="0"/>
              <w:spacing w:before="50" w:line="520" w:lineRule="exact"/>
              <w:rPr>
                <w:color w:val="000000"/>
                <w:sz w:val="24"/>
                <w:szCs w:val="24"/>
              </w:rPr>
            </w:pPr>
            <w:r>
              <w:rPr>
                <w:sz w:val="24"/>
                <w:szCs w:val="24"/>
              </w:rPr>
              <w:t xml:space="preserve">    </w:t>
            </w:r>
            <w:r>
              <w:rPr>
                <w:color w:val="000000"/>
                <w:sz w:val="24"/>
                <w:szCs w:val="24"/>
              </w:rPr>
              <w:t>根据《产业结构调整指导目录2019年本》，本项目为允许类，根据国家发展改革委、商务部会同有关部门汇总、审查形成的《市场准入负面清单(2019版)》，本项目不属于其中禁止建设的项目。</w:t>
            </w:r>
            <w:r>
              <w:rPr>
                <w:color w:val="000000"/>
                <w:sz w:val="24"/>
                <w:szCs w:val="24"/>
                <w:highlight w:val="none"/>
              </w:rPr>
              <w:t>项目不</w:t>
            </w:r>
            <w:r>
              <w:rPr>
                <w:color w:val="000000"/>
                <w:sz w:val="24"/>
                <w:szCs w:val="24"/>
              </w:rPr>
              <w:t>在《陕西省限制投资类产业指导目录》（陕发改产业[2007]97号）之列。项目已经</w:t>
            </w:r>
            <w:r>
              <w:rPr>
                <w:color w:val="000000"/>
                <w:kern w:val="0"/>
                <w:sz w:val="24"/>
              </w:rPr>
              <w:t>空港新城行政审批和政务服务局备案，</w:t>
            </w:r>
            <w:r>
              <w:rPr>
                <w:color w:val="000000"/>
                <w:sz w:val="24"/>
                <w:szCs w:val="24"/>
              </w:rPr>
              <w:t>因此项目的建设符合国家现行产业政策。</w:t>
            </w:r>
          </w:p>
          <w:p>
            <w:pPr>
              <w:pStyle w:val="2"/>
              <w:spacing w:after="0" w:line="520" w:lineRule="exact"/>
              <w:ind w:left="0" w:leftChars="0" w:firstLine="0" w:firstLineChars="0"/>
              <w:rPr>
                <w:rFonts w:ascii="Times New Roman" w:hAnsi="Times New Roman"/>
                <w:sz w:val="24"/>
                <w:szCs w:val="20"/>
              </w:rPr>
            </w:pPr>
            <w:r>
              <w:rPr>
                <w:rFonts w:ascii="Times New Roman" w:hAnsi="Times New Roman"/>
                <w:sz w:val="24"/>
                <w:szCs w:val="20"/>
              </w:rPr>
              <w:t xml:space="preserve">    （2）选址合理性</w:t>
            </w:r>
          </w:p>
          <w:p>
            <w:pPr>
              <w:pStyle w:val="2"/>
              <w:spacing w:after="0" w:line="520" w:lineRule="exact"/>
              <w:ind w:left="0" w:leftChars="0" w:firstLine="0" w:firstLineChars="0"/>
              <w:rPr>
                <w:rFonts w:ascii="Times New Roman" w:hAnsi="Times New Roman"/>
                <w:color w:val="000000"/>
                <w:sz w:val="24"/>
              </w:rPr>
            </w:pPr>
            <w:r>
              <w:rPr>
                <w:rFonts w:ascii="Times New Roman" w:hAnsi="Times New Roman"/>
                <w:sz w:val="24"/>
                <w:szCs w:val="20"/>
              </w:rPr>
              <w:t xml:space="preserve">    本项目位于陕西省西咸新区空港新城西安咸阳机场空港东二路东航技术公司西北分公司1号机库，原机库于1991年投入运行，因建设时间较早，未办理环评。2013年对原有项目进行第一次改造，并于2013年10月16日取得陕西省西咸新区空港新城生态环保局文件关于东航西安维修基地新机库及配套建设项目环境影响报告表的批复（陕空港环批复</w:t>
            </w:r>
            <w:r>
              <w:rPr>
                <w:rFonts w:ascii="Times New Roman" w:hAnsi="Times New Roman"/>
                <w:sz w:val="24"/>
                <w:szCs w:val="20"/>
                <w:highlight w:val="none"/>
              </w:rPr>
              <w:t>[</w:t>
            </w:r>
            <w:r>
              <w:rPr>
                <w:rFonts w:ascii="Times New Roman" w:hAnsi="Times New Roman"/>
                <w:sz w:val="24"/>
                <w:szCs w:val="20"/>
              </w:rPr>
              <w:t>2013</w:t>
            </w:r>
            <w:r>
              <w:rPr>
                <w:rFonts w:ascii="Times New Roman" w:hAnsi="Times New Roman"/>
                <w:sz w:val="24"/>
                <w:szCs w:val="20"/>
                <w:highlight w:val="none"/>
              </w:rPr>
              <w:t>]</w:t>
            </w:r>
            <w:r>
              <w:rPr>
                <w:rFonts w:ascii="Times New Roman" w:hAnsi="Times New Roman"/>
                <w:sz w:val="24"/>
                <w:szCs w:val="20"/>
              </w:rPr>
              <w:t>10号），</w:t>
            </w:r>
            <w:r>
              <w:rPr>
                <w:rFonts w:hint="eastAsia" w:ascii="Times New Roman" w:hAnsi="Times New Roman"/>
                <w:sz w:val="24"/>
                <w:szCs w:val="20"/>
              </w:rPr>
              <w:t>2016年7月21日取得陕西省西咸新区空港新城规划建设环保局关于东航西安维修基地新机库及配套建设项目竣工环保验收的批复（空港规建环[2016]23号）</w:t>
            </w:r>
            <w:r>
              <w:rPr>
                <w:rFonts w:ascii="Times New Roman" w:hAnsi="Times New Roman"/>
                <w:sz w:val="24"/>
                <w:szCs w:val="20"/>
              </w:rPr>
              <w:t>。根据咸国用（2003）第142号文件，本项目位于西咸新区飞机场内，地类（用途）为民航设施。项目选址合理。</w:t>
            </w:r>
            <w:r>
              <w:rPr>
                <w:rFonts w:ascii="Times New Roman" w:hAnsi="Times New Roman"/>
                <w:color w:val="000000"/>
                <w:sz w:val="24"/>
              </w:rPr>
              <w:t xml:space="preserve"> </w:t>
            </w:r>
          </w:p>
          <w:p>
            <w:pPr>
              <w:pStyle w:val="2"/>
              <w:spacing w:after="0" w:line="520" w:lineRule="exact"/>
              <w:ind w:left="0" w:leftChars="0" w:firstLine="480"/>
              <w:rPr>
                <w:rFonts w:ascii="Times New Roman" w:hAnsi="Times New Roman"/>
                <w:sz w:val="24"/>
                <w:szCs w:val="20"/>
              </w:rPr>
            </w:pPr>
            <w:r>
              <w:rPr>
                <w:rFonts w:ascii="Times New Roman" w:hAnsi="Times New Roman"/>
                <w:sz w:val="24"/>
                <w:szCs w:val="20"/>
              </w:rPr>
              <w:t>（3）相关政策符合性</w:t>
            </w:r>
          </w:p>
          <w:p>
            <w:pPr>
              <w:pStyle w:val="2"/>
              <w:spacing w:after="0" w:line="520" w:lineRule="exact"/>
              <w:ind w:left="0" w:leftChars="0" w:firstLine="480"/>
              <w:rPr>
                <w:rFonts w:ascii="Times New Roman" w:hAnsi="Times New Roman"/>
                <w:sz w:val="24"/>
                <w:szCs w:val="20"/>
              </w:rPr>
            </w:pPr>
            <w:r>
              <w:rPr>
                <w:rFonts w:ascii="Times New Roman" w:hAnsi="Times New Roman"/>
                <w:sz w:val="24"/>
                <w:szCs w:val="20"/>
              </w:rPr>
              <w:t>根据《西咸新区空港新城分区规划（2011～2020年）环境影响报告书》，本项目所在地不位于空港新城禁止或限制建设区范围，不属于禁止或限制入区的高耗能、高污染类行业，符合空港新城规划方向及规划环评要求。</w:t>
            </w:r>
          </w:p>
          <w:p>
            <w:pPr>
              <w:pStyle w:val="2"/>
              <w:spacing w:after="0" w:line="520" w:lineRule="exact"/>
              <w:ind w:left="0" w:leftChars="0" w:firstLine="480"/>
              <w:rPr>
                <w:rFonts w:ascii="Times New Roman" w:hAnsi="Times New Roman"/>
                <w:sz w:val="24"/>
                <w:szCs w:val="20"/>
              </w:rPr>
            </w:pPr>
            <w:r>
              <w:rPr>
                <w:rFonts w:ascii="Times New Roman" w:hAnsi="Times New Roman"/>
                <w:sz w:val="24"/>
                <w:szCs w:val="20"/>
              </w:rPr>
              <w:t>项目与相关政策相符性及规划相符性分析见下表。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表1   相关政策相符性及规划相符性分析情况一览表</w:t>
            </w:r>
          </w:p>
          <w:tbl>
            <w:tblPr>
              <w:tblStyle w:val="38"/>
              <w:tblW w:w="8778"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17"/>
              <w:gridCol w:w="4080"/>
              <w:gridCol w:w="2658"/>
              <w:gridCol w:w="72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317" w:type="dxa"/>
                  <w:vAlign w:val="center"/>
                </w:tcPr>
                <w:p>
                  <w:pPr>
                    <w:jc w:val="center"/>
                  </w:pPr>
                  <w:r>
                    <w:t>文件</w:t>
                  </w:r>
                </w:p>
              </w:tc>
              <w:tc>
                <w:tcPr>
                  <w:tcW w:w="4080" w:type="dxa"/>
                  <w:vAlign w:val="center"/>
                </w:tcPr>
                <w:p>
                  <w:pPr>
                    <w:jc w:val="center"/>
                  </w:pPr>
                  <w:r>
                    <w:t>相关要求</w:t>
                  </w:r>
                </w:p>
              </w:tc>
              <w:tc>
                <w:tcPr>
                  <w:tcW w:w="2658" w:type="dxa"/>
                  <w:vAlign w:val="center"/>
                </w:tcPr>
                <w:p>
                  <w:pPr>
                    <w:jc w:val="center"/>
                  </w:pPr>
                  <w:r>
                    <w:t>本项目情况</w:t>
                  </w:r>
                </w:p>
              </w:tc>
              <w:tc>
                <w:tcPr>
                  <w:tcW w:w="723" w:type="dxa"/>
                  <w:vAlign w:val="center"/>
                </w:tcPr>
                <w:p>
                  <w:pPr>
                    <w:jc w:val="center"/>
                  </w:pPr>
                  <w:r>
                    <w:t>符合性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57" w:hRule="atLeast"/>
              </w:trPr>
              <w:tc>
                <w:tcPr>
                  <w:tcW w:w="1317" w:type="dxa"/>
                  <w:tcBorders>
                    <w:bottom w:val="single" w:color="auto" w:sz="4" w:space="0"/>
                  </w:tcBorders>
                  <w:vAlign w:val="center"/>
                </w:tcPr>
                <w:p>
                  <w:pPr>
                    <w:pStyle w:val="133"/>
                    <w:adjustRightInd w:val="0"/>
                    <w:snapToGrid w:val="0"/>
                    <w:spacing w:line="240" w:lineRule="auto"/>
                    <w:rPr>
                      <w:rFonts w:ascii="Times New Roman" w:hAnsi="Times New Roman"/>
                    </w:rPr>
                  </w:pPr>
                  <w:r>
                    <w:rPr>
                      <w:rFonts w:ascii="Times New Roman" w:hAnsi="Times New Roman"/>
                    </w:rPr>
                    <w:t>挥发性有机物污（VOCs）染防治技术政策( 公告 2013年第31号)</w:t>
                  </w:r>
                </w:p>
              </w:tc>
              <w:tc>
                <w:tcPr>
                  <w:tcW w:w="4080" w:type="dxa"/>
                  <w:tcBorders>
                    <w:bottom w:val="single" w:color="auto" w:sz="4" w:space="0"/>
                  </w:tcBorders>
                  <w:vAlign w:val="center"/>
                </w:tcPr>
                <w:p>
                  <w:pPr>
                    <w:pStyle w:val="133"/>
                    <w:adjustRightInd w:val="0"/>
                    <w:snapToGrid w:val="0"/>
                    <w:spacing w:line="240" w:lineRule="auto"/>
                    <w:rPr>
                      <w:rFonts w:ascii="Times New Roman" w:hAnsi="Times New Roman"/>
                    </w:rPr>
                  </w:pPr>
                  <w:r>
                    <w:rPr>
                      <w:rFonts w:ascii="Times New Roman" w:hAnsi="Times New Roman"/>
                    </w:rPr>
                    <w:t>1、含VOCs产品的使用过程中，应采取废气收集措施，提高废气收集效率，减少废气的无组织排放与逸散，并对收集后的废气进行回收或处理后达标排放；</w:t>
                  </w:r>
                </w:p>
                <w:p>
                  <w:pPr>
                    <w:pStyle w:val="133"/>
                    <w:adjustRightInd w:val="0"/>
                    <w:snapToGrid w:val="0"/>
                    <w:spacing w:line="240" w:lineRule="auto"/>
                    <w:rPr>
                      <w:rFonts w:ascii="Times New Roman" w:hAnsi="Times New Roman"/>
                    </w:rPr>
                  </w:pPr>
                  <w:r>
                    <w:rPr>
                      <w:rFonts w:ascii="Times New Roman" w:hAnsi="Times New Roman"/>
                    </w:rPr>
                    <w:t>2、对于含低浓度VOCs的废气，有回收价值时可采用吸附技术、吸收技术对有机溶剂回收后达标排放；不宜回收时，可采用吸附浓缩燃烧技术、生物技术、吸收技术、等离子体技术或紫外光高级氧化技术等净化后达标排放；</w:t>
                  </w:r>
                </w:p>
                <w:p>
                  <w:pPr>
                    <w:pStyle w:val="133"/>
                    <w:adjustRightInd w:val="0"/>
                    <w:snapToGrid w:val="0"/>
                    <w:spacing w:line="240" w:lineRule="auto"/>
                    <w:rPr>
                      <w:rFonts w:ascii="Times New Roman" w:hAnsi="Times New Roman"/>
                    </w:rPr>
                  </w:pPr>
                  <w:r>
                    <w:rPr>
                      <w:rFonts w:ascii="Times New Roman" w:hAnsi="Times New Roman"/>
                    </w:rPr>
                    <w:t>3、对于不能再生的过滤材料、吸附剂及催化剂等净化材料，应按照国家固体废物管理的相关规定处理处置。</w:t>
                  </w:r>
                </w:p>
              </w:tc>
              <w:tc>
                <w:tcPr>
                  <w:tcW w:w="2658" w:type="dxa"/>
                  <w:vAlign w:val="center"/>
                </w:tcPr>
                <w:p>
                  <w:pPr>
                    <w:pStyle w:val="133"/>
                    <w:adjustRightInd w:val="0"/>
                    <w:snapToGrid w:val="0"/>
                    <w:spacing w:line="240" w:lineRule="auto"/>
                    <w:rPr>
                      <w:rFonts w:ascii="Times New Roman" w:hAnsi="Times New Roman"/>
                    </w:rPr>
                  </w:pPr>
                  <w:r>
                    <w:rPr>
                      <w:rFonts w:ascii="Times New Roman" w:hAnsi="Times New Roman"/>
                    </w:rPr>
                    <w:t>1、项目喷漆及晾干废气采用“</w:t>
                  </w:r>
                  <w:r>
                    <w:t>排风收集箱</w:t>
                  </w:r>
                  <w:r>
                    <w:rPr>
                      <w:rFonts w:ascii="Times New Roman" w:hAnsi="Times New Roman"/>
                    </w:rPr>
                    <w:t>+</w:t>
                  </w:r>
                  <w:r>
                    <w:rPr>
                      <w:rFonts w:hint="eastAsia" w:ascii="Times New Roman" w:hAnsi="Times New Roman"/>
                    </w:rPr>
                    <w:t>干式</w:t>
                  </w:r>
                  <w:r>
                    <w:rPr>
                      <w:rFonts w:ascii="Times New Roman" w:hAnsi="Times New Roman"/>
                    </w:rPr>
                    <w:t>过滤器+活性炭吸附</w:t>
                  </w:r>
                  <w:r>
                    <w:rPr>
                      <w:rFonts w:hint="eastAsia" w:ascii="Times New Roman" w:hAnsi="Times New Roman"/>
                    </w:rPr>
                    <w:t>箱</w:t>
                  </w:r>
                  <w:r>
                    <w:rPr>
                      <w:rFonts w:ascii="Times New Roman" w:hAnsi="Times New Roman"/>
                    </w:rPr>
                    <w:t>”装置处理，控制无组织废气的产生量，提高废气收集效率，并对收集后的废气处理后达标排放；</w:t>
                  </w:r>
                </w:p>
                <w:p>
                  <w:pPr>
                    <w:pStyle w:val="133"/>
                    <w:adjustRightInd w:val="0"/>
                    <w:snapToGrid w:val="0"/>
                    <w:spacing w:line="240" w:lineRule="auto"/>
                    <w:rPr>
                      <w:rFonts w:ascii="Times New Roman" w:hAnsi="Times New Roman"/>
                    </w:rPr>
                  </w:pPr>
                  <w:r>
                    <w:rPr>
                      <w:rFonts w:ascii="Times New Roman" w:hAnsi="Times New Roman"/>
                    </w:rPr>
                    <w:t>2、项目产生的危险废物，由危废暂存间暂存后交有资质单位处置，已签订危废协议。</w:t>
                  </w:r>
                </w:p>
              </w:tc>
              <w:tc>
                <w:tcPr>
                  <w:tcW w:w="723" w:type="dxa"/>
                  <w:vAlign w:val="center"/>
                </w:tcPr>
                <w:p>
                  <w:pPr>
                    <w:pStyle w:val="133"/>
                    <w:adjustRightInd w:val="0"/>
                    <w:snapToGrid w:val="0"/>
                    <w:spacing w:line="240" w:lineRule="auto"/>
                    <w:rPr>
                      <w:rFonts w:ascii="Times New Roman" w:hAnsi="Times New Roman"/>
                    </w:rPr>
                  </w:pPr>
                  <w:r>
                    <w:rPr>
                      <w:rFonts w:ascii="Times New Roman" w:hAnsi="Times New Roman"/>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985" w:hRule="atLeast"/>
              </w:trPr>
              <w:tc>
                <w:tcPr>
                  <w:tcW w:w="1317" w:type="dxa"/>
                  <w:vAlign w:val="center"/>
                </w:tcPr>
                <w:p>
                  <w:pPr>
                    <w:jc w:val="center"/>
                    <w:rPr>
                      <w:lang w:val="zh-CN"/>
                    </w:rPr>
                  </w:pPr>
                  <w:r>
                    <w:t>“十三五”挥发性有机物污染防治工作方案</w:t>
                  </w:r>
                </w:p>
              </w:tc>
              <w:tc>
                <w:tcPr>
                  <w:tcW w:w="4080" w:type="dxa"/>
                  <w:vAlign w:val="center"/>
                </w:tcPr>
                <w:p>
                  <w:pPr>
                    <w:autoSpaceDE w:val="0"/>
                    <w:autoSpaceDN w:val="0"/>
                    <w:adjustRightInd w:val="0"/>
                    <w:jc w:val="center"/>
                  </w:pPr>
                  <w:r>
                    <w:t>严格建设项目环境准入。提高VOCs 排放重点行业环保准入门槛，严格控制新增污染物排放量。重点地区要严格限制石化、化工、包装印刷、工业涂装等高VOCs 排放建设项目。新建涉VOCs 排放的工业企业要入园区。新、改、扩建涉VOCs 排放项目，应从源头加强控制，使用低（无）VOCs 含量的原辅材料。加强废气收集，安装高效治理设施。</w:t>
                  </w:r>
                </w:p>
                <w:p>
                  <w:pPr>
                    <w:autoSpaceDE w:val="0"/>
                    <w:autoSpaceDN w:val="0"/>
                    <w:adjustRightInd w:val="0"/>
                    <w:jc w:val="center"/>
                  </w:pPr>
                  <w:r>
                    <w:t>加大工业涂装VOCs治理力度。全面推进集装箱、汽车、木质家具、船舶、工程机械、钢结构、卷材等制造行业工业涂装VOCs排放控制，在重点地区还应加强其他交通设备、电子、家用电器制造等行业工业涂装VOCs排放控制。试点推行水性涂料，大力采用自动喷涂、静电喷涂等先进涂装技术。加强有机废气收集与治理，有机废气收集率不低于80%，建设吸附燃烧等高校治理设施，实现达标排放。</w:t>
                  </w:r>
                </w:p>
              </w:tc>
              <w:tc>
                <w:tcPr>
                  <w:tcW w:w="2658" w:type="dxa"/>
                  <w:vAlign w:val="center"/>
                </w:tcPr>
                <w:p>
                  <w:pPr>
                    <w:jc w:val="center"/>
                  </w:pPr>
                  <w:r>
                    <w:t>本项目为改建项目，不属于新建工业企业。本项目使用低VOCs 含量的原辅材料，设计有机废气收集治理措施。喷漆及晾干废气经“排风收集箱+</w:t>
                  </w:r>
                  <w:r>
                    <w:rPr>
                      <w:rFonts w:hint="eastAsia"/>
                    </w:rPr>
                    <w:t>干式</w:t>
                  </w:r>
                  <w:r>
                    <w:t>过滤器+活性炭吸附箱”+15米高的排气筒；有机废气处理效率可达85%以上，排放浓度满《挥发性有机物排放控制标准》(DB61/T1061-2017)中表面涂装有机废气排放标准限值</w:t>
                  </w:r>
                </w:p>
              </w:tc>
              <w:tc>
                <w:tcPr>
                  <w:tcW w:w="723" w:type="dxa"/>
                  <w:vAlign w:val="center"/>
                </w:tcPr>
                <w:p>
                  <w:pPr>
                    <w:jc w:val="center"/>
                  </w:pPr>
                  <w: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985" w:hRule="atLeast"/>
              </w:trPr>
              <w:tc>
                <w:tcPr>
                  <w:tcW w:w="1317" w:type="dxa"/>
                  <w:vMerge w:val="restart"/>
                  <w:vAlign w:val="center"/>
                </w:tcPr>
                <w:p>
                  <w:pPr>
                    <w:pStyle w:val="133"/>
                    <w:adjustRightInd w:val="0"/>
                    <w:snapToGrid w:val="0"/>
                    <w:spacing w:line="240" w:lineRule="auto"/>
                    <w:rPr>
                      <w:rFonts w:ascii="Times New Roman" w:hAnsi="Times New Roman"/>
                    </w:rPr>
                  </w:pPr>
                  <w:r>
                    <w:rPr>
                      <w:rFonts w:ascii="Times New Roman" w:hAnsi="Times New Roman"/>
                    </w:rPr>
                    <w:t>《陕西省人民政府关于印发铁腕治霾打赢蓝天保卫战三年行动方案（2018-2020年）（修订版）的通知》（陕政发〔2018〕29号）</w:t>
                  </w:r>
                  <w:r>
                    <w:rPr>
                      <w:rFonts w:ascii="Times New Roman" w:hAnsi="Times New Roman"/>
                      <w:highlight w:val="none"/>
                    </w:rPr>
                    <w:t>）</w:t>
                  </w:r>
                </w:p>
              </w:tc>
              <w:tc>
                <w:tcPr>
                  <w:tcW w:w="4080" w:type="dxa"/>
                  <w:vAlign w:val="center"/>
                </w:tcPr>
                <w:p>
                  <w:pPr>
                    <w:pStyle w:val="133"/>
                    <w:adjustRightInd w:val="0"/>
                    <w:snapToGrid w:val="0"/>
                    <w:spacing w:line="240" w:lineRule="auto"/>
                    <w:rPr>
                      <w:rFonts w:ascii="Times New Roman" w:hAnsi="Times New Roman"/>
                    </w:rPr>
                  </w:pPr>
                  <w:r>
                    <w:rPr>
                      <w:rFonts w:ascii="Times New Roman" w:hAnsi="Times New Roman"/>
                    </w:rPr>
                    <w:t>关中地区禁止建设生产和使用高VOCs含量的溶剂型涂料、油墨、胶粘剂等项目</w:t>
                  </w:r>
                </w:p>
              </w:tc>
              <w:tc>
                <w:tcPr>
                  <w:tcW w:w="2658" w:type="dxa"/>
                  <w:vAlign w:val="center"/>
                </w:tcPr>
                <w:p>
                  <w:pPr>
                    <w:pStyle w:val="133"/>
                    <w:adjustRightInd w:val="0"/>
                    <w:snapToGrid w:val="0"/>
                    <w:spacing w:line="240" w:lineRule="auto"/>
                    <w:rPr>
                      <w:rFonts w:ascii="Times New Roman" w:hAnsi="Times New Roman"/>
                    </w:rPr>
                  </w:pPr>
                  <w:r>
                    <w:rPr>
                      <w:rFonts w:ascii="Times New Roman" w:hAnsi="Times New Roman"/>
                    </w:rPr>
                    <w:t>参照《京津冀及周边地区2018-2019年秋冬季大气污染综合治理攻坚行动方案》，根据检验报告（见附件）：本项目所用油漆中VOCs均低于700g/L</w:t>
                  </w:r>
                </w:p>
              </w:tc>
              <w:tc>
                <w:tcPr>
                  <w:tcW w:w="723" w:type="dxa"/>
                  <w:vMerge w:val="restart"/>
                  <w:vAlign w:val="center"/>
                </w:tcPr>
                <w:p>
                  <w:pPr>
                    <w:pStyle w:val="133"/>
                    <w:adjustRightInd w:val="0"/>
                    <w:snapToGrid w:val="0"/>
                    <w:spacing w:line="240" w:lineRule="auto"/>
                    <w:rPr>
                      <w:rFonts w:ascii="Times New Roman" w:hAnsi="Times New Roman"/>
                    </w:rPr>
                  </w:pPr>
                  <w:r>
                    <w:rPr>
                      <w:rFonts w:ascii="Times New Roman" w:hAnsi="Times New Roman"/>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985" w:hRule="atLeast"/>
              </w:trPr>
              <w:tc>
                <w:tcPr>
                  <w:tcW w:w="1317" w:type="dxa"/>
                  <w:vMerge w:val="continue"/>
                  <w:vAlign w:val="center"/>
                </w:tcPr>
                <w:p>
                  <w:pPr>
                    <w:pStyle w:val="133"/>
                    <w:adjustRightInd w:val="0"/>
                    <w:snapToGrid w:val="0"/>
                    <w:spacing w:line="240" w:lineRule="auto"/>
                    <w:rPr>
                      <w:rFonts w:ascii="Times New Roman" w:hAnsi="Times New Roman"/>
                    </w:rPr>
                  </w:pPr>
                </w:p>
              </w:tc>
              <w:tc>
                <w:tcPr>
                  <w:tcW w:w="4080" w:type="dxa"/>
                  <w:vAlign w:val="center"/>
                </w:tcPr>
                <w:p>
                  <w:pPr>
                    <w:pStyle w:val="133"/>
                    <w:adjustRightInd w:val="0"/>
                    <w:snapToGrid w:val="0"/>
                    <w:spacing w:line="240" w:lineRule="auto"/>
                    <w:rPr>
                      <w:rFonts w:ascii="Times New Roman" w:hAnsi="Times New Roman"/>
                    </w:rPr>
                  </w:pPr>
                  <w:r>
                    <w:rPr>
                      <w:rFonts w:ascii="Times New Roman" w:hAnsi="Times New Roman"/>
                    </w:rPr>
                    <w:t>关中地区二氧化硫、氮氧化物、颗粒物、挥发性有机物（VOCs）全面执行大气污染物特别排放限值</w:t>
                  </w:r>
                </w:p>
              </w:tc>
              <w:tc>
                <w:tcPr>
                  <w:tcW w:w="2658" w:type="dxa"/>
                  <w:vAlign w:val="center"/>
                </w:tcPr>
                <w:p>
                  <w:pPr>
                    <w:pStyle w:val="133"/>
                    <w:adjustRightInd w:val="0"/>
                    <w:snapToGrid w:val="0"/>
                    <w:spacing w:line="240" w:lineRule="auto"/>
                    <w:rPr>
                      <w:rFonts w:ascii="Times New Roman" w:hAnsi="Times New Roman"/>
                    </w:rPr>
                  </w:pPr>
                  <w:r>
                    <w:rPr>
                      <w:rFonts w:ascii="Times New Roman" w:hAnsi="Times New Roman"/>
                    </w:rPr>
                    <w:t xml:space="preserve">本项目甲苯+乙苯、二甲苯、非甲烷总烃排放执行陕西省《挥发性有机物排放控制标准》（DB61/T 1061-2017）中的限值 </w:t>
                  </w:r>
                </w:p>
              </w:tc>
              <w:tc>
                <w:tcPr>
                  <w:tcW w:w="723" w:type="dxa"/>
                  <w:vMerge w:val="continue"/>
                  <w:vAlign w:val="center"/>
                </w:tcPr>
                <w:p>
                  <w:pPr>
                    <w:pStyle w:val="133"/>
                    <w:adjustRightInd w:val="0"/>
                    <w:snapToGrid w:val="0"/>
                    <w:spacing w:line="240" w:lineRule="auto"/>
                    <w:rPr>
                      <w:rFonts w:ascii="Times New Roman" w:hAnsi="Times New Roma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985" w:hRule="atLeast"/>
              </w:trPr>
              <w:tc>
                <w:tcPr>
                  <w:tcW w:w="1317" w:type="dxa"/>
                  <w:vAlign w:val="center"/>
                </w:tcPr>
                <w:p>
                  <w:pPr>
                    <w:pStyle w:val="135"/>
                  </w:pPr>
                  <w:r>
                    <w:rPr>
                      <w:kern w:val="0"/>
                      <w:szCs w:val="21"/>
                    </w:rPr>
                    <w:t>《陕西省蓝天保卫战2019年工作方案》</w:t>
                  </w:r>
                </w:p>
              </w:tc>
              <w:tc>
                <w:tcPr>
                  <w:tcW w:w="4080" w:type="dxa"/>
                  <w:vAlign w:val="center"/>
                </w:tcPr>
                <w:p>
                  <w:pPr>
                    <w:pStyle w:val="135"/>
                    <w:jc w:val="left"/>
                    <w:rPr>
                      <w:szCs w:val="21"/>
                    </w:rPr>
                  </w:pPr>
                  <w:r>
                    <w:rPr>
                      <w:color w:val="000000"/>
                      <w:shd w:val="clear" w:color="auto" w:fill="FFFFFF"/>
                    </w:rPr>
                    <w:t>实施VOCs专项整治。各市加快推进石化、化工、工业涂装、包装印刷、家具、电子制造、工程机械制造等重点行业VOCs的整治工作。在煤化工行业开展泄漏检测与修复。关中地区禁止建设生产和使用高VOCs含量的溶剂型涂料、油墨、胶粘剂等项目。</w:t>
                  </w:r>
                </w:p>
              </w:tc>
              <w:tc>
                <w:tcPr>
                  <w:tcW w:w="2658" w:type="dxa"/>
                  <w:vAlign w:val="center"/>
                </w:tcPr>
                <w:p>
                  <w:pPr>
                    <w:pStyle w:val="133"/>
                    <w:adjustRightInd w:val="0"/>
                    <w:snapToGrid w:val="0"/>
                    <w:spacing w:line="240" w:lineRule="auto"/>
                    <w:rPr>
                      <w:rFonts w:ascii="Times New Roman" w:hAnsi="Times New Roman"/>
                    </w:rPr>
                  </w:pPr>
                  <w:r>
                    <w:rPr>
                      <w:rFonts w:ascii="Times New Roman" w:hAnsi="Times New Roman"/>
                    </w:rPr>
                    <w:t>本项目使用低VOCs 含量的原辅材料，设计有机废气收集治理措施，处理效率可达85%以上。</w:t>
                  </w:r>
                </w:p>
              </w:tc>
              <w:tc>
                <w:tcPr>
                  <w:tcW w:w="723" w:type="dxa"/>
                  <w:vAlign w:val="center"/>
                </w:tcPr>
                <w:p>
                  <w:pPr>
                    <w:pStyle w:val="133"/>
                    <w:adjustRightInd w:val="0"/>
                    <w:snapToGrid w:val="0"/>
                    <w:spacing w:line="240" w:lineRule="auto"/>
                    <w:rPr>
                      <w:rFonts w:ascii="Times New Roman" w:hAnsi="Times New Roman"/>
                    </w:rPr>
                  </w:pPr>
                  <w:r>
                    <w:rPr>
                      <w:rFonts w:ascii="Times New Roman" w:hAnsi="Times New Roman"/>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985" w:hRule="atLeast"/>
              </w:trPr>
              <w:tc>
                <w:tcPr>
                  <w:tcW w:w="1317" w:type="dxa"/>
                  <w:vAlign w:val="center"/>
                </w:tcPr>
                <w:p>
                  <w:pPr>
                    <w:pStyle w:val="135"/>
                    <w:rPr>
                      <w:kern w:val="0"/>
                      <w:szCs w:val="21"/>
                    </w:rPr>
                  </w:pPr>
                  <w:r>
                    <w:rPr>
                      <w:kern w:val="0"/>
                      <w:szCs w:val="21"/>
                    </w:rPr>
                    <w:t>《重点行</w:t>
                  </w:r>
                </w:p>
                <w:p>
                  <w:pPr>
                    <w:pStyle w:val="135"/>
                    <w:rPr>
                      <w:kern w:val="0"/>
                      <w:szCs w:val="21"/>
                    </w:rPr>
                  </w:pPr>
                  <w:r>
                    <w:rPr>
                      <w:kern w:val="0"/>
                      <w:szCs w:val="21"/>
                    </w:rPr>
                    <w:t>业挥发性</w:t>
                  </w:r>
                </w:p>
                <w:p>
                  <w:pPr>
                    <w:pStyle w:val="135"/>
                    <w:rPr>
                      <w:kern w:val="0"/>
                      <w:szCs w:val="21"/>
                    </w:rPr>
                  </w:pPr>
                  <w:r>
                    <w:rPr>
                      <w:kern w:val="0"/>
                      <w:szCs w:val="21"/>
                    </w:rPr>
                    <w:t>有机物综</w:t>
                  </w:r>
                </w:p>
                <w:p>
                  <w:pPr>
                    <w:pStyle w:val="135"/>
                    <w:rPr>
                      <w:kern w:val="0"/>
                      <w:szCs w:val="21"/>
                    </w:rPr>
                  </w:pPr>
                  <w:r>
                    <w:rPr>
                      <w:kern w:val="0"/>
                      <w:szCs w:val="21"/>
                    </w:rPr>
                    <w:t>合治理方</w:t>
                  </w:r>
                </w:p>
                <w:p>
                  <w:pPr>
                    <w:pStyle w:val="135"/>
                    <w:rPr>
                      <w:kern w:val="0"/>
                      <w:szCs w:val="21"/>
                    </w:rPr>
                  </w:pPr>
                  <w:r>
                    <w:rPr>
                      <w:kern w:val="0"/>
                      <w:szCs w:val="21"/>
                    </w:rPr>
                    <w:t>案》（环大气[2019]53号）</w:t>
                  </w:r>
                </w:p>
              </w:tc>
              <w:tc>
                <w:tcPr>
                  <w:tcW w:w="4080" w:type="dxa"/>
                  <w:vAlign w:val="center"/>
                </w:tcPr>
                <w:p>
                  <w:pPr>
                    <w:pStyle w:val="133"/>
                    <w:adjustRightInd w:val="0"/>
                    <w:snapToGrid w:val="0"/>
                    <w:spacing w:line="240" w:lineRule="auto"/>
                    <w:jc w:val="both"/>
                    <w:rPr>
                      <w:rFonts w:ascii="Times New Roman" w:hAnsi="Times New Roman"/>
                    </w:rPr>
                  </w:pPr>
                  <w:r>
                    <w:rPr>
                      <w:rFonts w:ascii="Times New Roman" w:hAnsi="Times New Roman"/>
                    </w:rPr>
                    <w:t>推进建设适宜高效的治污设施：鼓励企业采用多种技术的组合工艺，提高VOCs 治理效率。低浓度、大风量废气，宜采用沸石转轮吸附、活性炭吸附、减风增浓等浓缩技术，提高VOCs 浓度后净化处理。</w:t>
                  </w:r>
                </w:p>
                <w:p>
                  <w:pPr>
                    <w:pStyle w:val="135"/>
                    <w:jc w:val="left"/>
                  </w:pPr>
                  <w:r>
                    <w:t>工业涂装VOCs综合治理：加大汽车、家具、集装箱、电子产品、工程机械等行业VOCs 治理力度，重点区域应结合本地产业特征，加快实施其他行业涂装VOCs 综合治理。</w:t>
                  </w:r>
                </w:p>
              </w:tc>
              <w:tc>
                <w:tcPr>
                  <w:tcW w:w="2658" w:type="dxa"/>
                  <w:vAlign w:val="center"/>
                </w:tcPr>
                <w:p>
                  <w:pPr>
                    <w:pStyle w:val="133"/>
                    <w:adjustRightInd w:val="0"/>
                    <w:snapToGrid w:val="0"/>
                    <w:spacing w:line="240" w:lineRule="auto"/>
                    <w:rPr>
                      <w:rFonts w:ascii="Times New Roman" w:hAnsi="Times New Roman"/>
                    </w:rPr>
                  </w:pPr>
                  <w:r>
                    <w:rPr>
                      <w:rFonts w:ascii="Times New Roman" w:hAnsi="Times New Roman"/>
                    </w:rPr>
                    <w:t>本项目产生的喷漆及烘干废气经“排风集气箱+</w:t>
                  </w:r>
                  <w:r>
                    <w:rPr>
                      <w:rFonts w:hint="eastAsia" w:ascii="Times New Roman" w:hAnsi="Times New Roman"/>
                    </w:rPr>
                    <w:t>干式</w:t>
                  </w:r>
                  <w:r>
                    <w:rPr>
                      <w:rFonts w:ascii="Times New Roman" w:hAnsi="Times New Roman"/>
                    </w:rPr>
                    <w:t>过滤器+活性炭吸附箱”+15米高的排气筒。</w:t>
                  </w:r>
                </w:p>
              </w:tc>
              <w:tc>
                <w:tcPr>
                  <w:tcW w:w="723" w:type="dxa"/>
                  <w:vAlign w:val="center"/>
                </w:tcPr>
                <w:p>
                  <w:pPr>
                    <w:pStyle w:val="133"/>
                    <w:adjustRightInd w:val="0"/>
                    <w:snapToGrid w:val="0"/>
                    <w:spacing w:line="240" w:lineRule="auto"/>
                    <w:rPr>
                      <w:rFonts w:ascii="Times New Roman" w:hAnsi="Times New Roman"/>
                    </w:rPr>
                  </w:pPr>
                  <w:r>
                    <w:rPr>
                      <w:rFonts w:ascii="Times New Roman" w:hAnsi="Times New Roman"/>
                    </w:rPr>
                    <w:t>符合</w:t>
                  </w:r>
                </w:p>
              </w:tc>
            </w:tr>
          </w:tbl>
          <w:p>
            <w:pPr>
              <w:adjustRightInd w:val="0"/>
              <w:snapToGrid w:val="0"/>
              <w:spacing w:before="50" w:line="520" w:lineRule="exact"/>
              <w:ind w:firstLine="480"/>
              <w:rPr>
                <w:b/>
                <w:sz w:val="24"/>
                <w:szCs w:val="24"/>
              </w:rPr>
            </w:pPr>
            <w:r>
              <w:rPr>
                <w:b/>
                <w:sz w:val="24"/>
                <w:szCs w:val="24"/>
              </w:rPr>
              <w:t>3、环评委托情况</w:t>
            </w:r>
          </w:p>
          <w:p>
            <w:pPr>
              <w:widowControl/>
              <w:adjustRightInd w:val="0"/>
              <w:snapToGrid w:val="0"/>
              <w:spacing w:before="50" w:line="520" w:lineRule="exact"/>
              <w:ind w:firstLine="480"/>
              <w:rPr>
                <w:sz w:val="24"/>
              </w:rPr>
            </w:pPr>
            <w:r>
              <w:rPr>
                <w:bCs/>
                <w:sz w:val="24"/>
                <w:szCs w:val="24"/>
              </w:rPr>
              <w:t>根据《中华人民共和国环境保护法》、《中华人民共和国环境影响评价法》、国务院第682号令《建设项目环境保护管理条例》和《建设项目环境影响评价分类管理名录》的有关规定，本项目属于“四十九、交通运输业、管道运输业和仓储业”中的162导航台站、供油工程、维修保障等配套工程中“涉及环境敏感区的”，应编制环境影响报告表。受</w:t>
            </w:r>
            <w:r>
              <w:rPr>
                <w:color w:val="000000"/>
                <w:kern w:val="0"/>
                <w:sz w:val="24"/>
                <w:szCs w:val="24"/>
                <w:lang w:val="zh-CN"/>
              </w:rPr>
              <w:t>东方航空技术有限公司西北分公司</w:t>
            </w:r>
            <w:r>
              <w:rPr>
                <w:bCs/>
                <w:sz w:val="24"/>
                <w:szCs w:val="24"/>
              </w:rPr>
              <w:t>委托，由本公司承担本项目环境影响报告表的编制工作。接受委托后，我单位组织有关技术人员对本项目进行了详细的现场踏勘、资料收集，在对有关环境现状和可能造成的环境影响进行初步分析的基础上，编制完成</w:t>
            </w:r>
            <w:r>
              <w:rPr>
                <w:sz w:val="24"/>
                <w:szCs w:val="24"/>
              </w:rPr>
              <w:t>《</w:t>
            </w:r>
            <w:r>
              <w:rPr>
                <w:color w:val="000000"/>
                <w:kern w:val="0"/>
                <w:sz w:val="24"/>
                <w:szCs w:val="24"/>
                <w:lang w:val="zh-CN"/>
              </w:rPr>
              <w:t>东方航空技术有限公司西北分公司1号机库改造项目</w:t>
            </w:r>
            <w:r>
              <w:rPr>
                <w:sz w:val="24"/>
                <w:szCs w:val="24"/>
              </w:rPr>
              <w:t>环境影响报告表》。</w:t>
            </w:r>
          </w:p>
          <w:p>
            <w:pPr>
              <w:adjustRightInd w:val="0"/>
              <w:snapToGrid w:val="0"/>
              <w:spacing w:before="50" w:line="520" w:lineRule="exact"/>
              <w:ind w:firstLine="480"/>
              <w:rPr>
                <w:b/>
                <w:sz w:val="24"/>
                <w:szCs w:val="24"/>
              </w:rPr>
            </w:pPr>
            <w:r>
              <w:rPr>
                <w:b/>
                <w:sz w:val="24"/>
                <w:szCs w:val="24"/>
              </w:rPr>
              <w:t>4、项目基本情况</w:t>
            </w:r>
          </w:p>
          <w:p>
            <w:pPr>
              <w:adjustRightInd w:val="0"/>
              <w:snapToGrid w:val="0"/>
              <w:spacing w:before="50" w:line="520" w:lineRule="exact"/>
              <w:ind w:firstLine="480"/>
              <w:rPr>
                <w:sz w:val="24"/>
                <w:szCs w:val="24"/>
              </w:rPr>
            </w:pPr>
            <w:r>
              <w:rPr>
                <w:sz w:val="24"/>
                <w:szCs w:val="24"/>
              </w:rPr>
              <w:t>项目名称：</w:t>
            </w:r>
            <w:r>
              <w:rPr>
                <w:color w:val="000000"/>
                <w:kern w:val="0"/>
                <w:sz w:val="24"/>
                <w:szCs w:val="24"/>
                <w:lang w:val="zh-CN"/>
              </w:rPr>
              <w:t>东方航空技术有限公司西北分公司1号机库改造项目</w:t>
            </w:r>
            <w:r>
              <w:rPr>
                <w:spacing w:val="-4"/>
                <w:sz w:val="24"/>
                <w:szCs w:val="24"/>
              </w:rPr>
              <w:t>；</w:t>
            </w:r>
          </w:p>
          <w:p>
            <w:pPr>
              <w:autoSpaceDE w:val="0"/>
              <w:autoSpaceDN w:val="0"/>
              <w:adjustRightInd w:val="0"/>
              <w:snapToGrid w:val="0"/>
              <w:spacing w:line="520" w:lineRule="exact"/>
              <w:ind w:firstLine="480" w:firstLineChars="200"/>
              <w:rPr>
                <w:bCs/>
                <w:sz w:val="24"/>
                <w:szCs w:val="24"/>
              </w:rPr>
            </w:pPr>
            <w:r>
              <w:rPr>
                <w:sz w:val="24"/>
                <w:szCs w:val="24"/>
              </w:rPr>
              <w:t>建设地点：本项目位于</w:t>
            </w:r>
            <w:r>
              <w:rPr>
                <w:sz w:val="24"/>
              </w:rPr>
              <w:t>陕西省西咸新区空港新城西安咸阳机场空港东二路东航技术公司西北分公司1号机库（东经108°46′09.54″，北纬34°26′53.35″）</w:t>
            </w:r>
            <w:r>
              <w:rPr>
                <w:sz w:val="24"/>
                <w:szCs w:val="24"/>
              </w:rPr>
              <w:t>。项目东北侧为机场配套的设备存放棚、消防水池及充电间、消防泵房；东南侧为APU修理车间和变电站及机加车库；项目西南侧为闲置办公楼和培训中心，项目西北侧为停机坪。项目地理位置见附图1。</w:t>
            </w:r>
            <w:r>
              <w:rPr>
                <w:bCs/>
                <w:sz w:val="24"/>
                <w:szCs w:val="24"/>
              </w:rPr>
              <w:t>项目四邻关系见附图2。</w:t>
            </w:r>
            <w:r>
              <w:rPr>
                <w:kern w:val="0"/>
                <w:sz w:val="24"/>
                <w:szCs w:val="24"/>
              </w:rPr>
              <w:t xml:space="preserve"> </w:t>
            </w:r>
          </w:p>
          <w:p>
            <w:pPr>
              <w:adjustRightInd w:val="0"/>
              <w:snapToGrid w:val="0"/>
              <w:spacing w:before="50" w:line="520" w:lineRule="exact"/>
              <w:ind w:firstLine="480"/>
              <w:rPr>
                <w:sz w:val="24"/>
                <w:szCs w:val="24"/>
              </w:rPr>
            </w:pPr>
            <w:r>
              <w:rPr>
                <w:sz w:val="24"/>
                <w:szCs w:val="24"/>
              </w:rPr>
              <w:t>建设单位：</w:t>
            </w:r>
            <w:r>
              <w:rPr>
                <w:color w:val="000000"/>
                <w:kern w:val="0"/>
                <w:sz w:val="24"/>
                <w:szCs w:val="24"/>
                <w:lang w:val="zh-CN"/>
              </w:rPr>
              <w:t>东方航空技术有限公司西北分公司</w:t>
            </w:r>
            <w:r>
              <w:rPr>
                <w:sz w:val="24"/>
                <w:szCs w:val="24"/>
              </w:rPr>
              <w:t>；</w:t>
            </w:r>
          </w:p>
          <w:p>
            <w:pPr>
              <w:adjustRightInd w:val="0"/>
              <w:snapToGrid w:val="0"/>
              <w:spacing w:before="50" w:line="520" w:lineRule="exact"/>
              <w:ind w:firstLine="480"/>
              <w:rPr>
                <w:sz w:val="24"/>
                <w:szCs w:val="24"/>
              </w:rPr>
            </w:pPr>
            <w:r>
              <w:rPr>
                <w:sz w:val="24"/>
                <w:szCs w:val="24"/>
              </w:rPr>
              <w:t>建设性质：改建；</w:t>
            </w:r>
          </w:p>
          <w:p>
            <w:pPr>
              <w:adjustRightInd w:val="0"/>
              <w:snapToGrid w:val="0"/>
              <w:spacing w:before="50" w:line="520" w:lineRule="exact"/>
              <w:ind w:firstLine="480"/>
              <w:rPr>
                <w:sz w:val="24"/>
                <w:szCs w:val="24"/>
              </w:rPr>
            </w:pPr>
            <w:r>
              <w:rPr>
                <w:sz w:val="24"/>
                <w:szCs w:val="24"/>
              </w:rPr>
              <w:t>投资总额：750万元；</w:t>
            </w:r>
          </w:p>
          <w:p>
            <w:pPr>
              <w:spacing w:before="50" w:line="520" w:lineRule="exact"/>
              <w:ind w:firstLine="480"/>
              <w:rPr>
                <w:sz w:val="24"/>
                <w:szCs w:val="24"/>
              </w:rPr>
            </w:pPr>
            <w:r>
              <w:rPr>
                <w:sz w:val="24"/>
                <w:szCs w:val="24"/>
              </w:rPr>
              <w:t>建设规模：</w:t>
            </w:r>
            <w:r>
              <w:rPr>
                <w:color w:val="000000"/>
                <w:sz w:val="24"/>
              </w:rPr>
              <w:t>对1号机库生产线及环保设备设施和消防系统进行改造，安装废气通排风一体深度处理设备、气体检测报警系统。</w:t>
            </w:r>
          </w:p>
          <w:p>
            <w:pPr>
              <w:pStyle w:val="3"/>
              <w:spacing w:before="93" w:beforeLines="30" w:after="93" w:afterLines="30" w:line="520" w:lineRule="exact"/>
              <w:ind w:left="0" w:leftChars="0" w:firstLine="482" w:firstLineChars="200"/>
              <w:jc w:val="left"/>
              <w:rPr>
                <w:rFonts w:ascii="Times New Roman" w:hAnsi="Times New Roman"/>
                <w:b/>
                <w:sz w:val="24"/>
                <w:szCs w:val="20"/>
              </w:rPr>
            </w:pPr>
            <w:r>
              <w:rPr>
                <w:rFonts w:ascii="Times New Roman" w:hAnsi="Times New Roman"/>
                <w:b/>
                <w:sz w:val="24"/>
                <w:szCs w:val="20"/>
              </w:rPr>
              <w:t>5、建设项目组成</w:t>
            </w:r>
          </w:p>
          <w:p>
            <w:pPr>
              <w:pStyle w:val="11"/>
              <w:spacing w:line="520" w:lineRule="exact"/>
              <w:ind w:firstLine="480" w:firstLineChars="200"/>
              <w:jc w:val="both"/>
            </w:pPr>
            <w:r>
              <w:rPr>
                <w:color w:val="000000"/>
                <w:sz w:val="24"/>
              </w:rPr>
              <w:t>本项目主要建设内容为对1号机库生产线及环保设备设施和消防系统进行改造，</w:t>
            </w:r>
            <w:r>
              <w:rPr>
                <w:sz w:val="24"/>
                <w:szCs w:val="24"/>
              </w:rPr>
              <w:t>改建前后项目工程组成及建设内容见下表。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表2  改建前后项目工程组成及建设内容一览表</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0"/>
              <w:gridCol w:w="826"/>
              <w:gridCol w:w="1121"/>
              <w:gridCol w:w="3591"/>
              <w:gridCol w:w="28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Align w:val="center"/>
                </w:tcPr>
                <w:p>
                  <w:pPr>
                    <w:jc w:val="center"/>
                  </w:pPr>
                  <w:r>
                    <w:t>序号</w:t>
                  </w:r>
                </w:p>
              </w:tc>
              <w:tc>
                <w:tcPr>
                  <w:tcW w:w="826" w:type="dxa"/>
                  <w:vAlign w:val="center"/>
                </w:tcPr>
                <w:p>
                  <w:pPr>
                    <w:jc w:val="center"/>
                  </w:pPr>
                  <w:r>
                    <w:t>建设项目</w:t>
                  </w:r>
                </w:p>
              </w:tc>
              <w:tc>
                <w:tcPr>
                  <w:tcW w:w="1121" w:type="dxa"/>
                  <w:vAlign w:val="center"/>
                </w:tcPr>
                <w:p>
                  <w:pPr>
                    <w:jc w:val="center"/>
                    <w:rPr>
                      <w:spacing w:val="-10"/>
                    </w:rPr>
                  </w:pPr>
                  <w:r>
                    <w:rPr>
                      <w:spacing w:val="-21"/>
                    </w:rPr>
                    <w:t>建（构）筑物</w:t>
                  </w:r>
                  <w:r>
                    <w:rPr>
                      <w:spacing w:val="-21"/>
                      <w:lang w:val="en-GB"/>
                    </w:rPr>
                    <w:t>名称</w:t>
                  </w:r>
                </w:p>
              </w:tc>
              <w:tc>
                <w:tcPr>
                  <w:tcW w:w="3591" w:type="dxa"/>
                  <w:vAlign w:val="center"/>
                </w:tcPr>
                <w:p>
                  <w:pPr>
                    <w:jc w:val="center"/>
                  </w:pPr>
                  <w:r>
                    <w:t>改建前</w:t>
                  </w:r>
                </w:p>
              </w:tc>
              <w:tc>
                <w:tcPr>
                  <w:tcW w:w="2800" w:type="dxa"/>
                  <w:vAlign w:val="center"/>
                </w:tcPr>
                <w:p>
                  <w:pPr>
                    <w:jc w:val="center"/>
                  </w:pPr>
                  <w:r>
                    <w:t>改建后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440" w:type="dxa"/>
                  <w:tcBorders>
                    <w:top w:val="single" w:color="auto" w:sz="4" w:space="0"/>
                  </w:tcBorders>
                  <w:vAlign w:val="center"/>
                </w:tcPr>
                <w:p>
                  <w:pPr>
                    <w:jc w:val="center"/>
                  </w:pPr>
                  <w:r>
                    <w:t>1</w:t>
                  </w:r>
                </w:p>
              </w:tc>
              <w:tc>
                <w:tcPr>
                  <w:tcW w:w="826" w:type="dxa"/>
                  <w:tcBorders>
                    <w:top w:val="single" w:color="auto" w:sz="4" w:space="0"/>
                  </w:tcBorders>
                  <w:vAlign w:val="center"/>
                </w:tcPr>
                <w:p>
                  <w:pPr>
                    <w:jc w:val="center"/>
                  </w:pPr>
                  <w:r>
                    <w:t>主体工程</w:t>
                  </w:r>
                </w:p>
              </w:tc>
              <w:tc>
                <w:tcPr>
                  <w:tcW w:w="1121" w:type="dxa"/>
                  <w:vAlign w:val="center"/>
                </w:tcPr>
                <w:p>
                  <w:pPr>
                    <w:jc w:val="center"/>
                  </w:pPr>
                  <w:r>
                    <w:t>喷漆大厅</w:t>
                  </w:r>
                </w:p>
              </w:tc>
              <w:tc>
                <w:tcPr>
                  <w:tcW w:w="3591" w:type="dxa"/>
                  <w:vAlign w:val="center"/>
                </w:tcPr>
                <w:p>
                  <w:pPr>
                    <w:jc w:val="center"/>
                  </w:pPr>
                  <w:r>
                    <w:t>1F，钢架结构，建筑面积为</w:t>
                  </w:r>
                  <w:r>
                    <w:rPr>
                      <w:rFonts w:hint="eastAsia"/>
                    </w:rPr>
                    <w:t>2980</w:t>
                  </w:r>
                  <w:r>
                    <w:t>m</w:t>
                  </w:r>
                  <w:r>
                    <w:rPr>
                      <w:vertAlign w:val="superscript"/>
                    </w:rPr>
                    <w:t>2</w:t>
                  </w:r>
                  <w:r>
                    <w:t>，跨度为54米，进深48米，</w:t>
                  </w:r>
                  <w:r>
                    <w:rPr>
                      <w:highlight w:val="none"/>
                    </w:rPr>
                    <w:t>弦下</w:t>
                  </w:r>
                  <w:r>
                    <w:t>高度16.7米，机库大门采用电动式推拉大门高度为16米，开度为6X9米，机库内可容纳A320飞机或B737、B757飞机一架，可对A320飞机进行大修理或喷漆。</w:t>
                  </w:r>
                </w:p>
              </w:tc>
              <w:tc>
                <w:tcPr>
                  <w:tcW w:w="2800" w:type="dxa"/>
                  <w:vAlign w:val="center"/>
                </w:tcPr>
                <w:p>
                  <w:pPr>
                    <w:jc w:val="cente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restart"/>
                  <w:tcBorders>
                    <w:top w:val="single" w:color="auto" w:sz="4" w:space="0"/>
                  </w:tcBorders>
                  <w:vAlign w:val="center"/>
                </w:tcPr>
                <w:p>
                  <w:pPr>
                    <w:jc w:val="center"/>
                  </w:pPr>
                  <w:r>
                    <w:t>2</w:t>
                  </w:r>
                </w:p>
              </w:tc>
              <w:tc>
                <w:tcPr>
                  <w:tcW w:w="826" w:type="dxa"/>
                  <w:vMerge w:val="restart"/>
                  <w:tcBorders>
                    <w:top w:val="single" w:color="auto" w:sz="4" w:space="0"/>
                  </w:tcBorders>
                  <w:vAlign w:val="center"/>
                </w:tcPr>
                <w:p>
                  <w:pPr>
                    <w:jc w:val="center"/>
                  </w:pPr>
                  <w:r>
                    <w:t>辅助工程</w:t>
                  </w:r>
                </w:p>
              </w:tc>
              <w:tc>
                <w:tcPr>
                  <w:tcW w:w="1121" w:type="dxa"/>
                  <w:tcBorders>
                    <w:top w:val="single" w:color="auto" w:sz="4" w:space="0"/>
                  </w:tcBorders>
                  <w:vAlign w:val="center"/>
                </w:tcPr>
                <w:p>
                  <w:pPr>
                    <w:ind w:left="-105" w:leftChars="-50" w:right="-105" w:rightChars="-50"/>
                    <w:jc w:val="center"/>
                  </w:pPr>
                  <w:r>
                    <w:t>1部件存放间</w:t>
                  </w:r>
                </w:p>
              </w:tc>
              <w:tc>
                <w:tcPr>
                  <w:tcW w:w="3591" w:type="dxa"/>
                  <w:vAlign w:val="center"/>
                </w:tcPr>
                <w:p>
                  <w:r>
                    <w:rPr>
                      <w:rFonts w:hint="eastAsia"/>
                    </w:rPr>
                    <w:t>位于西侧附属用房，</w:t>
                  </w:r>
                  <w:r>
                    <w:t>1F，砖混结构，建筑面积</w:t>
                  </w:r>
                  <w:r>
                    <w:rPr>
                      <w:rFonts w:hint="eastAsia"/>
                    </w:rPr>
                    <w:t>85</w:t>
                  </w:r>
                  <w:r>
                    <w:t>m</w:t>
                  </w:r>
                  <w:r>
                    <w:rPr>
                      <w:vertAlign w:val="superscript"/>
                    </w:rPr>
                    <w:t>2</w:t>
                  </w:r>
                  <w:r>
                    <w:t>，用于存放保洁工具和用品</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2复合材料修理间</w:t>
                  </w:r>
                </w:p>
              </w:tc>
              <w:tc>
                <w:tcPr>
                  <w:tcW w:w="3591" w:type="dxa"/>
                  <w:vAlign w:val="center"/>
                </w:tcPr>
                <w:p>
                  <w:r>
                    <w:rPr>
                      <w:rFonts w:hint="eastAsia"/>
                    </w:rPr>
                    <w:t>位于西侧附属用房，</w:t>
                  </w:r>
                  <w:r>
                    <w:t>1F，砖混结构，建筑面积</w:t>
                  </w:r>
                  <w:r>
                    <w:rPr>
                      <w:rFonts w:hint="eastAsia"/>
                    </w:rPr>
                    <w:t>135</w:t>
                  </w:r>
                  <w:r>
                    <w:t>m</w:t>
                  </w:r>
                  <w:r>
                    <w:rPr>
                      <w:vertAlign w:val="superscript"/>
                    </w:rPr>
                    <w:t>2</w:t>
                  </w:r>
                  <w:r>
                    <w:t>，用于进行复合材料修理</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3结构修理间</w:t>
                  </w:r>
                </w:p>
              </w:tc>
              <w:tc>
                <w:tcPr>
                  <w:tcW w:w="3591" w:type="dxa"/>
                  <w:vAlign w:val="center"/>
                </w:tcPr>
                <w:p>
                  <w:r>
                    <w:rPr>
                      <w:rFonts w:hint="eastAsia"/>
                    </w:rPr>
                    <w:t>位于西侧附属用房，</w:t>
                  </w:r>
                  <w:r>
                    <w:t>1F，砖混结构，建筑面积</w:t>
                  </w:r>
                  <w:r>
                    <w:rPr>
                      <w:rFonts w:hint="eastAsia"/>
                    </w:rPr>
                    <w:t>200</w:t>
                  </w:r>
                  <w:r>
                    <w:t>m</w:t>
                  </w:r>
                  <w:r>
                    <w:rPr>
                      <w:vertAlign w:val="superscript"/>
                    </w:rPr>
                    <w:t>2</w:t>
                  </w:r>
                  <w:r>
                    <w:t>，用于进行飞机结构修理</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4调漆间5</w:t>
                  </w:r>
                  <w:r>
                    <w:rPr>
                      <w:rFonts w:hint="eastAsia"/>
                      <w:highlight w:val="none"/>
                    </w:rPr>
                    <w:t>存漆</w:t>
                  </w:r>
                  <w:r>
                    <w:rPr>
                      <w:highlight w:val="none"/>
                    </w:rPr>
                    <w:t>间</w:t>
                  </w:r>
                </w:p>
              </w:tc>
              <w:tc>
                <w:tcPr>
                  <w:tcW w:w="3591" w:type="dxa"/>
                  <w:vAlign w:val="center"/>
                </w:tcPr>
                <w:p>
                  <w:pPr>
                    <w:jc w:val="center"/>
                  </w:pPr>
                  <w:r>
                    <w:rPr>
                      <w:rFonts w:hint="eastAsia"/>
                    </w:rPr>
                    <w:t>位于西侧附属用房，</w:t>
                  </w:r>
                  <w:r>
                    <w:t>1F，轻质活动板房，建筑面积</w:t>
                  </w:r>
                  <w:r>
                    <w:rPr>
                      <w:rFonts w:hint="eastAsia"/>
                    </w:rPr>
                    <w:t>285</w:t>
                  </w:r>
                  <w:r>
                    <w:t>m</w:t>
                  </w:r>
                  <w:r>
                    <w:rPr>
                      <w:vertAlign w:val="superscript"/>
                    </w:rPr>
                    <w:t>2</w:t>
                  </w:r>
                  <w:r>
                    <w:t>，用于大客舱的修理</w:t>
                  </w:r>
                </w:p>
              </w:tc>
              <w:tc>
                <w:tcPr>
                  <w:tcW w:w="2800" w:type="dxa"/>
                  <w:vAlign w:val="center"/>
                </w:tcPr>
                <w:p>
                  <w:pPr>
                    <w:jc w:val="center"/>
                    <w:rPr>
                      <w:spacing w:val="-6"/>
                    </w:rPr>
                  </w:pPr>
                  <w:r>
                    <w:rPr>
                      <w:rFonts w:hint="eastAsia"/>
                      <w:spacing w:val="-6"/>
                    </w:rPr>
                    <w:t>改造，</w:t>
                  </w:r>
                  <w:r>
                    <w:rPr>
                      <w:spacing w:val="-6"/>
                    </w:rPr>
                    <w:t>用于调漆及漆料存放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 xml:space="preserve">6设备存放间 </w:t>
                  </w:r>
                </w:p>
              </w:tc>
              <w:tc>
                <w:tcPr>
                  <w:tcW w:w="3591" w:type="dxa"/>
                  <w:vAlign w:val="center"/>
                </w:tcPr>
                <w:p>
                  <w:pPr>
                    <w:jc w:val="center"/>
                  </w:pPr>
                  <w:r>
                    <w:rPr>
                      <w:rFonts w:hint="eastAsia"/>
                    </w:rPr>
                    <w:t>位于西侧附属用房，</w:t>
                  </w:r>
                  <w:r>
                    <w:t>1F，砖混结构，建筑面积</w:t>
                  </w:r>
                  <w:r>
                    <w:rPr>
                      <w:rFonts w:hint="eastAsia"/>
                    </w:rPr>
                    <w:t>200</w:t>
                  </w:r>
                  <w:r>
                    <w:t>m</w:t>
                  </w:r>
                  <w:r>
                    <w:rPr>
                      <w:vertAlign w:val="superscript"/>
                    </w:rPr>
                    <w:t>2</w:t>
                  </w:r>
                  <w:r>
                    <w:t>，用于小客舱的修理</w:t>
                  </w:r>
                </w:p>
              </w:tc>
              <w:tc>
                <w:tcPr>
                  <w:tcW w:w="2800" w:type="dxa"/>
                  <w:vAlign w:val="center"/>
                </w:tcPr>
                <w:p>
                  <w:pPr>
                    <w:jc w:val="center"/>
                    <w:rPr>
                      <w:spacing w:val="-6"/>
                    </w:rPr>
                  </w:pPr>
                  <w:r>
                    <w:rPr>
                      <w:spacing w:val="-6"/>
                    </w:rPr>
                    <w:t>用于设备存放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7工具室</w:t>
                  </w:r>
                </w:p>
              </w:tc>
              <w:tc>
                <w:tcPr>
                  <w:tcW w:w="3591" w:type="dxa"/>
                  <w:vAlign w:val="center"/>
                </w:tcPr>
                <w:p>
                  <w:pPr>
                    <w:jc w:val="center"/>
                  </w:pPr>
                  <w:r>
                    <w:rPr>
                      <w:rFonts w:hint="eastAsia"/>
                    </w:rPr>
                    <w:t>位于东侧附属用房，</w:t>
                  </w:r>
                  <w:r>
                    <w:t>1F，砖混结构，建筑面积</w:t>
                  </w:r>
                  <w:r>
                    <w:rPr>
                      <w:rFonts w:hint="eastAsia"/>
                    </w:rPr>
                    <w:t>220</w:t>
                  </w:r>
                  <w:r>
                    <w:t>m</w:t>
                  </w:r>
                  <w:r>
                    <w:rPr>
                      <w:vertAlign w:val="superscript"/>
                    </w:rPr>
                    <w:t>2</w:t>
                  </w:r>
                  <w:r>
                    <w:t>，用于存放维修工具</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8</w:t>
                  </w:r>
                  <w:r>
                    <w:rPr>
                      <w:rFonts w:hint="eastAsia"/>
                    </w:rPr>
                    <w:t>更衣室</w:t>
                  </w:r>
                </w:p>
              </w:tc>
              <w:tc>
                <w:tcPr>
                  <w:tcW w:w="3591" w:type="dxa"/>
                  <w:vAlign w:val="center"/>
                </w:tcPr>
                <w:p>
                  <w:pPr>
                    <w:jc w:val="center"/>
                  </w:pPr>
                  <w:r>
                    <w:rPr>
                      <w:rFonts w:hint="eastAsia"/>
                    </w:rPr>
                    <w:t>位于东侧附属用房，</w:t>
                  </w:r>
                  <w:r>
                    <w:t>1F，砖混结构，建筑面积</w:t>
                  </w:r>
                  <w:r>
                    <w:rPr>
                      <w:rFonts w:hint="eastAsia"/>
                    </w:rPr>
                    <w:t>125</w:t>
                  </w:r>
                  <w:r>
                    <w:t>m</w:t>
                  </w:r>
                  <w:r>
                    <w:rPr>
                      <w:vertAlign w:val="superscript"/>
                    </w:rPr>
                    <w:t>2</w:t>
                  </w:r>
                  <w:r>
                    <w:t>，人员在此准备</w:t>
                  </w:r>
                  <w:r>
                    <w:rPr>
                      <w:rFonts w:hint="eastAsia"/>
                    </w:rPr>
                    <w:t>，用于工作服更换</w:t>
                  </w:r>
                </w:p>
              </w:tc>
              <w:tc>
                <w:tcPr>
                  <w:tcW w:w="2800" w:type="dxa"/>
                  <w:vAlign w:val="center"/>
                </w:tcPr>
                <w:p>
                  <w:pPr>
                    <w:jc w:val="center"/>
                    <w:rPr>
                      <w:spacing w:val="-6"/>
                    </w:rPr>
                  </w:pPr>
                  <w:r>
                    <w:rPr>
                      <w:spacing w:val="-6"/>
                    </w:rP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9消防值班室</w:t>
                  </w:r>
                </w:p>
              </w:tc>
              <w:tc>
                <w:tcPr>
                  <w:tcW w:w="3591" w:type="dxa"/>
                  <w:vAlign w:val="center"/>
                </w:tcPr>
                <w:p>
                  <w:pPr>
                    <w:jc w:val="center"/>
                  </w:pPr>
                  <w:r>
                    <w:rPr>
                      <w:rFonts w:hint="eastAsia"/>
                    </w:rPr>
                    <w:t>位于东侧附属用房，</w:t>
                  </w:r>
                  <w:r>
                    <w:t>1F，砖混结构，建筑面积</w:t>
                  </w:r>
                  <w:r>
                    <w:rPr>
                      <w:rFonts w:hint="eastAsia"/>
                    </w:rPr>
                    <w:t>75</w:t>
                  </w:r>
                  <w:r>
                    <w:t>m</w:t>
                  </w:r>
                  <w:r>
                    <w:rPr>
                      <w:vertAlign w:val="superscript"/>
                    </w:rPr>
                    <w:t>2</w:t>
                  </w:r>
                  <w:r>
                    <w:t>，用于值班人员值班及休息</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10耗材库</w:t>
                  </w:r>
                </w:p>
              </w:tc>
              <w:tc>
                <w:tcPr>
                  <w:tcW w:w="3591" w:type="dxa"/>
                  <w:vAlign w:val="center"/>
                </w:tcPr>
                <w:p>
                  <w:pPr>
                    <w:jc w:val="center"/>
                  </w:pPr>
                  <w:r>
                    <w:rPr>
                      <w:rFonts w:hint="eastAsia"/>
                    </w:rPr>
                    <w:t>位于东侧附属用房，</w:t>
                  </w:r>
                  <w:r>
                    <w:t>1F，砖混结构，建筑面积</w:t>
                  </w:r>
                  <w:r>
                    <w:rPr>
                      <w:rFonts w:hint="eastAsia"/>
                    </w:rPr>
                    <w:t>285</w:t>
                  </w:r>
                  <w:r>
                    <w:t>m</w:t>
                  </w:r>
                  <w:r>
                    <w:rPr>
                      <w:vertAlign w:val="superscript"/>
                    </w:rPr>
                    <w:t>2</w:t>
                  </w:r>
                  <w:r>
                    <w:t>，存放、发放工作所需的油盒、毛刷、手套、抹布。</w:t>
                  </w:r>
                </w:p>
              </w:tc>
              <w:tc>
                <w:tcPr>
                  <w:tcW w:w="2800" w:type="dxa"/>
                  <w:vAlign w:val="center"/>
                </w:tcPr>
                <w:p>
                  <w:pPr>
                    <w:jc w:val="center"/>
                    <w:rPr>
                      <w:spacing w:val="-6"/>
                    </w:rPr>
                  </w:pPr>
                  <w:r>
                    <w:rPr>
                      <w:spacing w:val="-6"/>
                    </w:rP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11气泵房</w:t>
                  </w:r>
                </w:p>
              </w:tc>
              <w:tc>
                <w:tcPr>
                  <w:tcW w:w="3591" w:type="dxa"/>
                  <w:vAlign w:val="center"/>
                </w:tcPr>
                <w:p>
                  <w:pPr>
                    <w:jc w:val="center"/>
                  </w:pPr>
                  <w:r>
                    <w:rPr>
                      <w:rFonts w:hint="eastAsia"/>
                    </w:rPr>
                    <w:t>位于东侧附属用房，</w:t>
                  </w:r>
                  <w:r>
                    <w:t>1F，砖混结构，建筑面积</w:t>
                  </w:r>
                  <w:r>
                    <w:rPr>
                      <w:rFonts w:hint="eastAsia"/>
                    </w:rPr>
                    <w:t>105</w:t>
                  </w:r>
                  <w:r>
                    <w:t>m</w:t>
                  </w:r>
                  <w:r>
                    <w:rPr>
                      <w:vertAlign w:val="superscript"/>
                    </w:rPr>
                    <w:t>2</w:t>
                  </w:r>
                  <w:r>
                    <w:t>，用于放置压缩机，内设2个1.5m</w:t>
                  </w:r>
                  <w:r>
                    <w:rPr>
                      <w:vertAlign w:val="superscript"/>
                    </w:rPr>
                    <w:t>3</w:t>
                  </w:r>
                  <w:r>
                    <w:t>储气罐</w:t>
                  </w:r>
                </w:p>
              </w:tc>
              <w:tc>
                <w:tcPr>
                  <w:tcW w:w="2800" w:type="dxa"/>
                  <w:vAlign w:val="center"/>
                </w:tcPr>
                <w:p>
                  <w:pPr>
                    <w:jc w:val="center"/>
                    <w:rPr>
                      <w:spacing w:val="-6"/>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tcBorders>
                    <w:top w:val="single" w:color="auto" w:sz="4" w:space="0"/>
                  </w:tcBorders>
                  <w:vAlign w:val="center"/>
                </w:tcPr>
                <w:p>
                  <w:pPr>
                    <w:ind w:left="-105" w:leftChars="-50" w:right="-105" w:rightChars="-50"/>
                    <w:jc w:val="center"/>
                  </w:pPr>
                  <w:r>
                    <w:t>12换热站</w:t>
                  </w:r>
                </w:p>
              </w:tc>
              <w:tc>
                <w:tcPr>
                  <w:tcW w:w="3591" w:type="dxa"/>
                  <w:vAlign w:val="center"/>
                </w:tcPr>
                <w:p>
                  <w:pPr>
                    <w:jc w:val="center"/>
                  </w:pPr>
                  <w:r>
                    <w:rPr>
                      <w:rFonts w:hint="eastAsia"/>
                    </w:rPr>
                    <w:t>位于东侧附属用房，</w:t>
                  </w:r>
                  <w:r>
                    <w:t>1F，砖混结构，建筑面积</w:t>
                  </w:r>
                  <w:r>
                    <w:rPr>
                      <w:rFonts w:hint="eastAsia"/>
                    </w:rPr>
                    <w:t>95</w:t>
                  </w:r>
                  <w:r>
                    <w:t>m</w:t>
                  </w:r>
                  <w:r>
                    <w:rPr>
                      <w:vertAlign w:val="superscript"/>
                    </w:rPr>
                    <w:t>2</w:t>
                  </w:r>
                  <w:r>
                    <w:t>，用于调漆</w:t>
                  </w:r>
                </w:p>
              </w:tc>
              <w:tc>
                <w:tcPr>
                  <w:tcW w:w="2800" w:type="dxa"/>
                  <w:vAlign w:val="center"/>
                </w:tcPr>
                <w:p>
                  <w:pPr>
                    <w:jc w:val="center"/>
                    <w:rPr>
                      <w:spacing w:val="-6"/>
                    </w:rPr>
                  </w:pPr>
                  <w:r>
                    <w:rPr>
                      <w:rFonts w:hint="eastAsia"/>
                      <w:spacing w:val="-6"/>
                    </w:rPr>
                    <w:t>改造为</w:t>
                  </w:r>
                  <w:r>
                    <w:rPr>
                      <w:spacing w:val="-6"/>
                    </w:rPr>
                    <w:t>换热站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restart"/>
                  <w:vAlign w:val="center"/>
                </w:tcPr>
                <w:p>
                  <w:pPr>
                    <w:jc w:val="center"/>
                  </w:pPr>
                  <w:r>
                    <w:t>3</w:t>
                  </w:r>
                </w:p>
              </w:tc>
              <w:tc>
                <w:tcPr>
                  <w:tcW w:w="826" w:type="dxa"/>
                  <w:vMerge w:val="restart"/>
                  <w:vAlign w:val="center"/>
                </w:tcPr>
                <w:p>
                  <w:pPr>
                    <w:jc w:val="center"/>
                  </w:pPr>
                  <w:r>
                    <w:t>公用工程</w:t>
                  </w:r>
                </w:p>
              </w:tc>
              <w:tc>
                <w:tcPr>
                  <w:tcW w:w="1121" w:type="dxa"/>
                  <w:vAlign w:val="center"/>
                </w:tcPr>
                <w:p>
                  <w:pPr>
                    <w:ind w:left="-105" w:leftChars="-50" w:right="-105" w:rightChars="-50"/>
                    <w:jc w:val="center"/>
                  </w:pPr>
                  <w:r>
                    <w:t>给水</w:t>
                  </w:r>
                </w:p>
              </w:tc>
              <w:tc>
                <w:tcPr>
                  <w:tcW w:w="3591" w:type="dxa"/>
                  <w:vAlign w:val="center"/>
                </w:tcPr>
                <w:p>
                  <w:pPr>
                    <w:jc w:val="center"/>
                  </w:pPr>
                  <w:r>
                    <w:t>整机清洗采用自来水，由维修基地供水管网供给</w:t>
                  </w:r>
                </w:p>
              </w:tc>
              <w:tc>
                <w:tcPr>
                  <w:tcW w:w="2800" w:type="dxa"/>
                  <w:vAlign w:val="center"/>
                </w:tcPr>
                <w:p>
                  <w:pPr>
                    <w:jc w:val="center"/>
                    <w:rPr>
                      <w:spacing w:val="-6"/>
                    </w:rPr>
                  </w:pPr>
                  <w:r>
                    <w:rPr>
                      <w:spacing w:val="-6"/>
                    </w:rP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Merge w:val="restart"/>
                  <w:vAlign w:val="center"/>
                </w:tcPr>
                <w:p>
                  <w:pPr>
                    <w:ind w:left="-105" w:leftChars="-50" w:right="-105" w:rightChars="-50"/>
                    <w:jc w:val="center"/>
                  </w:pPr>
                  <w:r>
                    <w:t>排水</w:t>
                  </w:r>
                </w:p>
              </w:tc>
              <w:tc>
                <w:tcPr>
                  <w:tcW w:w="3591" w:type="dxa"/>
                  <w:tcBorders>
                    <w:bottom w:val="single" w:color="000000" w:sz="4" w:space="0"/>
                  </w:tcBorders>
                  <w:vAlign w:val="center"/>
                </w:tcPr>
                <w:p>
                  <w:pPr>
                    <w:jc w:val="center"/>
                  </w:pPr>
                  <w:r>
                    <w:t>项目雨污分流，清洗废水通过水泵抽至过滤桶，经过滤棉过滤后排入咸阳机场污水处理厂处理后排放</w:t>
                  </w:r>
                </w:p>
              </w:tc>
              <w:tc>
                <w:tcPr>
                  <w:tcW w:w="2800" w:type="dxa"/>
                  <w:vMerge w:val="restart"/>
                  <w:vAlign w:val="center"/>
                </w:tcPr>
                <w:p>
                  <w:pPr>
                    <w:jc w:val="cente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440" w:type="dxa"/>
                  <w:vMerge w:val="continue"/>
                  <w:vAlign w:val="center"/>
                </w:tcPr>
                <w:p>
                  <w:pPr>
                    <w:jc w:val="center"/>
                  </w:pPr>
                </w:p>
              </w:tc>
              <w:tc>
                <w:tcPr>
                  <w:tcW w:w="826" w:type="dxa"/>
                  <w:vMerge w:val="continue"/>
                  <w:vAlign w:val="center"/>
                </w:tcPr>
                <w:p>
                  <w:pPr>
                    <w:jc w:val="center"/>
                  </w:pPr>
                </w:p>
              </w:tc>
              <w:tc>
                <w:tcPr>
                  <w:tcW w:w="1121" w:type="dxa"/>
                  <w:vMerge w:val="continue"/>
                  <w:vAlign w:val="center"/>
                </w:tcPr>
                <w:p>
                  <w:pPr>
                    <w:ind w:left="-105" w:leftChars="-50" w:right="-105" w:rightChars="-50"/>
                    <w:jc w:val="center"/>
                  </w:pPr>
                </w:p>
              </w:tc>
              <w:tc>
                <w:tcPr>
                  <w:tcW w:w="3591" w:type="dxa"/>
                  <w:tcBorders>
                    <w:top w:val="single" w:color="000000" w:sz="4" w:space="0"/>
                  </w:tcBorders>
                  <w:vAlign w:val="center"/>
                </w:tcPr>
                <w:p>
                  <w:pPr>
                    <w:jc w:val="center"/>
                  </w:pPr>
                  <w:r>
                    <w:t>生活污水经化粪池处理后，通过管网排入咸阳机场污水处理厂集中处理后达标排放</w:t>
                  </w:r>
                </w:p>
              </w:tc>
              <w:tc>
                <w:tcPr>
                  <w:tcW w:w="2800" w:type="dxa"/>
                  <w:vMerge w:val="continue"/>
                  <w:vAlign w:val="center"/>
                </w:tcPr>
                <w:p>
                  <w:pPr>
                    <w:jc w:val="center"/>
                    <w:rPr>
                      <w:spacing w:val="-6"/>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Align w:val="center"/>
                </w:tcPr>
                <w:p>
                  <w:pPr>
                    <w:ind w:left="-105" w:leftChars="-50" w:right="-105" w:rightChars="-50"/>
                    <w:jc w:val="center"/>
                  </w:pPr>
                  <w:r>
                    <w:t>供电</w:t>
                  </w:r>
                </w:p>
              </w:tc>
              <w:tc>
                <w:tcPr>
                  <w:tcW w:w="3591" w:type="dxa"/>
                  <w:vAlign w:val="center"/>
                </w:tcPr>
                <w:p>
                  <w:pPr>
                    <w:jc w:val="center"/>
                  </w:pPr>
                  <w:r>
                    <w:t>依托维修基地现有变电站提供</w:t>
                  </w:r>
                </w:p>
              </w:tc>
              <w:tc>
                <w:tcPr>
                  <w:tcW w:w="2800" w:type="dxa"/>
                  <w:vAlign w:val="center"/>
                </w:tcPr>
                <w:p>
                  <w:pPr>
                    <w:jc w:val="cente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restart"/>
                  <w:vAlign w:val="center"/>
                </w:tcPr>
                <w:p>
                  <w:pPr>
                    <w:jc w:val="center"/>
                  </w:pPr>
                  <w:r>
                    <w:t>4</w:t>
                  </w:r>
                </w:p>
              </w:tc>
              <w:tc>
                <w:tcPr>
                  <w:tcW w:w="826" w:type="dxa"/>
                  <w:vMerge w:val="restart"/>
                  <w:vAlign w:val="center"/>
                </w:tcPr>
                <w:p>
                  <w:pPr>
                    <w:jc w:val="center"/>
                  </w:pPr>
                  <w:r>
                    <w:t>环保工程</w:t>
                  </w:r>
                </w:p>
              </w:tc>
              <w:tc>
                <w:tcPr>
                  <w:tcW w:w="1121" w:type="dxa"/>
                  <w:vMerge w:val="restart"/>
                  <w:vAlign w:val="center"/>
                </w:tcPr>
                <w:p>
                  <w:pPr>
                    <w:ind w:left="-105" w:leftChars="-50" w:right="-105" w:rightChars="-50"/>
                    <w:jc w:val="center"/>
                  </w:pPr>
                  <w:r>
                    <w:t>废气治理</w:t>
                  </w:r>
                </w:p>
              </w:tc>
              <w:tc>
                <w:tcPr>
                  <w:tcW w:w="3591" w:type="dxa"/>
                  <w:vAlign w:val="center"/>
                </w:tcPr>
                <w:p>
                  <w:pPr>
                    <w:jc w:val="center"/>
                  </w:pPr>
                  <w:r>
                    <w:t>打磨粉尘经自带袋式收尘器收集后排放</w:t>
                  </w:r>
                </w:p>
              </w:tc>
              <w:tc>
                <w:tcPr>
                  <w:tcW w:w="2800" w:type="dxa"/>
                  <w:vAlign w:val="center"/>
                </w:tcPr>
                <w:p>
                  <w:pPr>
                    <w:jc w:val="center"/>
                  </w:pPr>
                  <w:r>
                    <w:t>打磨粉尘通过排风集气箱的</w:t>
                  </w:r>
                  <w:r>
                    <w:rPr>
                      <w:rFonts w:hint="eastAsia"/>
                    </w:rPr>
                    <w:t>干式</w:t>
                  </w:r>
                  <w:r>
                    <w:t>过滤器过滤后由15m高的排气筒排放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Merge w:val="continue"/>
                  <w:tcBorders>
                    <w:bottom w:val="single" w:color="000000" w:sz="4" w:space="0"/>
                  </w:tcBorders>
                  <w:vAlign w:val="center"/>
                </w:tcPr>
                <w:p>
                  <w:pPr>
                    <w:ind w:left="-105" w:leftChars="-50" w:right="-105" w:rightChars="-50"/>
                    <w:jc w:val="center"/>
                  </w:pPr>
                </w:p>
              </w:tc>
              <w:tc>
                <w:tcPr>
                  <w:tcW w:w="3591" w:type="dxa"/>
                  <w:tcBorders>
                    <w:top w:val="single" w:color="000000" w:sz="4" w:space="0"/>
                    <w:bottom w:val="single" w:color="000000" w:sz="4" w:space="0"/>
                  </w:tcBorders>
                  <w:vAlign w:val="center"/>
                </w:tcPr>
                <w:p>
                  <w:pPr>
                    <w:jc w:val="center"/>
                  </w:pPr>
                  <w:r>
                    <w:t>喷漆及晾干废气经负压排风设备后通过15m高的排气筒排放</w:t>
                  </w:r>
                </w:p>
              </w:tc>
              <w:tc>
                <w:tcPr>
                  <w:tcW w:w="2800" w:type="dxa"/>
                  <w:tcBorders>
                    <w:top w:val="single" w:color="000000" w:sz="4" w:space="0"/>
                  </w:tcBorders>
                  <w:vAlign w:val="center"/>
                </w:tcPr>
                <w:p>
                  <w:pPr>
                    <w:jc w:val="center"/>
                    <w:rPr>
                      <w:spacing w:val="-6"/>
                    </w:rPr>
                  </w:pPr>
                  <w:r>
                    <w:t>喷漆及晾干废气经排风集气箱收集后通过“</w:t>
                  </w:r>
                  <w:r>
                    <w:rPr>
                      <w:rFonts w:hint="eastAsia"/>
                    </w:rPr>
                    <w:t>干式</w:t>
                  </w:r>
                  <w:r>
                    <w:t>过滤器+活性炭吸附箱”装置后通过15m高的排气筒排放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Merge w:val="restart"/>
                  <w:vAlign w:val="center"/>
                </w:tcPr>
                <w:p>
                  <w:pPr>
                    <w:ind w:left="-105" w:leftChars="-50" w:right="-105" w:rightChars="-50"/>
                    <w:jc w:val="center"/>
                  </w:pPr>
                  <w:r>
                    <w:t>废水治理</w:t>
                  </w:r>
                </w:p>
              </w:tc>
              <w:tc>
                <w:tcPr>
                  <w:tcW w:w="3591" w:type="dxa"/>
                  <w:vAlign w:val="center"/>
                </w:tcPr>
                <w:p>
                  <w:pPr>
                    <w:jc w:val="center"/>
                  </w:pPr>
                  <w:r>
                    <w:t>清洗废水通过水泵抽至过滤桶，经过滤棉过滤后排入咸阳机场污水处理厂处理后排放</w:t>
                  </w:r>
                </w:p>
              </w:tc>
              <w:tc>
                <w:tcPr>
                  <w:tcW w:w="2800" w:type="dxa"/>
                  <w:vAlign w:val="center"/>
                </w:tcPr>
                <w:p>
                  <w:pPr>
                    <w:jc w:val="center"/>
                    <w:rPr>
                      <w:color w:val="000000"/>
                    </w:rP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jc w:val="center"/>
              </w:trPr>
              <w:tc>
                <w:tcPr>
                  <w:tcW w:w="440" w:type="dxa"/>
                  <w:vMerge w:val="continue"/>
                  <w:vAlign w:val="center"/>
                </w:tcPr>
                <w:p>
                  <w:pPr>
                    <w:jc w:val="center"/>
                  </w:pPr>
                </w:p>
              </w:tc>
              <w:tc>
                <w:tcPr>
                  <w:tcW w:w="826" w:type="dxa"/>
                  <w:vMerge w:val="continue"/>
                  <w:vAlign w:val="center"/>
                </w:tcPr>
                <w:p>
                  <w:pPr>
                    <w:jc w:val="center"/>
                  </w:pPr>
                </w:p>
              </w:tc>
              <w:tc>
                <w:tcPr>
                  <w:tcW w:w="1121" w:type="dxa"/>
                  <w:vMerge w:val="continue"/>
                  <w:vAlign w:val="center"/>
                </w:tcPr>
                <w:p>
                  <w:pPr>
                    <w:ind w:left="-105" w:leftChars="-50" w:right="-105" w:rightChars="-50"/>
                    <w:jc w:val="center"/>
                  </w:pPr>
                </w:p>
              </w:tc>
              <w:tc>
                <w:tcPr>
                  <w:tcW w:w="3591" w:type="dxa"/>
                  <w:vAlign w:val="center"/>
                </w:tcPr>
                <w:p>
                  <w:pPr>
                    <w:jc w:val="center"/>
                  </w:pPr>
                  <w:r>
                    <w:t>生活污水经化粪池预处理后，通过管网排入咸阳机场污水处理厂集中处理后达标排放</w:t>
                  </w:r>
                </w:p>
              </w:tc>
              <w:tc>
                <w:tcPr>
                  <w:tcW w:w="2800" w:type="dxa"/>
                  <w:vAlign w:val="center"/>
                </w:tcPr>
                <w:p>
                  <w:pPr>
                    <w:jc w:val="cente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Align w:val="center"/>
                </w:tcPr>
                <w:p>
                  <w:pPr>
                    <w:ind w:left="-105" w:leftChars="-50" w:right="-105" w:rightChars="-50"/>
                    <w:jc w:val="center"/>
                  </w:pPr>
                  <w:r>
                    <w:t>噪声治理</w:t>
                  </w:r>
                </w:p>
              </w:tc>
              <w:tc>
                <w:tcPr>
                  <w:tcW w:w="3591" w:type="dxa"/>
                  <w:vAlign w:val="center"/>
                </w:tcPr>
                <w:p>
                  <w:pPr>
                    <w:jc w:val="center"/>
                  </w:pPr>
                  <w:r>
                    <w:t xml:space="preserve">采用低噪声设备，噪声源置于室内 </w:t>
                  </w:r>
                </w:p>
              </w:tc>
              <w:tc>
                <w:tcPr>
                  <w:tcW w:w="2800" w:type="dxa"/>
                  <w:vAlign w:val="center"/>
                </w:tcPr>
                <w:p>
                  <w:pPr>
                    <w:jc w:val="center"/>
                  </w:pPr>
                  <w:r>
                    <w:t>不发生变化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 w:type="dxa"/>
                  <w:vMerge w:val="continue"/>
                  <w:vAlign w:val="center"/>
                </w:tcPr>
                <w:p>
                  <w:pPr>
                    <w:jc w:val="center"/>
                  </w:pPr>
                </w:p>
              </w:tc>
              <w:tc>
                <w:tcPr>
                  <w:tcW w:w="826" w:type="dxa"/>
                  <w:vMerge w:val="continue"/>
                  <w:vAlign w:val="center"/>
                </w:tcPr>
                <w:p>
                  <w:pPr>
                    <w:jc w:val="center"/>
                  </w:pPr>
                </w:p>
              </w:tc>
              <w:tc>
                <w:tcPr>
                  <w:tcW w:w="1121" w:type="dxa"/>
                  <w:vAlign w:val="center"/>
                </w:tcPr>
                <w:p>
                  <w:pPr>
                    <w:ind w:left="-105" w:leftChars="-50" w:right="-105" w:rightChars="-50"/>
                    <w:jc w:val="center"/>
                  </w:pPr>
                  <w:r>
                    <w:t>固废治理</w:t>
                  </w:r>
                </w:p>
              </w:tc>
              <w:tc>
                <w:tcPr>
                  <w:tcW w:w="3591" w:type="dxa"/>
                  <w:vAlign w:val="center"/>
                </w:tcPr>
                <w:p>
                  <w:pPr>
                    <w:jc w:val="center"/>
                  </w:pPr>
                  <w:r>
                    <w:t>生活垃圾分类收集后，送往维修基地生活垃圾暂存区，统一交由环卫部门清运。项目维修过程中产生</w:t>
                  </w:r>
                  <w:r>
                    <w:rPr>
                      <w:rFonts w:hint="eastAsia"/>
                    </w:rPr>
                    <w:t>的</w:t>
                  </w:r>
                  <w:r>
                    <w:t>废旧零部件</w:t>
                  </w:r>
                  <w:r>
                    <w:rPr>
                      <w:rFonts w:hint="eastAsia"/>
                    </w:rPr>
                    <w:t>和</w:t>
                  </w:r>
                  <w:r>
                    <w:t>废旧包装盒</w:t>
                  </w:r>
                  <w:r>
                    <w:rPr>
                      <w:rFonts w:hint="eastAsia"/>
                    </w:rPr>
                    <w:t>收集后统一外售至废品站。危险废物依托</w:t>
                  </w:r>
                  <w:r>
                    <w:t>维修基地危废暂存间暂存后，交由有资质单位处理</w:t>
                  </w:r>
                  <w:r>
                    <w:rPr>
                      <w:rFonts w:hint="eastAsia"/>
                    </w:rPr>
                    <w:t>。</w:t>
                  </w:r>
                </w:p>
              </w:tc>
              <w:tc>
                <w:tcPr>
                  <w:tcW w:w="2800" w:type="dxa"/>
                  <w:vAlign w:val="center"/>
                </w:tcPr>
                <w:p>
                  <w:pPr>
                    <w:jc w:val="center"/>
                    <w:rPr>
                      <w:color w:val="FF0000"/>
                    </w:rPr>
                  </w:pPr>
                  <w:r>
                    <w:t>不发生变化</w:t>
                  </w:r>
                </w:p>
              </w:tc>
            </w:tr>
          </w:tbl>
          <w:p>
            <w:pPr>
              <w:adjustRightInd w:val="0"/>
              <w:snapToGrid w:val="0"/>
              <w:spacing w:before="156" w:beforeLines="50" w:line="520" w:lineRule="exact"/>
              <w:ind w:firstLine="482" w:firstLineChars="200"/>
              <w:rPr>
                <w:b/>
                <w:sz w:val="24"/>
                <w:szCs w:val="24"/>
              </w:rPr>
            </w:pPr>
            <w:r>
              <w:rPr>
                <w:b/>
                <w:sz w:val="24"/>
                <w:szCs w:val="24"/>
              </w:rPr>
              <w:t>6、主要设备</w:t>
            </w:r>
          </w:p>
          <w:p>
            <w:pPr>
              <w:pStyle w:val="17"/>
              <w:jc w:val="center"/>
              <w:rPr>
                <w:rFonts w:ascii="Times New Roman" w:hAnsi="Times New Roman" w:eastAsia="黑体" w:cs="Times New Roman"/>
                <w:sz w:val="24"/>
              </w:rPr>
            </w:pPr>
            <w:r>
              <w:rPr>
                <w:rFonts w:ascii="Times New Roman" w:hAnsi="Times New Roman" w:eastAsia="黑体" w:cs="Times New Roman"/>
                <w:sz w:val="24"/>
              </w:rPr>
              <w:t>表3   项目主要设备一览表</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53"/>
              <w:gridCol w:w="2324"/>
              <w:gridCol w:w="2388"/>
              <w:gridCol w:w="1681"/>
              <w:gridCol w:w="183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12" w:space="0"/>
                    <w:left w:val="nil"/>
                    <w:bottom w:val="single" w:color="auto" w:sz="6" w:space="0"/>
                    <w:right w:val="single" w:color="auto" w:sz="4" w:space="0"/>
                  </w:tcBorders>
                </w:tcPr>
                <w:p>
                  <w:pPr>
                    <w:ind w:left="-42" w:leftChars="-20" w:right="-42" w:rightChars="-20"/>
                    <w:jc w:val="center"/>
                  </w:pPr>
                  <w:r>
                    <w:t>序号</w:t>
                  </w:r>
                </w:p>
              </w:tc>
              <w:tc>
                <w:tcPr>
                  <w:tcW w:w="2324" w:type="dxa"/>
                  <w:tcBorders>
                    <w:top w:val="single" w:color="auto" w:sz="12" w:space="0"/>
                    <w:left w:val="single" w:color="auto" w:sz="4" w:space="0"/>
                    <w:bottom w:val="single" w:color="auto" w:sz="6" w:space="0"/>
                  </w:tcBorders>
                </w:tcPr>
                <w:p>
                  <w:pPr>
                    <w:ind w:left="-42" w:leftChars="-20" w:right="-42" w:rightChars="-20"/>
                    <w:jc w:val="center"/>
                  </w:pPr>
                  <w:r>
                    <w:t>设备名称</w:t>
                  </w:r>
                </w:p>
              </w:tc>
              <w:tc>
                <w:tcPr>
                  <w:tcW w:w="2388" w:type="dxa"/>
                  <w:tcBorders>
                    <w:top w:val="single" w:color="auto" w:sz="12" w:space="0"/>
                    <w:bottom w:val="single" w:color="auto" w:sz="6" w:space="0"/>
                  </w:tcBorders>
                </w:tcPr>
                <w:p>
                  <w:pPr>
                    <w:ind w:left="-42" w:leftChars="-20" w:right="-42" w:rightChars="-20"/>
                    <w:jc w:val="center"/>
                  </w:pPr>
                  <w:r>
                    <w:t>型号</w:t>
                  </w:r>
                </w:p>
              </w:tc>
              <w:tc>
                <w:tcPr>
                  <w:tcW w:w="1681" w:type="dxa"/>
                  <w:tcBorders>
                    <w:top w:val="single" w:color="auto" w:sz="12" w:space="0"/>
                    <w:bottom w:val="single" w:color="auto" w:sz="6" w:space="0"/>
                  </w:tcBorders>
                </w:tcPr>
                <w:p>
                  <w:pPr>
                    <w:ind w:left="-42" w:leftChars="-20" w:right="-42" w:rightChars="-20"/>
                    <w:jc w:val="center"/>
                  </w:pPr>
                  <w:r>
                    <w:t>数量（台）</w:t>
                  </w:r>
                </w:p>
              </w:tc>
              <w:tc>
                <w:tcPr>
                  <w:tcW w:w="1832" w:type="dxa"/>
                  <w:tcBorders>
                    <w:top w:val="single" w:color="auto" w:sz="12" w:space="0"/>
                    <w:bottom w:val="single" w:color="auto" w:sz="6" w:space="0"/>
                  </w:tcBorders>
                </w:tcPr>
                <w:p>
                  <w:pPr>
                    <w:ind w:left="-42" w:leftChars="-20" w:right="-42" w:rightChars="-20"/>
                    <w:jc w:val="center"/>
                  </w:pPr>
                  <w: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w:t>
                  </w:r>
                </w:p>
              </w:tc>
              <w:tc>
                <w:tcPr>
                  <w:tcW w:w="2324" w:type="dxa"/>
                  <w:tcBorders>
                    <w:top w:val="single" w:color="auto" w:sz="6" w:space="0"/>
                    <w:left w:val="single" w:color="auto" w:sz="4" w:space="0"/>
                    <w:bottom w:val="single" w:color="000000" w:sz="4" w:space="0"/>
                  </w:tcBorders>
                  <w:vAlign w:val="center"/>
                </w:tcPr>
                <w:p>
                  <w:pPr>
                    <w:jc w:val="center"/>
                  </w:pPr>
                  <w:r>
                    <w:t>机头坞</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1</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2</w:t>
                  </w:r>
                </w:p>
              </w:tc>
              <w:tc>
                <w:tcPr>
                  <w:tcW w:w="2324" w:type="dxa"/>
                  <w:tcBorders>
                    <w:top w:val="single" w:color="auto" w:sz="6" w:space="0"/>
                    <w:left w:val="single" w:color="auto" w:sz="4" w:space="0"/>
                    <w:bottom w:val="single" w:color="000000" w:sz="4" w:space="0"/>
                  </w:tcBorders>
                  <w:vAlign w:val="center"/>
                </w:tcPr>
                <w:p>
                  <w:pPr>
                    <w:jc w:val="center"/>
                  </w:pPr>
                  <w:r>
                    <w:t>机身坞</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1</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3</w:t>
                  </w:r>
                </w:p>
              </w:tc>
              <w:tc>
                <w:tcPr>
                  <w:tcW w:w="2324" w:type="dxa"/>
                  <w:tcBorders>
                    <w:top w:val="single" w:color="auto" w:sz="6" w:space="0"/>
                    <w:left w:val="single" w:color="auto" w:sz="4" w:space="0"/>
                    <w:bottom w:val="single" w:color="000000" w:sz="4" w:space="0"/>
                  </w:tcBorders>
                  <w:vAlign w:val="center"/>
                </w:tcPr>
                <w:p>
                  <w:pPr>
                    <w:jc w:val="center"/>
                  </w:pPr>
                  <w:r>
                    <w:t>尾坞</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1</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4</w:t>
                  </w:r>
                </w:p>
              </w:tc>
              <w:tc>
                <w:tcPr>
                  <w:tcW w:w="2324" w:type="dxa"/>
                  <w:tcBorders>
                    <w:top w:val="single" w:color="auto" w:sz="6" w:space="0"/>
                    <w:left w:val="single" w:color="auto" w:sz="4" w:space="0"/>
                    <w:bottom w:val="single" w:color="000000" w:sz="4" w:space="0"/>
                  </w:tcBorders>
                  <w:vAlign w:val="center"/>
                </w:tcPr>
                <w:p>
                  <w:pPr>
                    <w:jc w:val="center"/>
                  </w:pPr>
                  <w:r>
                    <w:t>地面大翼修理平台</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1</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5</w:t>
                  </w:r>
                </w:p>
              </w:tc>
              <w:tc>
                <w:tcPr>
                  <w:tcW w:w="2324" w:type="dxa"/>
                  <w:tcBorders>
                    <w:top w:val="single" w:color="auto" w:sz="6" w:space="0"/>
                    <w:left w:val="single" w:color="auto" w:sz="4" w:space="0"/>
                    <w:bottom w:val="single" w:color="000000" w:sz="4" w:space="0"/>
                  </w:tcBorders>
                  <w:vAlign w:val="center"/>
                </w:tcPr>
                <w:p>
                  <w:pPr>
                    <w:jc w:val="center"/>
                  </w:pPr>
                  <w:r>
                    <w:t>液压升降平台</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6</w:t>
                  </w:r>
                </w:p>
              </w:tc>
              <w:tc>
                <w:tcPr>
                  <w:tcW w:w="2324" w:type="dxa"/>
                  <w:tcBorders>
                    <w:top w:val="single" w:color="auto" w:sz="6" w:space="0"/>
                    <w:left w:val="single" w:color="auto" w:sz="4" w:space="0"/>
                    <w:bottom w:val="single" w:color="000000" w:sz="4" w:space="0"/>
                  </w:tcBorders>
                  <w:vAlign w:val="center"/>
                </w:tcPr>
                <w:p>
                  <w:pPr>
                    <w:jc w:val="center"/>
                  </w:pPr>
                  <w:r>
                    <w:t>千斤顶</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7</w:t>
                  </w:r>
                </w:p>
              </w:tc>
              <w:tc>
                <w:tcPr>
                  <w:tcW w:w="2324" w:type="dxa"/>
                  <w:tcBorders>
                    <w:top w:val="single" w:color="auto" w:sz="6" w:space="0"/>
                    <w:left w:val="single" w:color="auto" w:sz="4" w:space="0"/>
                    <w:bottom w:val="single" w:color="000000" w:sz="4" w:space="0"/>
                  </w:tcBorders>
                  <w:vAlign w:val="center"/>
                </w:tcPr>
                <w:p>
                  <w:pPr>
                    <w:jc w:val="center"/>
                  </w:pPr>
                  <w:r>
                    <w:t>电动悬挂起重机</w:t>
                  </w:r>
                </w:p>
              </w:tc>
              <w:tc>
                <w:tcPr>
                  <w:tcW w:w="2388" w:type="dxa"/>
                  <w:tcBorders>
                    <w:top w:val="single" w:color="auto" w:sz="6" w:space="0"/>
                    <w:bottom w:val="single" w:color="auto" w:sz="6" w:space="0"/>
                  </w:tcBorders>
                  <w:vAlign w:val="center"/>
                </w:tcPr>
                <w:p>
                  <w:pPr>
                    <w:jc w:val="center"/>
                  </w:pPr>
                  <w:r>
                    <w:t>大机型</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8</w:t>
                  </w:r>
                </w:p>
              </w:tc>
              <w:tc>
                <w:tcPr>
                  <w:tcW w:w="2324" w:type="dxa"/>
                  <w:tcBorders>
                    <w:top w:val="single" w:color="auto" w:sz="6" w:space="0"/>
                    <w:left w:val="single" w:color="auto" w:sz="4" w:space="0"/>
                    <w:bottom w:val="single" w:color="000000" w:sz="4" w:space="0"/>
                  </w:tcBorders>
                  <w:vAlign w:val="center"/>
                </w:tcPr>
                <w:p>
                  <w:pPr>
                    <w:jc w:val="center"/>
                  </w:pPr>
                  <w:r>
                    <w:t>静电压力泵</w:t>
                  </w:r>
                </w:p>
              </w:tc>
              <w:tc>
                <w:tcPr>
                  <w:tcW w:w="2388" w:type="dxa"/>
                  <w:tcBorders>
                    <w:top w:val="single" w:color="auto" w:sz="6" w:space="0"/>
                    <w:bottom w:val="single" w:color="auto" w:sz="6" w:space="0"/>
                  </w:tcBorders>
                  <w:vAlign w:val="center"/>
                </w:tcPr>
                <w:p>
                  <w:pPr>
                    <w:jc w:val="center"/>
                  </w:pPr>
                  <w:r>
                    <w:t>P/N：M12LN0</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ind w:left="-20" w:right="-20"/>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9</w:t>
                  </w:r>
                </w:p>
              </w:tc>
              <w:tc>
                <w:tcPr>
                  <w:tcW w:w="2324" w:type="dxa"/>
                  <w:tcBorders>
                    <w:top w:val="single" w:color="auto" w:sz="6" w:space="0"/>
                    <w:left w:val="single" w:color="auto" w:sz="4" w:space="0"/>
                    <w:bottom w:val="single" w:color="000000" w:sz="4" w:space="0"/>
                  </w:tcBorders>
                  <w:vAlign w:val="center"/>
                </w:tcPr>
                <w:p>
                  <w:pPr>
                    <w:jc w:val="center"/>
                  </w:pPr>
                  <w:r>
                    <w:t>静电压力泵</w:t>
                  </w:r>
                </w:p>
              </w:tc>
              <w:tc>
                <w:tcPr>
                  <w:tcW w:w="2388" w:type="dxa"/>
                  <w:tcBorders>
                    <w:top w:val="single" w:color="auto" w:sz="6" w:space="0"/>
                    <w:bottom w:val="single" w:color="auto" w:sz="6" w:space="0"/>
                  </w:tcBorders>
                  <w:vAlign w:val="center"/>
                </w:tcPr>
                <w:p>
                  <w:pPr>
                    <w:jc w:val="center"/>
                  </w:pPr>
                  <w:r>
                    <w:t>P/N：116521</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10</w:t>
                  </w:r>
                </w:p>
              </w:tc>
              <w:tc>
                <w:tcPr>
                  <w:tcW w:w="2324" w:type="dxa"/>
                  <w:tcBorders>
                    <w:top w:val="single" w:color="000000" w:sz="4" w:space="0"/>
                    <w:left w:val="single" w:color="auto" w:sz="4" w:space="0"/>
                    <w:bottom w:val="single" w:color="000000" w:sz="4" w:space="0"/>
                  </w:tcBorders>
                  <w:vAlign w:val="center"/>
                </w:tcPr>
                <w:p>
                  <w:pPr>
                    <w:jc w:val="center"/>
                  </w:pPr>
                  <w:r>
                    <w:t>静电喷枪</w:t>
                  </w:r>
                </w:p>
              </w:tc>
              <w:tc>
                <w:tcPr>
                  <w:tcW w:w="2388" w:type="dxa"/>
                  <w:tcBorders>
                    <w:top w:val="single" w:color="auto" w:sz="6" w:space="0"/>
                    <w:bottom w:val="single" w:color="auto" w:sz="6" w:space="0"/>
                  </w:tcBorders>
                  <w:vAlign w:val="center"/>
                </w:tcPr>
                <w:p>
                  <w:pPr>
                    <w:jc w:val="center"/>
                  </w:pPr>
                  <w:r>
                    <w:t>P/N：244572</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11</w:t>
                  </w:r>
                </w:p>
              </w:tc>
              <w:tc>
                <w:tcPr>
                  <w:tcW w:w="2324" w:type="dxa"/>
                  <w:tcBorders>
                    <w:top w:val="single" w:color="000000" w:sz="4" w:space="0"/>
                    <w:left w:val="single" w:color="auto" w:sz="4" w:space="0"/>
                    <w:bottom w:val="single" w:color="000000" w:sz="4" w:space="0"/>
                  </w:tcBorders>
                  <w:vAlign w:val="center"/>
                </w:tcPr>
                <w:p>
                  <w:pPr>
                    <w:jc w:val="center"/>
                  </w:pPr>
                  <w:r>
                    <w:t>静电喷枪</w:t>
                  </w:r>
                </w:p>
              </w:tc>
              <w:tc>
                <w:tcPr>
                  <w:tcW w:w="2388" w:type="dxa"/>
                  <w:tcBorders>
                    <w:top w:val="single" w:color="auto" w:sz="6" w:space="0"/>
                    <w:bottom w:val="single" w:color="auto" w:sz="6" w:space="0"/>
                  </w:tcBorders>
                  <w:vAlign w:val="center"/>
                </w:tcPr>
                <w:p>
                  <w:pPr>
                    <w:jc w:val="center"/>
                  </w:pPr>
                  <w:r>
                    <w:t>P/N：H60T10</w:t>
                  </w:r>
                </w:p>
              </w:tc>
              <w:tc>
                <w:tcPr>
                  <w:tcW w:w="1681" w:type="dxa"/>
                  <w:tcBorders>
                    <w:top w:val="single" w:color="auto" w:sz="6" w:space="0"/>
                    <w:bottom w:val="single" w:color="auto" w:sz="6" w:space="0"/>
                  </w:tcBorders>
                  <w:vAlign w:val="center"/>
                </w:tcPr>
                <w:p>
                  <w:pPr>
                    <w:jc w:val="center"/>
                  </w:pPr>
                  <w:r>
                    <w:t>4</w:t>
                  </w:r>
                </w:p>
              </w:tc>
              <w:tc>
                <w:tcPr>
                  <w:tcW w:w="1832" w:type="dxa"/>
                  <w:tcBorders>
                    <w:top w:val="single" w:color="auto" w:sz="6" w:space="0"/>
                    <w:bottom w:val="single" w:color="auto" w:sz="6" w:space="0"/>
                  </w:tcBorders>
                </w:tcPr>
                <w:p>
                  <w:pPr>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12</w:t>
                  </w:r>
                </w:p>
              </w:tc>
              <w:tc>
                <w:tcPr>
                  <w:tcW w:w="2324" w:type="dxa"/>
                  <w:tcBorders>
                    <w:top w:val="single" w:color="000000" w:sz="4" w:space="0"/>
                    <w:left w:val="single" w:color="auto" w:sz="4" w:space="0"/>
                    <w:bottom w:val="single" w:color="000000" w:sz="4" w:space="0"/>
                  </w:tcBorders>
                  <w:vAlign w:val="center"/>
                </w:tcPr>
                <w:p>
                  <w:pPr>
                    <w:jc w:val="center"/>
                  </w:pPr>
                  <w:r>
                    <w:t>5寸自吸式打磨机</w:t>
                  </w:r>
                </w:p>
              </w:tc>
              <w:tc>
                <w:tcPr>
                  <w:tcW w:w="2388" w:type="dxa"/>
                  <w:tcBorders>
                    <w:top w:val="single" w:color="auto" w:sz="6" w:space="0"/>
                    <w:bottom w:val="single" w:color="auto" w:sz="6" w:space="0"/>
                  </w:tcBorders>
                  <w:vAlign w:val="center"/>
                </w:tcPr>
                <w:p>
                  <w:pPr>
                    <w:jc w:val="center"/>
                  </w:pPr>
                  <w:r>
                    <w:t>P/N：ROS550DB</w:t>
                  </w:r>
                </w:p>
              </w:tc>
              <w:tc>
                <w:tcPr>
                  <w:tcW w:w="1681" w:type="dxa"/>
                  <w:tcBorders>
                    <w:top w:val="single" w:color="auto" w:sz="6" w:space="0"/>
                    <w:bottom w:val="single" w:color="auto" w:sz="6" w:space="0"/>
                  </w:tcBorders>
                  <w:vAlign w:val="center"/>
                </w:tcPr>
                <w:p>
                  <w:pPr>
                    <w:jc w:val="center"/>
                  </w:pPr>
                  <w:r>
                    <w:t>30</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13</w:t>
                  </w:r>
                </w:p>
              </w:tc>
              <w:tc>
                <w:tcPr>
                  <w:tcW w:w="2324" w:type="dxa"/>
                  <w:tcBorders>
                    <w:top w:val="single" w:color="000000" w:sz="4" w:space="0"/>
                    <w:left w:val="single" w:color="auto" w:sz="4" w:space="0"/>
                    <w:bottom w:val="single" w:color="000000" w:sz="4" w:space="0"/>
                  </w:tcBorders>
                  <w:vAlign w:val="center"/>
                </w:tcPr>
                <w:p>
                  <w:pPr>
                    <w:jc w:val="center"/>
                  </w:pPr>
                  <w:r>
                    <w:t>空气压缩机</w:t>
                  </w:r>
                </w:p>
              </w:tc>
              <w:tc>
                <w:tcPr>
                  <w:tcW w:w="2388" w:type="dxa"/>
                  <w:tcBorders>
                    <w:top w:val="single" w:color="auto" w:sz="6" w:space="0"/>
                    <w:bottom w:val="single" w:color="auto" w:sz="6" w:space="0"/>
                  </w:tcBorders>
                  <w:vAlign w:val="center"/>
                </w:tcPr>
                <w:p>
                  <w:pPr>
                    <w:jc w:val="center"/>
                  </w:pPr>
                  <w:r>
                    <w:t>/</w:t>
                  </w:r>
                </w:p>
              </w:tc>
              <w:tc>
                <w:tcPr>
                  <w:tcW w:w="1681" w:type="dxa"/>
                  <w:tcBorders>
                    <w:top w:val="single" w:color="auto" w:sz="6" w:space="0"/>
                    <w:bottom w:val="single" w:color="auto" w:sz="6" w:space="0"/>
                  </w:tcBorders>
                  <w:vAlign w:val="center"/>
                </w:tcPr>
                <w:p>
                  <w:pPr>
                    <w:jc w:val="center"/>
                  </w:pPr>
                  <w:r>
                    <w:t>2</w:t>
                  </w:r>
                </w:p>
              </w:tc>
              <w:tc>
                <w:tcPr>
                  <w:tcW w:w="1832" w:type="dxa"/>
                  <w:tcBorders>
                    <w:top w:val="single" w:color="auto" w:sz="6" w:space="0"/>
                    <w:bottom w:val="single" w:color="auto" w:sz="6" w:space="0"/>
                  </w:tcBorders>
                </w:tcPr>
                <w:p>
                  <w:pPr>
                    <w:ind w:left="-20" w:right="-20"/>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14</w:t>
                  </w:r>
                </w:p>
              </w:tc>
              <w:tc>
                <w:tcPr>
                  <w:tcW w:w="2324" w:type="dxa"/>
                  <w:tcBorders>
                    <w:top w:val="single" w:color="000000" w:sz="4" w:space="0"/>
                    <w:left w:val="single" w:color="auto" w:sz="4" w:space="0"/>
                    <w:bottom w:val="single" w:color="000000" w:sz="4" w:space="0"/>
                  </w:tcBorders>
                  <w:vAlign w:val="center"/>
                </w:tcPr>
                <w:p>
                  <w:pPr>
                    <w:jc w:val="center"/>
                  </w:pPr>
                  <w:r>
                    <w:t>高压清洗机</w:t>
                  </w:r>
                </w:p>
              </w:tc>
              <w:tc>
                <w:tcPr>
                  <w:tcW w:w="2388" w:type="dxa"/>
                  <w:tcBorders>
                    <w:top w:val="single" w:color="auto" w:sz="6" w:space="0"/>
                    <w:bottom w:val="single" w:color="auto" w:sz="6" w:space="0"/>
                  </w:tcBorders>
                  <w:vAlign w:val="center"/>
                </w:tcPr>
                <w:p>
                  <w:pPr>
                    <w:jc w:val="center"/>
                  </w:pPr>
                  <w:r>
                    <w:t>P/N：BCC1217C</w:t>
                  </w:r>
                </w:p>
              </w:tc>
              <w:tc>
                <w:tcPr>
                  <w:tcW w:w="1681" w:type="dxa"/>
                  <w:tcBorders>
                    <w:top w:val="single" w:color="auto" w:sz="6" w:space="0"/>
                    <w:bottom w:val="single" w:color="auto" w:sz="6" w:space="0"/>
                  </w:tcBorders>
                  <w:vAlign w:val="center"/>
                </w:tcPr>
                <w:p>
                  <w:pPr>
                    <w:jc w:val="center"/>
                  </w:pPr>
                  <w:r>
                    <w:t>4</w:t>
                  </w:r>
                </w:p>
              </w:tc>
              <w:tc>
                <w:tcPr>
                  <w:tcW w:w="1832" w:type="dxa"/>
                  <w:tcBorders>
                    <w:top w:val="single" w:color="auto" w:sz="6" w:space="0"/>
                    <w:bottom w:val="single" w:color="auto" w:sz="6" w:space="0"/>
                  </w:tcBorders>
                </w:tcPr>
                <w:p>
                  <w:pPr>
                    <w:ind w:left="-20" w:right="-20"/>
                    <w:jc w:val="center"/>
                  </w:pPr>
                  <w:r>
                    <w:t>改建前设备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ind w:left="-42" w:leftChars="-20" w:right="-42" w:rightChars="-20"/>
                    <w:jc w:val="center"/>
                  </w:pPr>
                  <w:r>
                    <w:t>15</w:t>
                  </w:r>
                </w:p>
              </w:tc>
              <w:tc>
                <w:tcPr>
                  <w:tcW w:w="2324" w:type="dxa"/>
                  <w:tcBorders>
                    <w:top w:val="single" w:color="000000" w:sz="4" w:space="0"/>
                    <w:left w:val="single" w:color="auto" w:sz="4" w:space="0"/>
                    <w:bottom w:val="single" w:color="000000" w:sz="4" w:space="0"/>
                  </w:tcBorders>
                  <w:vAlign w:val="center"/>
                </w:tcPr>
                <w:p>
                  <w:pPr>
                    <w:jc w:val="center"/>
                  </w:pPr>
                  <w:r>
                    <w:t>排风集气箱</w:t>
                  </w:r>
                </w:p>
              </w:tc>
              <w:tc>
                <w:tcPr>
                  <w:tcW w:w="2388" w:type="dxa"/>
                  <w:tcBorders>
                    <w:top w:val="single" w:color="auto" w:sz="6" w:space="0"/>
                    <w:bottom w:val="single" w:color="auto" w:sz="6" w:space="0"/>
                  </w:tcBorders>
                  <w:vAlign w:val="center"/>
                </w:tcPr>
                <w:p>
                  <w:pPr>
                    <w:jc w:val="center"/>
                  </w:pPr>
                  <w:r>
                    <w:t>/</w:t>
                  </w:r>
                </w:p>
              </w:tc>
              <w:tc>
                <w:tcPr>
                  <w:tcW w:w="1681" w:type="dxa"/>
                  <w:tcBorders>
                    <w:top w:val="single" w:color="auto" w:sz="6" w:space="0"/>
                    <w:bottom w:val="single" w:color="auto" w:sz="6" w:space="0"/>
                  </w:tcBorders>
                  <w:vAlign w:val="center"/>
                </w:tcPr>
                <w:p>
                  <w:pPr>
                    <w:jc w:val="center"/>
                  </w:pPr>
                  <w:r>
                    <w:t>6</w:t>
                  </w:r>
                </w:p>
              </w:tc>
              <w:tc>
                <w:tcPr>
                  <w:tcW w:w="1832" w:type="dxa"/>
                  <w:tcBorders>
                    <w:top w:val="single" w:color="auto" w:sz="6" w:space="0"/>
                    <w:bottom w:val="single" w:color="auto" w:sz="6" w:space="0"/>
                  </w:tcBorders>
                </w:tcPr>
                <w:p>
                  <w:pPr>
                    <w:ind w:left="-20" w:right="-20"/>
                    <w:jc w:val="center"/>
                  </w:pPr>
                  <w:r>
                    <w:t>改建后设备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3" w:type="dxa"/>
                  <w:tcBorders>
                    <w:top w:val="single" w:color="auto" w:sz="6" w:space="0"/>
                    <w:left w:val="nil"/>
                    <w:bottom w:val="single" w:color="auto" w:sz="12" w:space="0"/>
                    <w:right w:val="single" w:color="auto" w:sz="4" w:space="0"/>
                  </w:tcBorders>
                </w:tcPr>
                <w:p>
                  <w:pPr>
                    <w:ind w:left="-42" w:leftChars="-20" w:right="-42" w:rightChars="-20"/>
                    <w:jc w:val="center"/>
                  </w:pPr>
                  <w:r>
                    <w:t>16</w:t>
                  </w:r>
                </w:p>
              </w:tc>
              <w:tc>
                <w:tcPr>
                  <w:tcW w:w="2324" w:type="dxa"/>
                  <w:tcBorders>
                    <w:top w:val="single" w:color="000000" w:sz="4" w:space="0"/>
                    <w:left w:val="single" w:color="auto" w:sz="4" w:space="0"/>
                    <w:bottom w:val="single" w:color="auto" w:sz="12" w:space="0"/>
                  </w:tcBorders>
                  <w:vAlign w:val="center"/>
                </w:tcPr>
                <w:p>
                  <w:pPr>
                    <w:jc w:val="center"/>
                  </w:pPr>
                  <w:r>
                    <w:t>活性炭吸附箱</w:t>
                  </w:r>
                </w:p>
              </w:tc>
              <w:tc>
                <w:tcPr>
                  <w:tcW w:w="2388" w:type="dxa"/>
                  <w:tcBorders>
                    <w:top w:val="single" w:color="auto" w:sz="6" w:space="0"/>
                    <w:bottom w:val="single" w:color="auto" w:sz="12" w:space="0"/>
                  </w:tcBorders>
                  <w:vAlign w:val="center"/>
                </w:tcPr>
                <w:p>
                  <w:pPr>
                    <w:jc w:val="center"/>
                  </w:pPr>
                  <w:r>
                    <w:t>/</w:t>
                  </w:r>
                </w:p>
              </w:tc>
              <w:tc>
                <w:tcPr>
                  <w:tcW w:w="1681" w:type="dxa"/>
                  <w:tcBorders>
                    <w:top w:val="single" w:color="auto" w:sz="6" w:space="0"/>
                    <w:bottom w:val="single" w:color="auto" w:sz="12" w:space="0"/>
                  </w:tcBorders>
                  <w:vAlign w:val="center"/>
                </w:tcPr>
                <w:p>
                  <w:pPr>
                    <w:jc w:val="center"/>
                  </w:pPr>
                  <w:r>
                    <w:rPr>
                      <w:rFonts w:hint="eastAsia"/>
                    </w:rPr>
                    <w:t>6</w:t>
                  </w:r>
                </w:p>
              </w:tc>
              <w:tc>
                <w:tcPr>
                  <w:tcW w:w="1832" w:type="dxa"/>
                  <w:tcBorders>
                    <w:top w:val="single" w:color="auto" w:sz="6" w:space="0"/>
                    <w:bottom w:val="single" w:color="auto" w:sz="12" w:space="0"/>
                  </w:tcBorders>
                </w:tcPr>
                <w:p>
                  <w:pPr>
                    <w:ind w:left="-20" w:right="-20"/>
                    <w:jc w:val="center"/>
                  </w:pPr>
                  <w:r>
                    <w:t>改建后设备</w:t>
                  </w:r>
                </w:p>
              </w:tc>
            </w:tr>
          </w:tbl>
          <w:p>
            <w:pPr>
              <w:widowControl/>
              <w:adjustRightInd w:val="0"/>
              <w:snapToGrid w:val="0"/>
              <w:spacing w:line="520" w:lineRule="exact"/>
              <w:ind w:firstLine="482" w:firstLineChars="200"/>
              <w:rPr>
                <w:b/>
                <w:bCs/>
                <w:sz w:val="24"/>
              </w:rPr>
            </w:pPr>
            <w:r>
              <w:rPr>
                <w:b/>
                <w:bCs/>
                <w:sz w:val="24"/>
              </w:rPr>
              <w:t>7、产品方案</w:t>
            </w:r>
          </w:p>
          <w:p>
            <w:pPr>
              <w:spacing w:line="520" w:lineRule="exact"/>
              <w:ind w:firstLine="480" w:firstLineChars="200"/>
              <w:rPr>
                <w:sz w:val="24"/>
              </w:rPr>
            </w:pPr>
            <w:r>
              <w:rPr>
                <w:sz w:val="24"/>
              </w:rPr>
              <w:t>本项目飞机</w:t>
            </w:r>
            <w:r>
              <w:rPr>
                <w:sz w:val="24"/>
                <w:highlight w:val="none"/>
              </w:rPr>
              <w:t>喷漆</w:t>
            </w:r>
            <w:r>
              <w:rPr>
                <w:sz w:val="24"/>
              </w:rPr>
              <w:t>能力为18架次/年，项目只进行整机喷漆，不做零部件喷漆。不做整机喷漆的情况下，飞机维修能力为300架次/年。本项目主要承担A320系列飞机的维修和喷漆任务。主要参数见下表。改建前后项目维修和喷漆能力不变。</w:t>
            </w:r>
          </w:p>
          <w:p>
            <w:pPr>
              <w:pStyle w:val="17"/>
              <w:jc w:val="center"/>
              <w:rPr>
                <w:rFonts w:ascii="Times New Roman" w:hAnsi="Times New Roman" w:eastAsia="黑体" w:cs="Times New Roman"/>
                <w:sz w:val="24"/>
              </w:rPr>
            </w:pPr>
            <w:r>
              <w:rPr>
                <w:rFonts w:ascii="Times New Roman" w:hAnsi="Times New Roman" w:eastAsia="黑体" w:cs="Times New Roman"/>
                <w:sz w:val="24"/>
              </w:rPr>
              <w:t>表4   参考机型表</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94"/>
              <w:gridCol w:w="2179"/>
              <w:gridCol w:w="2179"/>
              <w:gridCol w:w="202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394" w:type="dxa"/>
                  <w:vAlign w:val="center"/>
                </w:tcPr>
                <w:p>
                  <w:pPr>
                    <w:spacing w:line="0" w:lineRule="atLeast"/>
                    <w:jc w:val="center"/>
                  </w:pPr>
                  <w:r>
                    <w:t>机型</w:t>
                  </w:r>
                </w:p>
              </w:tc>
              <w:tc>
                <w:tcPr>
                  <w:tcW w:w="2179" w:type="dxa"/>
                  <w:vAlign w:val="center"/>
                </w:tcPr>
                <w:p>
                  <w:pPr>
                    <w:spacing w:line="0" w:lineRule="atLeast"/>
                    <w:jc w:val="center"/>
                  </w:pPr>
                  <w:r>
                    <w:t>机长（m）</w:t>
                  </w:r>
                </w:p>
              </w:tc>
              <w:tc>
                <w:tcPr>
                  <w:tcW w:w="2179" w:type="dxa"/>
                  <w:vAlign w:val="center"/>
                </w:tcPr>
                <w:p>
                  <w:pPr>
                    <w:spacing w:line="0" w:lineRule="atLeast"/>
                    <w:jc w:val="center"/>
                  </w:pPr>
                  <w:r>
                    <w:t>翼展（m）</w:t>
                  </w:r>
                </w:p>
              </w:tc>
              <w:tc>
                <w:tcPr>
                  <w:tcW w:w="2026" w:type="dxa"/>
                  <w:vAlign w:val="center"/>
                </w:tcPr>
                <w:p>
                  <w:pPr>
                    <w:spacing w:line="0" w:lineRule="atLeast"/>
                    <w:jc w:val="center"/>
                  </w:pPr>
                  <w:r>
                    <w:rPr>
                      <w:highlight w:val="none"/>
                    </w:rPr>
                    <w:t>机高</w:t>
                  </w:r>
                  <w:r>
                    <w:t>（m）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394" w:type="dxa"/>
                  <w:vAlign w:val="center"/>
                </w:tcPr>
                <w:p>
                  <w:pPr>
                    <w:spacing w:line="0" w:lineRule="atLeast"/>
                    <w:jc w:val="center"/>
                  </w:pPr>
                  <w:r>
                    <w:t>A320-100</w:t>
                  </w:r>
                </w:p>
              </w:tc>
              <w:tc>
                <w:tcPr>
                  <w:tcW w:w="2179" w:type="dxa"/>
                  <w:vAlign w:val="center"/>
                </w:tcPr>
                <w:p>
                  <w:pPr>
                    <w:spacing w:line="0" w:lineRule="atLeast"/>
                    <w:jc w:val="center"/>
                  </w:pPr>
                  <w:r>
                    <w:t>37.57</w:t>
                  </w:r>
                </w:p>
              </w:tc>
              <w:tc>
                <w:tcPr>
                  <w:tcW w:w="2179" w:type="dxa"/>
                  <w:vAlign w:val="center"/>
                </w:tcPr>
                <w:p>
                  <w:pPr>
                    <w:spacing w:line="0" w:lineRule="atLeast"/>
                    <w:jc w:val="center"/>
                  </w:pPr>
                  <w:r>
                    <w:t>34.1</w:t>
                  </w:r>
                </w:p>
              </w:tc>
              <w:tc>
                <w:tcPr>
                  <w:tcW w:w="2026" w:type="dxa"/>
                  <w:vAlign w:val="center"/>
                </w:tcPr>
                <w:p>
                  <w:pPr>
                    <w:spacing w:line="0" w:lineRule="atLeast"/>
                    <w:jc w:val="center"/>
                  </w:pPr>
                  <w:r>
                    <w:t>11.76</w:t>
                  </w:r>
                </w:p>
              </w:tc>
            </w:tr>
          </w:tbl>
          <w:p>
            <w:pPr>
              <w:pStyle w:val="17"/>
              <w:jc w:val="center"/>
              <w:rPr>
                <w:rFonts w:ascii="Times New Roman" w:hAnsi="Times New Roman" w:eastAsia="黑体" w:cs="Times New Roman"/>
                <w:sz w:val="24"/>
              </w:rPr>
            </w:pPr>
            <w:r>
              <w:rPr>
                <w:rFonts w:ascii="Times New Roman" w:hAnsi="Times New Roman" w:eastAsia="黑体" w:cs="Times New Roman"/>
                <w:sz w:val="24"/>
              </w:rPr>
              <w:t>表5   项目飞机</w:t>
            </w:r>
            <w:r>
              <w:rPr>
                <w:rFonts w:ascii="Times New Roman" w:hAnsi="Times New Roman" w:eastAsia="黑体" w:cs="Times New Roman"/>
                <w:sz w:val="24"/>
                <w:highlight w:val="none"/>
              </w:rPr>
              <w:t>喷漆</w:t>
            </w:r>
            <w:r>
              <w:rPr>
                <w:rFonts w:ascii="Times New Roman" w:hAnsi="Times New Roman" w:eastAsia="黑体" w:cs="Times New Roman"/>
                <w:sz w:val="24"/>
              </w:rPr>
              <w:t>情况一览表</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28"/>
              <w:gridCol w:w="2101"/>
              <w:gridCol w:w="2049"/>
              <w:gridCol w:w="300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628" w:type="dxa"/>
                  <w:vAlign w:val="center"/>
                </w:tcPr>
                <w:p>
                  <w:pPr>
                    <w:spacing w:line="0" w:lineRule="atLeast"/>
                    <w:jc w:val="center"/>
                  </w:pPr>
                  <w:r>
                    <w:t>飞机类型</w:t>
                  </w:r>
                </w:p>
              </w:tc>
              <w:tc>
                <w:tcPr>
                  <w:tcW w:w="2101" w:type="dxa"/>
                  <w:vAlign w:val="center"/>
                </w:tcPr>
                <w:p>
                  <w:pPr>
                    <w:spacing w:line="0" w:lineRule="atLeast"/>
                    <w:jc w:val="center"/>
                  </w:pPr>
                  <w:r>
                    <w:t>喷漆架次（架/a）</w:t>
                  </w:r>
                </w:p>
              </w:tc>
              <w:tc>
                <w:tcPr>
                  <w:tcW w:w="2049" w:type="dxa"/>
                  <w:vAlign w:val="center"/>
                </w:tcPr>
                <w:p>
                  <w:pPr>
                    <w:spacing w:line="0" w:lineRule="atLeast"/>
                    <w:jc w:val="center"/>
                  </w:pPr>
                  <w:r>
                    <w:rPr>
                      <w:highlight w:val="none"/>
                    </w:rPr>
                    <w:t>单架</w:t>
                  </w:r>
                  <w:r>
                    <w:t>喷涂面积（m</w:t>
                  </w:r>
                  <w:r>
                    <w:rPr>
                      <w:vertAlign w:val="superscript"/>
                    </w:rPr>
                    <w:t>2</w:t>
                  </w:r>
                  <w:r>
                    <w:t>）</w:t>
                  </w:r>
                </w:p>
              </w:tc>
              <w:tc>
                <w:tcPr>
                  <w:tcW w:w="3000" w:type="dxa"/>
                  <w:vAlign w:val="center"/>
                </w:tcPr>
                <w:p>
                  <w:pPr>
                    <w:spacing w:line="0" w:lineRule="atLeast"/>
                    <w:jc w:val="center"/>
                  </w:pPr>
                  <w:r>
                    <w:t>考虑所有飞机均为整机喷漆的喷涂面积（m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64" w:hRule="atLeast"/>
                <w:jc w:val="center"/>
              </w:trPr>
              <w:tc>
                <w:tcPr>
                  <w:tcW w:w="1628" w:type="dxa"/>
                  <w:vAlign w:val="center"/>
                </w:tcPr>
                <w:p>
                  <w:pPr>
                    <w:spacing w:line="0" w:lineRule="atLeast"/>
                    <w:jc w:val="center"/>
                  </w:pPr>
                  <w:r>
                    <w:t>空客A320</w:t>
                  </w:r>
                </w:p>
              </w:tc>
              <w:tc>
                <w:tcPr>
                  <w:tcW w:w="2101" w:type="dxa"/>
                  <w:vAlign w:val="center"/>
                </w:tcPr>
                <w:p>
                  <w:pPr>
                    <w:spacing w:line="0" w:lineRule="atLeast"/>
                    <w:jc w:val="center"/>
                  </w:pPr>
                  <w:r>
                    <w:t>18</w:t>
                  </w:r>
                </w:p>
              </w:tc>
              <w:tc>
                <w:tcPr>
                  <w:tcW w:w="2049" w:type="dxa"/>
                  <w:vAlign w:val="center"/>
                </w:tcPr>
                <w:p>
                  <w:pPr>
                    <w:spacing w:line="0" w:lineRule="atLeast"/>
                    <w:jc w:val="center"/>
                  </w:pPr>
                  <w:r>
                    <w:t>800</w:t>
                  </w:r>
                </w:p>
              </w:tc>
              <w:tc>
                <w:tcPr>
                  <w:tcW w:w="3000" w:type="dxa"/>
                  <w:vAlign w:val="center"/>
                </w:tcPr>
                <w:p>
                  <w:pPr>
                    <w:spacing w:line="0" w:lineRule="atLeast"/>
                    <w:jc w:val="center"/>
                  </w:pPr>
                  <w:r>
                    <w:t>14400</w:t>
                  </w:r>
                </w:p>
              </w:tc>
            </w:tr>
          </w:tbl>
          <w:p>
            <w:pPr>
              <w:widowControl/>
              <w:adjustRightInd w:val="0"/>
              <w:snapToGrid w:val="0"/>
              <w:spacing w:line="520" w:lineRule="exact"/>
              <w:ind w:firstLine="482" w:firstLineChars="200"/>
              <w:rPr>
                <w:b/>
                <w:bCs/>
                <w:color w:val="000000"/>
                <w:sz w:val="24"/>
              </w:rPr>
            </w:pPr>
            <w:r>
              <w:rPr>
                <w:b/>
                <w:bCs/>
                <w:color w:val="000000"/>
                <w:sz w:val="24"/>
              </w:rPr>
              <w:t>8、原辅材料和动力消耗</w:t>
            </w:r>
          </w:p>
          <w:p>
            <w:pPr>
              <w:spacing w:line="360" w:lineRule="auto"/>
              <w:ind w:firstLine="480" w:firstLineChars="200"/>
              <w:rPr>
                <w:color w:val="000000"/>
                <w:kern w:val="0"/>
                <w:sz w:val="24"/>
                <w:szCs w:val="24"/>
              </w:rPr>
            </w:pPr>
            <w:r>
              <w:rPr>
                <w:color w:val="000000"/>
                <w:kern w:val="0"/>
                <w:sz w:val="24"/>
                <w:szCs w:val="24"/>
              </w:rPr>
              <w:t>本项目主要原辅材料及消耗量见下表。根据建设单位提供资料，项目年喷涂飞机空客A320架次为18架，每架飞机的喷漆量（包含磷化底漆、中间底漆、面漆、清漆漆及其各自的稀释剂及固化剂）约为520kg，按不利因素计，油漆使用量最大约为9.36t/a。油漆检测报告见附件。</w:t>
            </w:r>
          </w:p>
          <w:p>
            <w:pPr>
              <w:pStyle w:val="17"/>
              <w:jc w:val="center"/>
              <w:rPr>
                <w:rFonts w:ascii="Times New Roman" w:hAnsi="Times New Roman" w:eastAsia="黑体" w:cs="Times New Roman"/>
                <w:sz w:val="24"/>
              </w:rPr>
            </w:pPr>
            <w:r>
              <w:rPr>
                <w:rFonts w:ascii="Times New Roman" w:hAnsi="Times New Roman" w:eastAsia="黑体" w:cs="Times New Roman"/>
                <w:sz w:val="24"/>
              </w:rPr>
              <w:t>表6   主要原、辅材料及能源消耗一览表</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50"/>
              <w:gridCol w:w="1327"/>
              <w:gridCol w:w="1008"/>
              <w:gridCol w:w="941"/>
              <w:gridCol w:w="485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序号</w:t>
                  </w:r>
                </w:p>
              </w:tc>
              <w:tc>
                <w:tcPr>
                  <w:tcW w:w="1327" w:type="dxa"/>
                  <w:tcBorders>
                    <w:tl2br w:val="nil"/>
                    <w:tr2bl w:val="nil"/>
                  </w:tcBorders>
                  <w:vAlign w:val="center"/>
                </w:tcPr>
                <w:p>
                  <w:pPr>
                    <w:spacing w:line="0" w:lineRule="atLeast"/>
                    <w:jc w:val="center"/>
                  </w:pPr>
                  <w:r>
                    <w:t>名称</w:t>
                  </w:r>
                </w:p>
              </w:tc>
              <w:tc>
                <w:tcPr>
                  <w:tcW w:w="1008" w:type="dxa"/>
                  <w:tcBorders>
                    <w:tl2br w:val="nil"/>
                    <w:tr2bl w:val="nil"/>
                  </w:tcBorders>
                  <w:vAlign w:val="center"/>
                </w:tcPr>
                <w:p>
                  <w:pPr>
                    <w:spacing w:line="0" w:lineRule="atLeast"/>
                    <w:jc w:val="center"/>
                  </w:pPr>
                  <w:r>
                    <w:t>消耗量</w:t>
                  </w:r>
                </w:p>
              </w:tc>
              <w:tc>
                <w:tcPr>
                  <w:tcW w:w="941" w:type="dxa"/>
                  <w:tcBorders>
                    <w:tl2br w:val="nil"/>
                    <w:tr2bl w:val="nil"/>
                  </w:tcBorders>
                  <w:vAlign w:val="center"/>
                </w:tcPr>
                <w:p>
                  <w:pPr>
                    <w:spacing w:line="0" w:lineRule="atLeast"/>
                    <w:jc w:val="center"/>
                  </w:pPr>
                  <w:r>
                    <w:t>单位</w:t>
                  </w:r>
                </w:p>
              </w:tc>
              <w:tc>
                <w:tcPr>
                  <w:tcW w:w="4852" w:type="dxa"/>
                  <w:tcBorders>
                    <w:tl2br w:val="nil"/>
                    <w:tr2bl w:val="nil"/>
                  </w:tcBorders>
                  <w:vAlign w:val="center"/>
                </w:tcPr>
                <w:p>
                  <w:pPr>
                    <w:spacing w:line="0" w:lineRule="atLeast"/>
                    <w:jc w:val="center"/>
                  </w:pPr>
                  <w: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778" w:type="dxa"/>
                  <w:gridSpan w:val="5"/>
                  <w:tcBorders>
                    <w:tl2br w:val="nil"/>
                    <w:tr2bl w:val="nil"/>
                  </w:tcBorders>
                  <w:vAlign w:val="center"/>
                </w:tcPr>
                <w:p>
                  <w:pPr>
                    <w:spacing w:line="0" w:lineRule="atLeast"/>
                  </w:pPr>
                  <w:r>
                    <w:t xml:space="preserve">                           原辅材料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w:t>
                  </w:r>
                </w:p>
              </w:tc>
              <w:tc>
                <w:tcPr>
                  <w:tcW w:w="1327" w:type="dxa"/>
                  <w:tcBorders>
                    <w:tl2br w:val="nil"/>
                    <w:tr2bl w:val="nil"/>
                  </w:tcBorders>
                  <w:vAlign w:val="center"/>
                </w:tcPr>
                <w:p>
                  <w:pPr>
                    <w:jc w:val="center"/>
                  </w:pPr>
                  <w:r>
                    <w:t>磷化底漆基料</w:t>
                  </w:r>
                </w:p>
              </w:tc>
              <w:tc>
                <w:tcPr>
                  <w:tcW w:w="1008" w:type="dxa"/>
                  <w:tcBorders>
                    <w:tl2br w:val="nil"/>
                    <w:tr2bl w:val="nil"/>
                  </w:tcBorders>
                  <w:vAlign w:val="center"/>
                </w:tcPr>
                <w:p>
                  <w:pPr>
                    <w:adjustRightInd w:val="0"/>
                    <w:snapToGrid w:val="0"/>
                    <w:jc w:val="center"/>
                  </w:pPr>
                  <w:r>
                    <w:t>172.8</w:t>
                  </w:r>
                </w:p>
              </w:tc>
              <w:tc>
                <w:tcPr>
                  <w:tcW w:w="941" w:type="dxa"/>
                  <w:tcBorders>
                    <w:tl2br w:val="nil"/>
                    <w:tr2bl w:val="nil"/>
                  </w:tcBorders>
                  <w:vAlign w:val="center"/>
                </w:tcPr>
                <w:p>
                  <w:pPr>
                    <w:spacing w:line="0" w:lineRule="atLeast"/>
                    <w:jc w:val="center"/>
                  </w:pPr>
                  <w:r>
                    <w:t>kg/a</w:t>
                  </w:r>
                </w:p>
              </w:tc>
              <w:tc>
                <w:tcPr>
                  <w:tcW w:w="4852" w:type="dxa"/>
                  <w:tcBorders>
                    <w:tl2br w:val="nil"/>
                    <w:tr2bl w:val="nil"/>
                  </w:tcBorders>
                  <w:vAlign w:val="center"/>
                </w:tcPr>
                <w:p>
                  <w:pPr>
                    <w:spacing w:line="0" w:lineRule="atLeast"/>
                    <w:jc w:val="center"/>
                  </w:pPr>
                  <w:r>
                    <w:t>外购，存放要求：防爆柜、漆料存放架；远离热源、通风良好、防静电。最大存放量为25kg。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2</w:t>
                  </w:r>
                </w:p>
              </w:tc>
              <w:tc>
                <w:tcPr>
                  <w:tcW w:w="1327" w:type="dxa"/>
                  <w:tcBorders>
                    <w:tl2br w:val="nil"/>
                    <w:tr2bl w:val="nil"/>
                  </w:tcBorders>
                  <w:vAlign w:val="center"/>
                </w:tcPr>
                <w:p>
                  <w:pPr>
                    <w:jc w:val="center"/>
                  </w:pPr>
                  <w:r>
                    <w:t>磷化底漆固化剂</w:t>
                  </w:r>
                </w:p>
              </w:tc>
              <w:tc>
                <w:tcPr>
                  <w:tcW w:w="1008" w:type="dxa"/>
                  <w:tcBorders>
                    <w:tl2br w:val="nil"/>
                    <w:tr2bl w:val="nil"/>
                  </w:tcBorders>
                  <w:vAlign w:val="center"/>
                </w:tcPr>
                <w:p>
                  <w:pPr>
                    <w:adjustRightInd w:val="0"/>
                    <w:snapToGrid w:val="0"/>
                    <w:jc w:val="center"/>
                  </w:pPr>
                  <w:r>
                    <w:t>41.4</w:t>
                  </w:r>
                </w:p>
              </w:tc>
              <w:tc>
                <w:tcPr>
                  <w:tcW w:w="941" w:type="dxa"/>
                  <w:tcBorders>
                    <w:tl2br w:val="nil"/>
                    <w:tr2bl w:val="nil"/>
                  </w:tcBorders>
                  <w:vAlign w:val="center"/>
                </w:tcPr>
                <w:p>
                  <w:pPr>
                    <w:jc w:val="center"/>
                  </w:pPr>
                  <w:r>
                    <w:t>kg/a</w:t>
                  </w:r>
                </w:p>
              </w:tc>
              <w:tc>
                <w:tcPr>
                  <w:tcW w:w="4852" w:type="dxa"/>
                  <w:tcBorders>
                    <w:tl2br w:val="nil"/>
                    <w:tr2bl w:val="nil"/>
                  </w:tcBorders>
                </w:tcPr>
                <w:p>
                  <w:r>
                    <w:t>外购，存放要求：防爆柜、漆料存放架；远离热源、通风良好、防静电。最大存放量为25kg。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rPr>
                      <w:color w:val="000000"/>
                    </w:rPr>
                  </w:pPr>
                  <w:r>
                    <w:rPr>
                      <w:color w:val="000000"/>
                    </w:rPr>
                    <w:t>3</w:t>
                  </w:r>
                </w:p>
              </w:tc>
              <w:tc>
                <w:tcPr>
                  <w:tcW w:w="1327" w:type="dxa"/>
                  <w:tcBorders>
                    <w:tl2br w:val="nil"/>
                    <w:tr2bl w:val="nil"/>
                  </w:tcBorders>
                  <w:vAlign w:val="center"/>
                </w:tcPr>
                <w:p>
                  <w:pPr>
                    <w:jc w:val="center"/>
                  </w:pPr>
                  <w:r>
                    <w:t>磷化底漆稀释剂</w:t>
                  </w:r>
                </w:p>
              </w:tc>
              <w:tc>
                <w:tcPr>
                  <w:tcW w:w="1008" w:type="dxa"/>
                  <w:tcBorders>
                    <w:tl2br w:val="nil"/>
                    <w:tr2bl w:val="nil"/>
                  </w:tcBorders>
                  <w:vAlign w:val="center"/>
                </w:tcPr>
                <w:p>
                  <w:pPr>
                    <w:adjustRightInd w:val="0"/>
                    <w:snapToGrid w:val="0"/>
                    <w:jc w:val="center"/>
                    <w:rPr>
                      <w:color w:val="FF0000"/>
                    </w:rPr>
                  </w:pPr>
                  <w:r>
                    <w:rPr>
                      <w:color w:val="000000" w:themeColor="text1"/>
                      <w14:textFill>
                        <w14:solidFill>
                          <w14:schemeClr w14:val="tx1"/>
                        </w14:solidFill>
                      </w14:textFill>
                    </w:rPr>
                    <w:t>39.6</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外购，存放要求：防爆柜、漆料存放架；远离热源、通风良好、防静电。最大存放量为25kg。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4</w:t>
                  </w:r>
                </w:p>
              </w:tc>
              <w:tc>
                <w:tcPr>
                  <w:tcW w:w="1327" w:type="dxa"/>
                  <w:tcBorders>
                    <w:tl2br w:val="nil"/>
                    <w:tr2bl w:val="nil"/>
                  </w:tcBorders>
                  <w:vAlign w:val="center"/>
                </w:tcPr>
                <w:p>
                  <w:pPr>
                    <w:jc w:val="center"/>
                  </w:pPr>
                  <w:r>
                    <w:t>中间底漆</w:t>
                  </w:r>
                </w:p>
              </w:tc>
              <w:tc>
                <w:tcPr>
                  <w:tcW w:w="1008" w:type="dxa"/>
                  <w:tcBorders>
                    <w:tl2br w:val="nil"/>
                    <w:tr2bl w:val="nil"/>
                  </w:tcBorders>
                  <w:vAlign w:val="center"/>
                </w:tcPr>
                <w:p>
                  <w:pPr>
                    <w:adjustRightInd w:val="0"/>
                    <w:snapToGrid w:val="0"/>
                    <w:jc w:val="center"/>
                  </w:pPr>
                  <w:r>
                    <w:t>1512</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外购，存放要求：防爆柜、漆料存放架；远离热源、通风良好、防静电。最大存放量为200kg。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5</w:t>
                  </w:r>
                </w:p>
              </w:tc>
              <w:tc>
                <w:tcPr>
                  <w:tcW w:w="1327" w:type="dxa"/>
                  <w:tcBorders>
                    <w:tl2br w:val="nil"/>
                    <w:tr2bl w:val="nil"/>
                  </w:tcBorders>
                  <w:vAlign w:val="center"/>
                </w:tcPr>
                <w:p>
                  <w:pPr>
                    <w:jc w:val="center"/>
                  </w:pPr>
                  <w:r>
                    <w:t>中间底漆固化剂</w:t>
                  </w:r>
                </w:p>
              </w:tc>
              <w:tc>
                <w:tcPr>
                  <w:tcW w:w="1008" w:type="dxa"/>
                  <w:tcBorders>
                    <w:tl2br w:val="nil"/>
                    <w:tr2bl w:val="nil"/>
                  </w:tcBorders>
                  <w:vAlign w:val="center"/>
                </w:tcPr>
                <w:p>
                  <w:pPr>
                    <w:adjustRightInd w:val="0"/>
                    <w:snapToGrid w:val="0"/>
                    <w:jc w:val="center"/>
                  </w:pPr>
                  <w:r>
                    <w:t>549</w:t>
                  </w:r>
                </w:p>
              </w:tc>
              <w:tc>
                <w:tcPr>
                  <w:tcW w:w="941" w:type="dxa"/>
                  <w:tcBorders>
                    <w:tl2br w:val="nil"/>
                    <w:tr2bl w:val="nil"/>
                  </w:tcBorders>
                  <w:vAlign w:val="center"/>
                </w:tcPr>
                <w:p>
                  <w:pPr>
                    <w:jc w:val="center"/>
                  </w:pPr>
                  <w:r>
                    <w:t>kg/a</w:t>
                  </w:r>
                </w:p>
              </w:tc>
              <w:tc>
                <w:tcPr>
                  <w:tcW w:w="4852" w:type="dxa"/>
                  <w:tcBorders>
                    <w:tl2br w:val="nil"/>
                    <w:tr2bl w:val="nil"/>
                  </w:tcBorders>
                </w:tcPr>
                <w:p>
                  <w: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6</w:t>
                  </w:r>
                </w:p>
              </w:tc>
              <w:tc>
                <w:tcPr>
                  <w:tcW w:w="1327" w:type="dxa"/>
                  <w:tcBorders>
                    <w:tl2br w:val="nil"/>
                    <w:tr2bl w:val="nil"/>
                  </w:tcBorders>
                  <w:vAlign w:val="center"/>
                </w:tcPr>
                <w:p>
                  <w:pPr>
                    <w:jc w:val="center"/>
                  </w:pPr>
                  <w:r>
                    <w:t>中间底漆稀释剂</w:t>
                  </w:r>
                </w:p>
              </w:tc>
              <w:tc>
                <w:tcPr>
                  <w:tcW w:w="1008" w:type="dxa"/>
                  <w:tcBorders>
                    <w:tl2br w:val="nil"/>
                    <w:tr2bl w:val="nil"/>
                  </w:tcBorders>
                  <w:vAlign w:val="center"/>
                </w:tcPr>
                <w:p>
                  <w:pPr>
                    <w:adjustRightInd w:val="0"/>
                    <w:snapToGrid w:val="0"/>
                    <w:jc w:val="center"/>
                  </w:pPr>
                  <w:r>
                    <w:t>509.4</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外购，存放要求：防爆柜、漆料存放架；远离热源、通风良好、防静电。最大存放量为50kg。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7</w:t>
                  </w:r>
                </w:p>
              </w:tc>
              <w:tc>
                <w:tcPr>
                  <w:tcW w:w="1327" w:type="dxa"/>
                  <w:tcBorders>
                    <w:tl2br w:val="nil"/>
                    <w:tr2bl w:val="nil"/>
                  </w:tcBorders>
                  <w:vAlign w:val="center"/>
                </w:tcPr>
                <w:p>
                  <w:pPr>
                    <w:jc w:val="center"/>
                  </w:pPr>
                  <w:r>
                    <w:t>基础面漆</w:t>
                  </w:r>
                </w:p>
              </w:tc>
              <w:tc>
                <w:tcPr>
                  <w:tcW w:w="1008" w:type="dxa"/>
                  <w:tcBorders>
                    <w:tl2br w:val="nil"/>
                    <w:tr2bl w:val="nil"/>
                  </w:tcBorders>
                  <w:vAlign w:val="center"/>
                </w:tcPr>
                <w:p>
                  <w:pPr>
                    <w:adjustRightInd w:val="0"/>
                    <w:snapToGrid w:val="0"/>
                    <w:jc w:val="center"/>
                  </w:pPr>
                  <w:r>
                    <w:t>2386.8</w:t>
                  </w:r>
                </w:p>
              </w:tc>
              <w:tc>
                <w:tcPr>
                  <w:tcW w:w="941" w:type="dxa"/>
                  <w:tcBorders>
                    <w:tl2br w:val="nil"/>
                    <w:tr2bl w:val="nil"/>
                  </w:tcBorders>
                  <w:vAlign w:val="center"/>
                </w:tcPr>
                <w:p>
                  <w:pPr>
                    <w:jc w:val="center"/>
                  </w:pPr>
                  <w:r>
                    <w:t>kg/a</w:t>
                  </w:r>
                </w:p>
              </w:tc>
              <w:tc>
                <w:tcPr>
                  <w:tcW w:w="4852" w:type="dxa"/>
                  <w:tcBorders>
                    <w:tl2br w:val="nil"/>
                    <w:tr2bl w:val="nil"/>
                  </w:tcBorders>
                </w:tcPr>
                <w:p>
                  <w:r>
                    <w:t>外购，存放要求：防爆柜、漆料存放架；远离热源、通风良好、防静电。最大存放量为400kg。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8</w:t>
                  </w:r>
                </w:p>
              </w:tc>
              <w:tc>
                <w:tcPr>
                  <w:tcW w:w="1327" w:type="dxa"/>
                  <w:tcBorders>
                    <w:tl2br w:val="nil"/>
                    <w:tr2bl w:val="nil"/>
                  </w:tcBorders>
                  <w:vAlign w:val="center"/>
                </w:tcPr>
                <w:p>
                  <w:pPr>
                    <w:jc w:val="center"/>
                  </w:pPr>
                  <w:r>
                    <w:t>基础面漆固化剂</w:t>
                  </w:r>
                </w:p>
              </w:tc>
              <w:tc>
                <w:tcPr>
                  <w:tcW w:w="1008" w:type="dxa"/>
                  <w:tcBorders>
                    <w:tl2br w:val="nil"/>
                    <w:tr2bl w:val="nil"/>
                  </w:tcBorders>
                  <w:vAlign w:val="center"/>
                </w:tcPr>
                <w:p>
                  <w:pPr>
                    <w:adjustRightInd w:val="0"/>
                    <w:snapToGrid w:val="0"/>
                    <w:jc w:val="center"/>
                  </w:pPr>
                  <w:r>
                    <w:t>660.6</w:t>
                  </w:r>
                </w:p>
              </w:tc>
              <w:tc>
                <w:tcPr>
                  <w:tcW w:w="941" w:type="dxa"/>
                  <w:tcBorders>
                    <w:tl2br w:val="nil"/>
                    <w:tr2bl w:val="nil"/>
                  </w:tcBorders>
                  <w:vAlign w:val="center"/>
                </w:tcPr>
                <w:p>
                  <w:pPr>
                    <w:jc w:val="center"/>
                  </w:pPr>
                  <w:r>
                    <w:t>kg/a</w:t>
                  </w:r>
                </w:p>
              </w:tc>
              <w:tc>
                <w:tcPr>
                  <w:tcW w:w="4852" w:type="dxa"/>
                  <w:tcBorders>
                    <w:tl2br w:val="nil"/>
                    <w:tr2bl w:val="nil"/>
                  </w:tcBorders>
                </w:tcPr>
                <w:p>
                  <w: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9</w:t>
                  </w:r>
                </w:p>
              </w:tc>
              <w:tc>
                <w:tcPr>
                  <w:tcW w:w="1327" w:type="dxa"/>
                  <w:tcBorders>
                    <w:tl2br w:val="nil"/>
                    <w:tr2bl w:val="nil"/>
                  </w:tcBorders>
                  <w:vAlign w:val="center"/>
                </w:tcPr>
                <w:p>
                  <w:pPr>
                    <w:jc w:val="center"/>
                  </w:pPr>
                  <w:r>
                    <w:t>基础面漆稀释剂</w:t>
                  </w:r>
                </w:p>
              </w:tc>
              <w:tc>
                <w:tcPr>
                  <w:tcW w:w="1008" w:type="dxa"/>
                  <w:tcBorders>
                    <w:tl2br w:val="nil"/>
                    <w:tr2bl w:val="nil"/>
                  </w:tcBorders>
                  <w:vAlign w:val="center"/>
                </w:tcPr>
                <w:p>
                  <w:pPr>
                    <w:adjustRightInd w:val="0"/>
                    <w:snapToGrid w:val="0"/>
                    <w:jc w:val="center"/>
                  </w:pPr>
                  <w:r>
                    <w:t>405</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外购，存放要求：防爆柜、漆料存放架；远离热源、通风良好、防静电。最大存放量为50kg。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10</w:t>
                  </w:r>
                </w:p>
              </w:tc>
              <w:tc>
                <w:tcPr>
                  <w:tcW w:w="1327" w:type="dxa"/>
                  <w:tcBorders>
                    <w:tl2br w:val="nil"/>
                    <w:tr2bl w:val="nil"/>
                  </w:tcBorders>
                  <w:vAlign w:val="center"/>
                </w:tcPr>
                <w:p>
                  <w:pPr>
                    <w:jc w:val="center"/>
                  </w:pPr>
                  <w:r>
                    <w:t>清漆</w:t>
                  </w:r>
                </w:p>
              </w:tc>
              <w:tc>
                <w:tcPr>
                  <w:tcW w:w="1008" w:type="dxa"/>
                  <w:tcBorders>
                    <w:tl2br w:val="nil"/>
                    <w:tr2bl w:val="nil"/>
                  </w:tcBorders>
                  <w:vAlign w:val="center"/>
                </w:tcPr>
                <w:p>
                  <w:pPr>
                    <w:adjustRightInd w:val="0"/>
                    <w:snapToGrid w:val="0"/>
                    <w:jc w:val="center"/>
                  </w:pPr>
                  <w:r>
                    <w:t>1188</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外购，存放要求：防爆柜、漆料存放架；远离热源、通风良好、防静电。最大存放量为200kg。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11</w:t>
                  </w:r>
                </w:p>
              </w:tc>
              <w:tc>
                <w:tcPr>
                  <w:tcW w:w="1327" w:type="dxa"/>
                  <w:tcBorders>
                    <w:tl2br w:val="nil"/>
                    <w:tr2bl w:val="nil"/>
                  </w:tcBorders>
                  <w:vAlign w:val="center"/>
                </w:tcPr>
                <w:p>
                  <w:pPr>
                    <w:jc w:val="center"/>
                  </w:pPr>
                  <w:r>
                    <w:t>清漆固化剂</w:t>
                  </w:r>
                </w:p>
              </w:tc>
              <w:tc>
                <w:tcPr>
                  <w:tcW w:w="1008" w:type="dxa"/>
                  <w:tcBorders>
                    <w:tl2br w:val="nil"/>
                    <w:tr2bl w:val="nil"/>
                  </w:tcBorders>
                  <w:vAlign w:val="center"/>
                </w:tcPr>
                <w:p>
                  <w:pPr>
                    <w:adjustRightInd w:val="0"/>
                    <w:snapToGrid w:val="0"/>
                    <w:jc w:val="center"/>
                  </w:pPr>
                  <w:r>
                    <w:t>1166.4</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外购，存放要求：防爆柜、漆料存放架；远离热源、通风良好、防静电。最大存放量为200kg。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12</w:t>
                  </w:r>
                </w:p>
              </w:tc>
              <w:tc>
                <w:tcPr>
                  <w:tcW w:w="1327" w:type="dxa"/>
                  <w:tcBorders>
                    <w:tl2br w:val="nil"/>
                    <w:tr2bl w:val="nil"/>
                  </w:tcBorders>
                  <w:vAlign w:val="center"/>
                </w:tcPr>
                <w:p>
                  <w:pPr>
                    <w:jc w:val="center"/>
                  </w:pPr>
                  <w:r>
                    <w:t>清漆稀释剂</w:t>
                  </w:r>
                </w:p>
              </w:tc>
              <w:tc>
                <w:tcPr>
                  <w:tcW w:w="1008" w:type="dxa"/>
                  <w:tcBorders>
                    <w:tl2br w:val="nil"/>
                    <w:tr2bl w:val="nil"/>
                  </w:tcBorders>
                  <w:vAlign w:val="center"/>
                </w:tcPr>
                <w:p>
                  <w:pPr>
                    <w:adjustRightInd w:val="0"/>
                    <w:snapToGrid w:val="0"/>
                    <w:jc w:val="center"/>
                  </w:pPr>
                  <w:r>
                    <w:t>729</w:t>
                  </w:r>
                </w:p>
              </w:tc>
              <w:tc>
                <w:tcPr>
                  <w:tcW w:w="941" w:type="dxa"/>
                  <w:tcBorders>
                    <w:tl2br w:val="nil"/>
                    <w:tr2bl w:val="nil"/>
                  </w:tcBorders>
                  <w:vAlign w:val="center"/>
                </w:tcPr>
                <w:p>
                  <w:pPr>
                    <w:jc w:val="center"/>
                  </w:pPr>
                  <w:r>
                    <w:t>kg/a</w:t>
                  </w:r>
                </w:p>
              </w:tc>
              <w:tc>
                <w:tcPr>
                  <w:tcW w:w="4852" w:type="dxa"/>
                  <w:tcBorders>
                    <w:tl2br w:val="nil"/>
                    <w:tr2bl w:val="nil"/>
                  </w:tcBorders>
                </w:tcPr>
                <w:p>
                  <w:r>
                    <w:t xml:space="preserve">外购，存放要求：防爆柜、漆料存放架；远离热源、通风良好、防静电。最大存放量为100kg。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13</w:t>
                  </w:r>
                </w:p>
              </w:tc>
              <w:tc>
                <w:tcPr>
                  <w:tcW w:w="1327" w:type="dxa"/>
                  <w:tcBorders>
                    <w:tl2br w:val="nil"/>
                    <w:tr2bl w:val="nil"/>
                  </w:tcBorders>
                  <w:vAlign w:val="center"/>
                </w:tcPr>
                <w:p>
                  <w:pPr>
                    <w:jc w:val="center"/>
                  </w:pPr>
                  <w:r>
                    <w:t>打磨砂纸</w:t>
                  </w:r>
                </w:p>
              </w:tc>
              <w:tc>
                <w:tcPr>
                  <w:tcW w:w="1008" w:type="dxa"/>
                  <w:tcBorders>
                    <w:tl2br w:val="nil"/>
                    <w:tr2bl w:val="nil"/>
                  </w:tcBorders>
                  <w:vAlign w:val="center"/>
                </w:tcPr>
                <w:p>
                  <w:pPr>
                    <w:adjustRightInd w:val="0"/>
                    <w:snapToGrid w:val="0"/>
                    <w:jc w:val="center"/>
                  </w:pPr>
                  <w:r>
                    <w:t>800</w:t>
                  </w:r>
                </w:p>
              </w:tc>
              <w:tc>
                <w:tcPr>
                  <w:tcW w:w="941" w:type="dxa"/>
                  <w:tcBorders>
                    <w:tl2br w:val="nil"/>
                    <w:tr2bl w:val="nil"/>
                  </w:tcBorders>
                  <w:vAlign w:val="center"/>
                </w:tcPr>
                <w:p>
                  <w:pPr>
                    <w:jc w:val="center"/>
                  </w:pPr>
                  <w:r>
                    <w:t>kg/a</w:t>
                  </w:r>
                </w:p>
              </w:tc>
              <w:tc>
                <w:tcPr>
                  <w:tcW w:w="4852" w:type="dxa"/>
                  <w:tcBorders>
                    <w:tl2br w:val="nil"/>
                    <w:tr2bl w:val="nil"/>
                  </w:tcBorders>
                </w:tcPr>
                <w:p>
                  <w:r>
                    <w:t>外购，存放要求：通风干燥阴凉。最大存放量为100kg。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14</w:t>
                  </w:r>
                </w:p>
              </w:tc>
              <w:tc>
                <w:tcPr>
                  <w:tcW w:w="1327" w:type="dxa"/>
                  <w:tcBorders>
                    <w:tl2br w:val="nil"/>
                    <w:tr2bl w:val="nil"/>
                  </w:tcBorders>
                  <w:vAlign w:val="center"/>
                </w:tcPr>
                <w:p>
                  <w:pPr>
                    <w:rPr>
                      <w:highlight w:val="yellow"/>
                    </w:rPr>
                  </w:pPr>
                  <w:r>
                    <w:t>手套、棉纱、油盒、毛刷</w:t>
                  </w:r>
                </w:p>
              </w:tc>
              <w:tc>
                <w:tcPr>
                  <w:tcW w:w="1008" w:type="dxa"/>
                  <w:tcBorders>
                    <w:tl2br w:val="nil"/>
                    <w:tr2bl w:val="nil"/>
                  </w:tcBorders>
                  <w:vAlign w:val="center"/>
                </w:tcPr>
                <w:p>
                  <w:pPr>
                    <w:adjustRightInd w:val="0"/>
                    <w:snapToGrid w:val="0"/>
                    <w:jc w:val="center"/>
                  </w:pPr>
                  <w:r>
                    <w:t>500</w:t>
                  </w:r>
                </w:p>
              </w:tc>
              <w:tc>
                <w:tcPr>
                  <w:tcW w:w="941" w:type="dxa"/>
                  <w:tcBorders>
                    <w:tl2br w:val="nil"/>
                    <w:tr2bl w:val="nil"/>
                  </w:tcBorders>
                  <w:vAlign w:val="center"/>
                </w:tcPr>
                <w:p>
                  <w:pPr>
                    <w:jc w:val="center"/>
                  </w:pPr>
                  <w:r>
                    <w:t>kg/a</w:t>
                  </w:r>
                </w:p>
              </w:tc>
              <w:tc>
                <w:tcPr>
                  <w:tcW w:w="4852" w:type="dxa"/>
                  <w:tcBorders>
                    <w:tl2br w:val="nil"/>
                    <w:tr2bl w:val="nil"/>
                  </w:tcBorders>
                </w:tcPr>
                <w:p>
                  <w:r>
                    <w:t>外购，最大存放量为50kg。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15</w:t>
                  </w:r>
                </w:p>
              </w:tc>
              <w:tc>
                <w:tcPr>
                  <w:tcW w:w="1327" w:type="dxa"/>
                  <w:tcBorders>
                    <w:tl2br w:val="nil"/>
                    <w:tr2bl w:val="nil"/>
                  </w:tcBorders>
                  <w:vAlign w:val="center"/>
                </w:tcPr>
                <w:p>
                  <w:pPr>
                    <w:jc w:val="center"/>
                  </w:pPr>
                  <w:r>
                    <w:t>机油</w:t>
                  </w:r>
                </w:p>
              </w:tc>
              <w:tc>
                <w:tcPr>
                  <w:tcW w:w="1008" w:type="dxa"/>
                  <w:tcBorders>
                    <w:tl2br w:val="nil"/>
                    <w:tr2bl w:val="nil"/>
                  </w:tcBorders>
                  <w:vAlign w:val="center"/>
                </w:tcPr>
                <w:p>
                  <w:pPr>
                    <w:adjustRightInd w:val="0"/>
                    <w:snapToGrid w:val="0"/>
                    <w:jc w:val="center"/>
                  </w:pPr>
                  <w:r>
                    <w:t>200</w:t>
                  </w:r>
                </w:p>
              </w:tc>
              <w:tc>
                <w:tcPr>
                  <w:tcW w:w="941" w:type="dxa"/>
                  <w:tcBorders>
                    <w:tl2br w:val="nil"/>
                    <w:tr2bl w:val="nil"/>
                  </w:tcBorders>
                  <w:vAlign w:val="center"/>
                </w:tcPr>
                <w:p>
                  <w:pPr>
                    <w:jc w:val="center"/>
                  </w:pPr>
                  <w:r>
                    <w:t>kg/a</w:t>
                  </w:r>
                </w:p>
              </w:tc>
              <w:tc>
                <w:tcPr>
                  <w:tcW w:w="4852" w:type="dxa"/>
                  <w:tcBorders>
                    <w:tl2br w:val="nil"/>
                    <w:tr2bl w:val="nil"/>
                  </w:tcBorders>
                </w:tcPr>
                <w:p>
                  <w:r>
                    <w:t>外购，最大存放量为20kg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778" w:type="dxa"/>
                  <w:gridSpan w:val="5"/>
                  <w:tcBorders>
                    <w:tl2br w:val="nil"/>
                    <w:tr2bl w:val="nil"/>
                  </w:tcBorders>
                  <w:vAlign w:val="center"/>
                </w:tcPr>
                <w:p>
                  <w:pPr>
                    <w:spacing w:line="0" w:lineRule="atLeast"/>
                    <w:jc w:val="center"/>
                  </w:pPr>
                  <w:r>
                    <w:t xml:space="preserve">       资源能源消耗</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16</w:t>
                  </w:r>
                </w:p>
              </w:tc>
              <w:tc>
                <w:tcPr>
                  <w:tcW w:w="1327" w:type="dxa"/>
                  <w:tcBorders>
                    <w:tl2br w:val="nil"/>
                    <w:tr2bl w:val="nil"/>
                  </w:tcBorders>
                  <w:vAlign w:val="center"/>
                </w:tcPr>
                <w:p>
                  <w:pPr>
                    <w:spacing w:line="0" w:lineRule="atLeast"/>
                    <w:jc w:val="center"/>
                  </w:pPr>
                  <w:r>
                    <w:t>电</w:t>
                  </w:r>
                </w:p>
              </w:tc>
              <w:tc>
                <w:tcPr>
                  <w:tcW w:w="1008" w:type="dxa"/>
                  <w:tcBorders>
                    <w:tl2br w:val="nil"/>
                    <w:tr2bl w:val="nil"/>
                  </w:tcBorders>
                  <w:vAlign w:val="center"/>
                </w:tcPr>
                <w:p>
                  <w:pPr>
                    <w:spacing w:line="0" w:lineRule="atLeast"/>
                    <w:jc w:val="center"/>
                  </w:pPr>
                  <w:r>
                    <w:t>100万</w:t>
                  </w:r>
                </w:p>
              </w:tc>
              <w:tc>
                <w:tcPr>
                  <w:tcW w:w="941" w:type="dxa"/>
                  <w:tcBorders>
                    <w:tl2br w:val="nil"/>
                    <w:tr2bl w:val="nil"/>
                  </w:tcBorders>
                  <w:vAlign w:val="center"/>
                </w:tcPr>
                <w:p>
                  <w:pPr>
                    <w:spacing w:line="0" w:lineRule="atLeast"/>
                    <w:jc w:val="center"/>
                  </w:pPr>
                  <w:r>
                    <w:t>KWh/a</w:t>
                  </w:r>
                </w:p>
              </w:tc>
              <w:tc>
                <w:tcPr>
                  <w:tcW w:w="4852" w:type="dxa"/>
                  <w:tcBorders>
                    <w:tl2br w:val="nil"/>
                    <w:tr2bl w:val="nil"/>
                  </w:tcBorders>
                  <w:vAlign w:val="center"/>
                </w:tcPr>
                <w:p>
                  <w:pPr>
                    <w:spacing w:line="0" w:lineRule="atLeast"/>
                    <w:jc w:val="center"/>
                  </w:pPr>
                  <w:r>
                    <w:t>依托维修基地现有变电站提供</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50" w:type="dxa"/>
                  <w:tcBorders>
                    <w:tl2br w:val="nil"/>
                    <w:tr2bl w:val="nil"/>
                  </w:tcBorders>
                  <w:vAlign w:val="center"/>
                </w:tcPr>
                <w:p>
                  <w:pPr>
                    <w:spacing w:line="0" w:lineRule="atLeast"/>
                    <w:jc w:val="center"/>
                  </w:pPr>
                  <w:r>
                    <w:t>17</w:t>
                  </w:r>
                </w:p>
              </w:tc>
              <w:tc>
                <w:tcPr>
                  <w:tcW w:w="1327" w:type="dxa"/>
                  <w:tcBorders>
                    <w:tl2br w:val="nil"/>
                    <w:tr2bl w:val="nil"/>
                  </w:tcBorders>
                  <w:vAlign w:val="center"/>
                </w:tcPr>
                <w:p>
                  <w:pPr>
                    <w:spacing w:line="0" w:lineRule="atLeast"/>
                    <w:jc w:val="center"/>
                  </w:pPr>
                  <w:r>
                    <w:t>水</w:t>
                  </w:r>
                </w:p>
              </w:tc>
              <w:tc>
                <w:tcPr>
                  <w:tcW w:w="1008" w:type="dxa"/>
                  <w:tcBorders>
                    <w:tl2br w:val="nil"/>
                    <w:tr2bl w:val="nil"/>
                  </w:tcBorders>
                  <w:vAlign w:val="center"/>
                </w:tcPr>
                <w:p>
                  <w:pPr>
                    <w:spacing w:line="0" w:lineRule="atLeast"/>
                    <w:jc w:val="center"/>
                  </w:pPr>
                  <w:r>
                    <w:t>897.17</w:t>
                  </w:r>
                </w:p>
              </w:tc>
              <w:tc>
                <w:tcPr>
                  <w:tcW w:w="941" w:type="dxa"/>
                  <w:tcBorders>
                    <w:tl2br w:val="nil"/>
                    <w:tr2bl w:val="nil"/>
                  </w:tcBorders>
                  <w:vAlign w:val="center"/>
                </w:tcPr>
                <w:p>
                  <w:pPr>
                    <w:spacing w:line="0" w:lineRule="atLeast"/>
                    <w:jc w:val="center"/>
                  </w:pPr>
                  <w:r>
                    <w:t>m</w:t>
                  </w:r>
                  <w:r>
                    <w:rPr>
                      <w:vertAlign w:val="superscript"/>
                    </w:rPr>
                    <w:t>3</w:t>
                  </w:r>
                  <w:r>
                    <w:t>/a</w:t>
                  </w:r>
                </w:p>
              </w:tc>
              <w:tc>
                <w:tcPr>
                  <w:tcW w:w="4852" w:type="dxa"/>
                  <w:tcBorders>
                    <w:tl2br w:val="nil"/>
                    <w:tr2bl w:val="nil"/>
                  </w:tcBorders>
                  <w:vAlign w:val="center"/>
                </w:tcPr>
                <w:p>
                  <w:pPr>
                    <w:spacing w:line="0" w:lineRule="atLeast"/>
                    <w:jc w:val="center"/>
                  </w:pPr>
                  <w:r>
                    <w:t>依托维修基地现有供水管网提供</w:t>
                  </w:r>
                </w:p>
              </w:tc>
            </w:tr>
          </w:tbl>
          <w:p>
            <w:pPr>
              <w:pStyle w:val="92"/>
              <w:jc w:val="center"/>
              <w:rPr>
                <w:rFonts w:ascii="Times New Roman" w:hAnsi="Times New Roman" w:cs="Times New Roman"/>
                <w:b/>
              </w:rPr>
            </w:pPr>
            <w:r>
              <w:rPr>
                <w:rFonts w:ascii="Times New Roman" w:hAnsi="Times New Roman" w:cs="Times New Roman"/>
                <w:b/>
              </w:rPr>
              <w:t>表7  原辅材料主要成分及相关特性一览表</w:t>
            </w:r>
          </w:p>
          <w:tbl>
            <w:tblPr>
              <w:tblStyle w:val="38"/>
              <w:tblW w:w="867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7"/>
              <w:gridCol w:w="507"/>
              <w:gridCol w:w="788"/>
              <w:gridCol w:w="751"/>
              <w:gridCol w:w="2935"/>
              <w:gridCol w:w="2536"/>
              <w:gridCol w:w="6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7"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类型</w:t>
                  </w:r>
                </w:p>
              </w:tc>
              <w:tc>
                <w:tcPr>
                  <w:tcW w:w="507"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名称</w:t>
                  </w:r>
                </w:p>
              </w:tc>
              <w:tc>
                <w:tcPr>
                  <w:tcW w:w="788" w:type="dxa"/>
                  <w:vAlign w:val="center"/>
                </w:tcPr>
                <w:p>
                  <w:pPr>
                    <w:pStyle w:val="134"/>
                    <w:rPr>
                      <w:color w:val="000000"/>
                    </w:rPr>
                  </w:pPr>
                  <w:r>
                    <w:rPr>
                      <w:color w:val="000000"/>
                    </w:rPr>
                    <w:t>相态</w:t>
                  </w:r>
                </w:p>
              </w:tc>
              <w:tc>
                <w:tcPr>
                  <w:tcW w:w="751"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包装方式</w:t>
                  </w:r>
                </w:p>
              </w:tc>
              <w:tc>
                <w:tcPr>
                  <w:tcW w:w="2935"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组分构成</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物理性质</w:t>
                  </w:r>
                </w:p>
              </w:tc>
              <w:tc>
                <w:tcPr>
                  <w:tcW w:w="699"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燃烧爆炸性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31" w:hRule="atLeast"/>
                <w:jc w:val="center"/>
              </w:trPr>
              <w:tc>
                <w:tcPr>
                  <w:tcW w:w="457" w:type="dxa"/>
                  <w:vMerge w:val="restart"/>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磷化底漆</w:t>
                  </w: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油漆</w:t>
                  </w:r>
                </w:p>
              </w:tc>
              <w:tc>
                <w:tcPr>
                  <w:tcW w:w="788" w:type="dxa"/>
                  <w:vAlign w:val="center"/>
                </w:tcPr>
                <w:p>
                  <w:pPr>
                    <w:pStyle w:val="134"/>
                    <w:rPr>
                      <w:color w:val="000000"/>
                      <w:kern w:val="0"/>
                    </w:rPr>
                  </w:pPr>
                  <w:r>
                    <w:rPr>
                      <w:color w:val="000000"/>
                      <w:kern w:val="0"/>
                      <w:highlight w:val="none"/>
                    </w:rPr>
                    <w:t>粘稠型</w:t>
                  </w:r>
                  <w:r>
                    <w:rPr>
                      <w:color w:val="000000"/>
                      <w:kern w:val="0"/>
                    </w:rPr>
                    <w:t>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二甲苯5-10%、1-丙醇25-40%、1-丁醇20-25%、乙酸丁酯1-5%、铬酸锌5-12.5%、氢氧化铬酸锌钾5-12.5%、苯酚0.1--。25%、硫酸化蓖麻油1-3%等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物理形态：粘稠状液体；气味：特征性；水溶性：不溶于水；沸点：120</w:t>
                  </w:r>
                  <w:r>
                    <w:rPr>
                      <w:rFonts w:ascii="MS Mincho" w:hAnsi="MS Mincho" w:eastAsia="MS Mincho" w:cs="MS Mincho"/>
                      <w:color w:val="000000"/>
                    </w:rPr>
                    <w:t>℃</w:t>
                  </w:r>
                  <w:r>
                    <w:rPr>
                      <w:rFonts w:ascii="Times New Roman" w:hAnsi="Times New Roman" w:cs="Times New Roman"/>
                      <w:color w:val="000000"/>
                    </w:rPr>
                    <w:t>；闪点：25</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稀释剂</w:t>
                  </w:r>
                </w:p>
              </w:tc>
              <w:tc>
                <w:tcPr>
                  <w:tcW w:w="788" w:type="dxa"/>
                  <w:vAlign w:val="center"/>
                </w:tcPr>
                <w:p>
                  <w:pPr>
                    <w:pStyle w:val="134"/>
                    <w:rPr>
                      <w:color w:val="000000"/>
                      <w:kern w:val="0"/>
                    </w:rPr>
                  </w:pPr>
                  <w:r>
                    <w:rPr>
                      <w:color w:val="000000"/>
                      <w:kern w:val="0"/>
                    </w:rPr>
                    <w:t>澄清无色液体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甲苯12.5-20%、2丙醇20-25%、丁酮20-25%、4-甲基-2-戊酮10-12.5%、乙酸丁酯25-40%等</w:t>
                  </w:r>
                </w:p>
              </w:tc>
              <w:tc>
                <w:tcPr>
                  <w:tcW w:w="2536" w:type="dxa"/>
                  <w:vAlign w:val="center"/>
                </w:tcPr>
                <w:p>
                  <w:pPr>
                    <w:widowControl/>
                    <w:autoSpaceDE w:val="0"/>
                    <w:autoSpaceDN w:val="0"/>
                    <w:adjustRightInd w:val="0"/>
                    <w:jc w:val="center"/>
                    <w:rPr>
                      <w:color w:val="000000"/>
                    </w:rPr>
                  </w:pPr>
                  <w:r>
                    <w:rPr>
                      <w:color w:val="000000"/>
                    </w:rPr>
                    <w:t>物理形态：液体；气味：特征性；水溶性：不溶于水，可溶于有机溶剂；沸点：120</w:t>
                  </w:r>
                  <w:r>
                    <w:rPr>
                      <w:rFonts w:ascii="MS Mincho" w:hAnsi="MS Mincho" w:eastAsia="MS Mincho" w:cs="MS Mincho"/>
                      <w:color w:val="000000"/>
                    </w:rPr>
                    <w:t>℃</w:t>
                  </w:r>
                  <w:r>
                    <w:rPr>
                      <w:color w:val="000000"/>
                    </w:rPr>
                    <w:t>；闪点：4</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固化剂</w:t>
                  </w:r>
                </w:p>
              </w:tc>
              <w:tc>
                <w:tcPr>
                  <w:tcW w:w="788" w:type="dxa"/>
                  <w:vAlign w:val="center"/>
                </w:tcPr>
                <w:p>
                  <w:pPr>
                    <w:pStyle w:val="134"/>
                    <w:rPr>
                      <w:color w:val="000000"/>
                      <w:kern w:val="0"/>
                    </w:rPr>
                  </w:pPr>
                  <w:r>
                    <w:rPr>
                      <w:color w:val="000000"/>
                      <w:kern w:val="0"/>
                    </w:rPr>
                    <w:t>粘稠液体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1-丙醇40-100%、磷酸5-10%等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；闪点：29</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中间层底漆</w:t>
                  </w: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油漆</w:t>
                  </w:r>
                </w:p>
              </w:tc>
              <w:tc>
                <w:tcPr>
                  <w:tcW w:w="788" w:type="dxa"/>
                  <w:vAlign w:val="center"/>
                </w:tcPr>
                <w:p>
                  <w:pPr>
                    <w:pStyle w:val="134"/>
                    <w:rPr>
                      <w:color w:val="000000"/>
                      <w:kern w:val="0"/>
                    </w:rPr>
                  </w:pPr>
                  <w:r>
                    <w:rPr>
                      <w:color w:val="000000"/>
                      <w:kern w:val="0"/>
                      <w:highlight w:val="none"/>
                    </w:rPr>
                    <w:t>粘稠型</w:t>
                  </w:r>
                  <w:r>
                    <w:rPr>
                      <w:color w:val="000000"/>
                      <w:kern w:val="0"/>
                    </w:rPr>
                    <w:t>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二甲苯5-10%、乙苯2.5-5%、磷酸锌5-12.5%、氧化锌0.1-0.25%、丙二醇甲醚醋酸酯12.5-20%、乙酸丁酯5-12.5%等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物理形态：粘稠状液体；气味：特征性；水溶性：不溶于水；沸点：120</w:t>
                  </w:r>
                  <w:r>
                    <w:rPr>
                      <w:rFonts w:ascii="MS Mincho" w:hAnsi="MS Mincho" w:eastAsia="MS Mincho" w:cs="MS Mincho"/>
                      <w:color w:val="000000"/>
                    </w:rPr>
                    <w:t>℃</w:t>
                  </w:r>
                  <w:r>
                    <w:rPr>
                      <w:rFonts w:ascii="Times New Roman" w:hAnsi="Times New Roman" w:cs="Times New Roman"/>
                      <w:color w:val="000000"/>
                    </w:rPr>
                    <w:t>；闪点：34</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稀释剂</w:t>
                  </w:r>
                </w:p>
              </w:tc>
              <w:tc>
                <w:tcPr>
                  <w:tcW w:w="788" w:type="dxa"/>
                  <w:vAlign w:val="center"/>
                </w:tcPr>
                <w:p>
                  <w:pPr>
                    <w:pStyle w:val="134"/>
                    <w:rPr>
                      <w:color w:val="000000"/>
                      <w:kern w:val="0"/>
                    </w:rPr>
                  </w:pPr>
                  <w:r>
                    <w:rPr>
                      <w:color w:val="000000"/>
                      <w:kern w:val="0"/>
                    </w:rPr>
                    <w:t>澄清无色液体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乙酰丙酮25-40%、乙酸丁酯25-40%等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；闪点：35</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固化剂</w:t>
                  </w:r>
                </w:p>
              </w:tc>
              <w:tc>
                <w:tcPr>
                  <w:tcW w:w="788" w:type="dxa"/>
                  <w:vAlign w:val="center"/>
                </w:tcPr>
                <w:p>
                  <w:pPr>
                    <w:pStyle w:val="134"/>
                    <w:rPr>
                      <w:color w:val="000000"/>
                      <w:kern w:val="0"/>
                    </w:rPr>
                  </w:pPr>
                  <w:r>
                    <w:rPr>
                      <w:color w:val="000000"/>
                      <w:kern w:val="0"/>
                    </w:rPr>
                    <w:t>粘稠液体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聚六亚甲基二异氰酸酯40-100%、六亚甲基二异氰酸酯0.1-0.25%、乙酸丁酯40-100%等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；闪点：31</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基础面漆</w:t>
                  </w: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油漆</w:t>
                  </w:r>
                </w:p>
              </w:tc>
              <w:tc>
                <w:tcPr>
                  <w:tcW w:w="788" w:type="dxa"/>
                  <w:vAlign w:val="center"/>
                </w:tcPr>
                <w:p>
                  <w:pPr>
                    <w:pStyle w:val="134"/>
                    <w:rPr>
                      <w:color w:val="000000"/>
                      <w:kern w:val="0"/>
                    </w:rPr>
                  </w:pPr>
                  <w:r>
                    <w:rPr>
                      <w:color w:val="000000"/>
                      <w:kern w:val="0"/>
                      <w:highlight w:val="none"/>
                    </w:rPr>
                    <w:t>粘稠型</w:t>
                  </w:r>
                  <w:r>
                    <w:rPr>
                      <w:color w:val="000000"/>
                      <w:kern w:val="0"/>
                    </w:rPr>
                    <w:t>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4-甲基-2-戊酮1-5%、C9的芳香烃类1-2.5%、乙酸丁酯20-25%等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；闪点：25</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稀释剂</w:t>
                  </w:r>
                </w:p>
              </w:tc>
              <w:tc>
                <w:tcPr>
                  <w:tcW w:w="788" w:type="dxa"/>
                  <w:vAlign w:val="center"/>
                </w:tcPr>
                <w:p>
                  <w:pPr>
                    <w:pStyle w:val="134"/>
                    <w:rPr>
                      <w:color w:val="000000"/>
                      <w:kern w:val="0"/>
                    </w:rPr>
                  </w:pPr>
                  <w:r>
                    <w:rPr>
                      <w:color w:val="000000"/>
                      <w:kern w:val="0"/>
                    </w:rPr>
                    <w:t>澄清无色液体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2-庚酮40-100%、乙酰丙酮25-40%、二丙酮醇12.5-20%、二丁基-二新癸酸锡0.3-0.5%等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；闪点：25</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固化剂</w:t>
                  </w:r>
                </w:p>
              </w:tc>
              <w:tc>
                <w:tcPr>
                  <w:tcW w:w="788" w:type="dxa"/>
                  <w:vAlign w:val="center"/>
                </w:tcPr>
                <w:p>
                  <w:pPr>
                    <w:pStyle w:val="134"/>
                    <w:rPr>
                      <w:color w:val="000000"/>
                      <w:kern w:val="0"/>
                    </w:rPr>
                  </w:pPr>
                  <w:r>
                    <w:rPr>
                      <w:color w:val="000000"/>
                      <w:kern w:val="0"/>
                    </w:rPr>
                    <w:t>粘稠液体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二甲苯1-5%、乙苯1-2.5%、聚六亚甲基二异氰酸酯40-100%、轻质芳香烃石脑油（石油）2.5-5%、六亚甲基二异氰酸酯0.1-0.25%、乙酸丁酯12.5-20%等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；闪点：36</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清漆</w:t>
                  </w: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油漆</w:t>
                  </w:r>
                </w:p>
              </w:tc>
              <w:tc>
                <w:tcPr>
                  <w:tcW w:w="788" w:type="dxa"/>
                  <w:vAlign w:val="center"/>
                </w:tcPr>
                <w:p>
                  <w:pPr>
                    <w:pStyle w:val="134"/>
                    <w:rPr>
                      <w:color w:val="000000"/>
                      <w:kern w:val="0"/>
                    </w:rPr>
                  </w:pPr>
                  <w:r>
                    <w:rPr>
                      <w:color w:val="000000"/>
                      <w:kern w:val="0"/>
                      <w:highlight w:val="none"/>
                    </w:rPr>
                    <w:t>粘稠型</w:t>
                  </w:r>
                  <w:r>
                    <w:rPr>
                      <w:color w:val="000000"/>
                      <w:kern w:val="0"/>
                    </w:rPr>
                    <w:t>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三环[5.2.1.02,6]癸烷二甲醇1-5%、2,2,4,4-四甲基-21-氧代-7-氧杂-3,20-二氮杂环双螺[5.1.11.2]二十一碳烷-20-丙酸十四烷基酯1-2.5%、乙酸丁酯12.5-20%、丙二醇甲醚醋酸酯5-12.5%等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；闪点：27</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稀释剂</w:t>
                  </w:r>
                </w:p>
              </w:tc>
              <w:tc>
                <w:tcPr>
                  <w:tcW w:w="788" w:type="dxa"/>
                  <w:vAlign w:val="center"/>
                </w:tcPr>
                <w:p>
                  <w:pPr>
                    <w:pStyle w:val="134"/>
                    <w:rPr>
                      <w:color w:val="000000"/>
                      <w:kern w:val="0"/>
                    </w:rPr>
                  </w:pPr>
                  <w:r>
                    <w:rPr>
                      <w:color w:val="000000"/>
                      <w:kern w:val="0"/>
                    </w:rPr>
                    <w:t>澄清无色液体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乙酰丙酮25-40%、二丁基-二新癸酸锡0.1-0.25%、乙酸丁酯25-40%、丙二醇甲醚醋酸酯12.5-20%等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；闪点：25</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adjustRightInd w:val="0"/>
                    <w:snapToGrid w:val="0"/>
                    <w:jc w:val="center"/>
                    <w:rPr>
                      <w:rFonts w:ascii="Times New Roman" w:hAnsi="Times New Roman" w:cs="Times New Roman"/>
                      <w:color w:val="000000"/>
                    </w:rPr>
                  </w:pPr>
                </w:p>
              </w:tc>
              <w:tc>
                <w:tcPr>
                  <w:tcW w:w="507" w:type="dxa"/>
                  <w:shd w:val="clear" w:color="000000" w:fill="FFFFFF"/>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固化剂</w:t>
                  </w:r>
                </w:p>
              </w:tc>
              <w:tc>
                <w:tcPr>
                  <w:tcW w:w="788" w:type="dxa"/>
                  <w:vAlign w:val="center"/>
                </w:tcPr>
                <w:p>
                  <w:pPr>
                    <w:pStyle w:val="134"/>
                    <w:rPr>
                      <w:color w:val="000000"/>
                      <w:kern w:val="0"/>
                    </w:rPr>
                  </w:pPr>
                  <w:r>
                    <w:rPr>
                      <w:color w:val="000000"/>
                      <w:kern w:val="0"/>
                    </w:rPr>
                    <w:t>粘稠液体</w:t>
                  </w:r>
                </w:p>
              </w:tc>
              <w:tc>
                <w:tcPr>
                  <w:tcW w:w="751" w:type="dxa"/>
                  <w:vAlign w:val="center"/>
                </w:tcPr>
                <w:p>
                  <w:pPr>
                    <w:pStyle w:val="26"/>
                    <w:ind w:left="0" w:firstLine="0" w:firstLineChars="0"/>
                    <w:jc w:val="center"/>
                    <w:rPr>
                      <w:color w:val="000000"/>
                      <w:kern w:val="0"/>
                      <w:sz w:val="21"/>
                      <w:szCs w:val="21"/>
                    </w:rPr>
                  </w:pPr>
                  <w:r>
                    <w:rPr>
                      <w:color w:val="000000"/>
                      <w:kern w:val="0"/>
                      <w:sz w:val="21"/>
                      <w:szCs w:val="21"/>
                    </w:rPr>
                    <w:t>桶装</w:t>
                  </w:r>
                </w:p>
              </w:tc>
              <w:tc>
                <w:tcPr>
                  <w:tcW w:w="2935" w:type="dxa"/>
                  <w:vAlign w:val="center"/>
                </w:tcPr>
                <w:p>
                  <w:pPr>
                    <w:jc w:val="center"/>
                    <w:rPr>
                      <w:color w:val="000000"/>
                    </w:rPr>
                  </w:pPr>
                  <w:r>
                    <w:rPr>
                      <w:color w:val="000000"/>
                    </w:rPr>
                    <w:t>二甲苯1-5%、乙苯1-2.5%、聚六亚甲基二异氰酸酯40-100%、轻质芳香烃石脑油（石油）2.5-5%、六亚甲基二异氰酸酯0.1-0.25%、乙酸丁酯12.5-20%等</w:t>
                  </w:r>
                </w:p>
              </w:tc>
              <w:tc>
                <w:tcPr>
                  <w:tcW w:w="2536" w:type="dxa"/>
                  <w:vAlign w:val="center"/>
                </w:tcPr>
                <w:p>
                  <w:pPr>
                    <w:pStyle w:val="17"/>
                    <w:adjustRightInd w:val="0"/>
                    <w:snapToGrid w:val="0"/>
                    <w:jc w:val="center"/>
                    <w:rPr>
                      <w:rFonts w:ascii="Times New Roman" w:hAnsi="Times New Roman" w:cs="Times New Roman"/>
                      <w:color w:val="000000"/>
                    </w:rPr>
                  </w:pPr>
                  <w:r>
                    <w:rPr>
                      <w:rFonts w:ascii="Times New Roman" w:hAnsi="Times New Roman" w:cs="Times New Roman"/>
                      <w:color w:val="000000"/>
                    </w:rPr>
                    <w:t>物理形态：液体；气味：特征性；水溶性：不溶于水，可溶于有机溶剂；沸点：120</w:t>
                  </w:r>
                  <w:r>
                    <w:rPr>
                      <w:rFonts w:ascii="MS Mincho" w:hAnsi="MS Mincho" w:eastAsia="MS Mincho" w:cs="MS Mincho"/>
                      <w:color w:val="000000"/>
                    </w:rPr>
                    <w:t>℃</w:t>
                  </w:r>
                  <w:r>
                    <w:rPr>
                      <w:rFonts w:ascii="Times New Roman" w:hAnsi="Times New Roman" w:cs="Times New Roman"/>
                      <w:color w:val="000000"/>
                    </w:rPr>
                    <w:t>；闪点：36</w:t>
                  </w:r>
                  <w:r>
                    <w:rPr>
                      <w:rFonts w:ascii="MS Mincho" w:hAnsi="MS Mincho" w:eastAsia="MS Mincho" w:cs="MS Mincho"/>
                      <w:color w:val="000000"/>
                    </w:rPr>
                    <w:t>℃</w:t>
                  </w:r>
                </w:p>
              </w:tc>
              <w:tc>
                <w:tcPr>
                  <w:tcW w:w="699" w:type="dxa"/>
                  <w:vAlign w:val="center"/>
                </w:tcPr>
                <w:p>
                  <w:pPr>
                    <w:pStyle w:val="26"/>
                    <w:ind w:left="0" w:firstLine="0" w:firstLineChars="0"/>
                    <w:jc w:val="center"/>
                    <w:rPr>
                      <w:color w:val="000000"/>
                      <w:sz w:val="21"/>
                      <w:szCs w:val="21"/>
                    </w:rPr>
                  </w:pPr>
                  <w:r>
                    <w:rPr>
                      <w:color w:val="000000"/>
                      <w:sz w:val="21"/>
                      <w:szCs w:val="21"/>
                    </w:rPr>
                    <w:t>易燃</w:t>
                  </w:r>
                </w:p>
              </w:tc>
            </w:tr>
          </w:tbl>
          <w:p>
            <w:pPr>
              <w:widowControl/>
              <w:adjustRightInd w:val="0"/>
              <w:snapToGrid w:val="0"/>
              <w:spacing w:line="520" w:lineRule="exact"/>
              <w:ind w:firstLine="482" w:firstLineChars="200"/>
              <w:rPr>
                <w:b/>
                <w:bCs/>
                <w:sz w:val="24"/>
              </w:rPr>
            </w:pPr>
            <w:r>
              <w:rPr>
                <w:b/>
                <w:bCs/>
                <w:sz w:val="24"/>
              </w:rPr>
              <w:t>9、劳动定员</w:t>
            </w:r>
          </w:p>
          <w:p>
            <w:pPr>
              <w:adjustRightInd w:val="0"/>
              <w:snapToGrid w:val="0"/>
              <w:spacing w:line="520" w:lineRule="exact"/>
              <w:ind w:firstLine="480" w:firstLineChars="200"/>
              <w:rPr>
                <w:bCs/>
                <w:sz w:val="24"/>
              </w:rPr>
            </w:pPr>
            <w:r>
              <w:rPr>
                <w:bCs/>
                <w:sz w:val="24"/>
              </w:rPr>
              <w:t>项目年运行365天，项目定员54人，其中消防值班室每天安排1人值班，平均每天8h，不提供食宿。改建后不新增员工。</w:t>
            </w:r>
          </w:p>
          <w:p>
            <w:pPr>
              <w:widowControl/>
              <w:adjustRightInd w:val="0"/>
              <w:snapToGrid w:val="0"/>
              <w:spacing w:line="520" w:lineRule="exact"/>
              <w:ind w:firstLine="482" w:firstLineChars="200"/>
              <w:rPr>
                <w:b/>
                <w:bCs/>
                <w:sz w:val="24"/>
              </w:rPr>
            </w:pPr>
            <w:r>
              <w:rPr>
                <w:b/>
                <w:bCs/>
                <w:sz w:val="24"/>
              </w:rPr>
              <w:t>10、公用工程</w:t>
            </w:r>
          </w:p>
          <w:p>
            <w:pPr>
              <w:adjustRightInd w:val="0"/>
              <w:snapToGrid w:val="0"/>
              <w:spacing w:line="520" w:lineRule="exact"/>
              <w:ind w:firstLine="480" w:firstLineChars="200"/>
              <w:rPr>
                <w:bCs/>
                <w:sz w:val="24"/>
              </w:rPr>
            </w:pPr>
            <w:r>
              <w:rPr>
                <w:bCs/>
                <w:sz w:val="24"/>
              </w:rPr>
              <w:t>（1）给水</w:t>
            </w:r>
          </w:p>
          <w:p>
            <w:pPr>
              <w:adjustRightInd w:val="0"/>
              <w:snapToGrid w:val="0"/>
              <w:spacing w:line="520" w:lineRule="exact"/>
              <w:ind w:firstLine="480" w:firstLineChars="200"/>
              <w:rPr>
                <w:bCs/>
                <w:sz w:val="24"/>
              </w:rPr>
            </w:pPr>
            <w:r>
              <w:rPr>
                <w:bCs/>
                <w:sz w:val="24"/>
              </w:rPr>
              <w:t>项目用水引自维修基地现有供水管网，用于工作人员生活用水</w:t>
            </w:r>
            <w:r>
              <w:rPr>
                <w:rFonts w:hint="eastAsia"/>
                <w:bCs/>
                <w:sz w:val="24"/>
              </w:rPr>
              <w:t>和</w:t>
            </w:r>
            <w:r>
              <w:rPr>
                <w:bCs/>
                <w:sz w:val="24"/>
              </w:rPr>
              <w:t>飞机清洗用水。项目</w:t>
            </w:r>
            <w:r>
              <w:rPr>
                <w:sz w:val="24"/>
              </w:rPr>
              <w:t>新鲜水用量为</w:t>
            </w:r>
            <w:r>
              <w:rPr>
                <w:rFonts w:hint="eastAsia"/>
                <w:sz w:val="24"/>
              </w:rPr>
              <w:t>7</w:t>
            </w:r>
            <w:r>
              <w:rPr>
                <w:sz w:val="24"/>
              </w:rPr>
              <w:t>53.225m</w:t>
            </w:r>
            <w:r>
              <w:rPr>
                <w:sz w:val="24"/>
                <w:vertAlign w:val="superscript"/>
              </w:rPr>
              <w:t>3</w:t>
            </w:r>
            <w:r>
              <w:rPr>
                <w:sz w:val="24"/>
              </w:rPr>
              <w:t>/a（</w:t>
            </w:r>
            <w:r>
              <w:rPr>
                <w:rFonts w:hint="eastAsia"/>
                <w:sz w:val="24"/>
              </w:rPr>
              <w:t>2.064</w:t>
            </w:r>
            <w:r>
              <w:rPr>
                <w:sz w:val="24"/>
              </w:rPr>
              <w:t>m</w:t>
            </w:r>
            <w:r>
              <w:rPr>
                <w:sz w:val="24"/>
                <w:vertAlign w:val="superscript"/>
              </w:rPr>
              <w:t>3</w:t>
            </w:r>
            <w:r>
              <w:rPr>
                <w:sz w:val="24"/>
              </w:rPr>
              <w:t>/d）。</w:t>
            </w:r>
          </w:p>
          <w:p>
            <w:pPr>
              <w:adjustRightInd w:val="0"/>
              <w:snapToGrid w:val="0"/>
              <w:spacing w:line="520" w:lineRule="exact"/>
              <w:ind w:firstLine="480" w:firstLineChars="200"/>
              <w:rPr>
                <w:bCs/>
                <w:sz w:val="24"/>
              </w:rPr>
            </w:pPr>
            <w:r>
              <w:rPr>
                <w:bCs/>
                <w:sz w:val="24"/>
              </w:rPr>
              <w:t>（2）排水</w:t>
            </w:r>
          </w:p>
          <w:p>
            <w:pPr>
              <w:adjustRightInd w:val="0"/>
              <w:snapToGrid w:val="0"/>
              <w:spacing w:line="520" w:lineRule="exact"/>
              <w:ind w:firstLine="480" w:firstLineChars="200"/>
              <w:rPr>
                <w:bCs/>
                <w:sz w:val="24"/>
              </w:rPr>
            </w:pPr>
            <w:r>
              <w:rPr>
                <w:bCs/>
                <w:sz w:val="24"/>
              </w:rPr>
              <w:t>项目采用雨污分流制，屋面雨水采用重力流外排系统，经雨水立管就近排至室外雨</w:t>
            </w:r>
            <w:r>
              <w:rPr>
                <w:bCs/>
                <w:color w:val="000000" w:themeColor="text1"/>
                <w:sz w:val="24"/>
                <w14:textFill>
                  <w14:solidFill>
                    <w14:schemeClr w14:val="tx1"/>
                  </w14:solidFill>
                </w14:textFill>
              </w:rPr>
              <w:t>水管网。经化粪池预处理生活污水和经过滤棉过滤后的清洗废水通过管网排入咸阳机场污水处理厂集中处理后达标排放。</w:t>
            </w:r>
          </w:p>
          <w:p>
            <w:pPr>
              <w:adjustRightInd w:val="0"/>
              <w:snapToGrid w:val="0"/>
              <w:spacing w:line="520" w:lineRule="exact"/>
              <w:ind w:firstLine="480" w:firstLineChars="200"/>
              <w:rPr>
                <w:sz w:val="24"/>
              </w:rPr>
            </w:pPr>
            <w:r>
              <w:rPr>
                <w:sz w:val="24"/>
              </w:rPr>
              <w:t>（3）供电</w:t>
            </w:r>
          </w:p>
          <w:p>
            <w:pPr>
              <w:adjustRightInd w:val="0"/>
              <w:snapToGrid w:val="0"/>
              <w:spacing w:line="520" w:lineRule="exact"/>
              <w:ind w:firstLine="480" w:firstLineChars="200"/>
              <w:rPr>
                <w:sz w:val="24"/>
              </w:rPr>
            </w:pPr>
            <w:r>
              <w:rPr>
                <w:sz w:val="24"/>
              </w:rPr>
              <w:t>项目用电主要是设备用电，电源引自维修基地现有变电站，采用双回路供电，供电电压为220/380V，电缆采用直埋敷设方式。</w:t>
            </w:r>
          </w:p>
          <w:p>
            <w:pPr>
              <w:adjustRightInd w:val="0"/>
              <w:snapToGrid w:val="0"/>
              <w:spacing w:line="520" w:lineRule="exact"/>
              <w:ind w:firstLine="480" w:firstLineChars="200"/>
              <w:rPr>
                <w:sz w:val="24"/>
              </w:rPr>
            </w:pPr>
            <w:r>
              <w:rPr>
                <w:sz w:val="24"/>
              </w:rPr>
              <w:t>（4）供热</w:t>
            </w:r>
          </w:p>
          <w:p>
            <w:pPr>
              <w:adjustRightInd w:val="0"/>
              <w:snapToGrid w:val="0"/>
              <w:spacing w:line="520" w:lineRule="exact"/>
              <w:ind w:firstLine="480" w:firstLineChars="200"/>
              <w:rPr>
                <w:sz w:val="24"/>
              </w:rPr>
            </w:pPr>
            <w:r>
              <w:rPr>
                <w:sz w:val="24"/>
              </w:rPr>
              <w:t>晾干热源由大唐热力公司提供的暖气热水，经机场动力站输送的至维修基地，经热力转换由暖风机输出暖风。</w:t>
            </w:r>
          </w:p>
          <w:p>
            <w:pPr>
              <w:adjustRightInd w:val="0"/>
              <w:snapToGrid w:val="0"/>
              <w:spacing w:line="520" w:lineRule="exact"/>
              <w:ind w:firstLine="480" w:firstLineChars="200"/>
              <w:rPr>
                <w:sz w:val="24"/>
              </w:rPr>
            </w:pPr>
            <w:r>
              <w:rPr>
                <w:sz w:val="24"/>
              </w:rPr>
              <w:t>（5）通风</w:t>
            </w:r>
          </w:p>
          <w:p>
            <w:pPr>
              <w:adjustRightInd w:val="0"/>
              <w:snapToGrid w:val="0"/>
              <w:spacing w:line="520" w:lineRule="exact"/>
              <w:ind w:firstLine="480" w:firstLineChars="200"/>
              <w:rPr>
                <w:sz w:val="24"/>
              </w:rPr>
            </w:pPr>
            <w:r>
              <w:rPr>
                <w:sz w:val="24"/>
              </w:rPr>
              <w:t>设计防爆性通风系统，平时通风与事故通风系统分别设置，风机与可燃性气体浓度报警装置连锁，平时排风量根据空调风量确定，事故排风量按不小于12次/h设计。</w:t>
            </w:r>
          </w:p>
          <w:p>
            <w:pPr>
              <w:adjustRightInd w:val="0"/>
              <w:snapToGrid w:val="0"/>
              <w:spacing w:line="520" w:lineRule="exact"/>
              <w:ind w:firstLine="480" w:firstLineChars="200"/>
              <w:rPr>
                <w:sz w:val="24"/>
              </w:rPr>
            </w:pPr>
            <w:r>
              <w:rPr>
                <w:sz w:val="24"/>
              </w:rPr>
              <w:t>（6）消防设计</w:t>
            </w:r>
          </w:p>
          <w:p>
            <w:pPr>
              <w:adjustRightInd w:val="0"/>
              <w:snapToGrid w:val="0"/>
              <w:spacing w:line="520" w:lineRule="exact"/>
              <w:ind w:firstLine="480" w:firstLineChars="200"/>
              <w:rPr>
                <w:sz w:val="24"/>
              </w:rPr>
            </w:pPr>
            <w:r>
              <w:rPr>
                <w:sz w:val="24"/>
              </w:rPr>
              <w:t>本项目1号机库飞机停放和维修区面积不到5000m</w:t>
            </w:r>
            <w:r>
              <w:rPr>
                <w:sz w:val="24"/>
                <w:vertAlign w:val="superscript"/>
              </w:rPr>
              <w:t>2</w:t>
            </w:r>
            <w:r>
              <w:rPr>
                <w:sz w:val="24"/>
              </w:rPr>
              <w:t>，属III类机库，项目设计喷漆，按规范规定，在机库喷漆大厅设泡沫枪及消火栓系统、移动式灭火器，设置防爆手动报警按钮，在大厅的侧墙上设置三频段红紫外火焰探测器，在附楼内的适当位置设置手动报警按钮，在安全出口处设火声光报警灯。</w:t>
            </w:r>
          </w:p>
          <w:p>
            <w:pPr>
              <w:adjustRightInd w:val="0"/>
              <w:snapToGrid w:val="0"/>
              <w:spacing w:line="520" w:lineRule="exact"/>
              <w:ind w:firstLine="480" w:firstLineChars="200"/>
              <w:rPr>
                <w:sz w:val="24"/>
              </w:rPr>
            </w:pPr>
            <w:r>
              <w:rPr>
                <w:sz w:val="24"/>
              </w:rPr>
              <w:t>设置火警及消防控制系统。火灾自动报警系统采用智能型总线制报警和多线制消防控制相结合方式，具有消防设备手动/自动控制、消防设备工作状态显示，消防通信、应急广播等功能。在机库一层设置消防值班室，设24小时专人值班，内设火灾自动报警控制主机、联动控制台、可燃气体报警控制主机、火警电话总机。</w:t>
            </w:r>
          </w:p>
          <w:p>
            <w:pPr>
              <w:adjustRightInd w:val="0"/>
              <w:snapToGrid w:val="0"/>
              <w:spacing w:line="520" w:lineRule="exact"/>
              <w:ind w:firstLine="480" w:firstLineChars="200"/>
              <w:rPr>
                <w:sz w:val="24"/>
              </w:rPr>
            </w:pPr>
            <w:r>
              <w:rPr>
                <w:sz w:val="24"/>
              </w:rPr>
              <w:t>建筑物耐火等级、建筑火灾危险性分类：</w:t>
            </w:r>
          </w:p>
          <w:p>
            <w:pPr>
              <w:adjustRightInd w:val="0"/>
              <w:snapToGrid w:val="0"/>
              <w:spacing w:line="520" w:lineRule="exact"/>
              <w:ind w:firstLine="480" w:firstLineChars="200"/>
              <w:rPr>
                <w:sz w:val="24"/>
              </w:rPr>
            </w:pPr>
            <w:r>
              <w:rPr>
                <w:sz w:val="24"/>
              </w:rPr>
              <w:t>1号机库建筑面积为4</w:t>
            </w:r>
            <w:r>
              <w:rPr>
                <w:rFonts w:hint="eastAsia"/>
                <w:sz w:val="24"/>
              </w:rPr>
              <w:t>790</w:t>
            </w:r>
            <w:r>
              <w:rPr>
                <w:sz w:val="24"/>
              </w:rPr>
              <w:t>m</w:t>
            </w:r>
            <w:r>
              <w:rPr>
                <w:sz w:val="24"/>
                <w:vertAlign w:val="superscript"/>
              </w:rPr>
              <w:t>2</w:t>
            </w:r>
            <w:r>
              <w:rPr>
                <w:sz w:val="24"/>
              </w:rPr>
              <w:t>，</w:t>
            </w:r>
            <w:r>
              <w:rPr>
                <w:rFonts w:hint="eastAsia"/>
                <w:sz w:val="24"/>
              </w:rPr>
              <w:t>火灾危险性类别为甲类，厂房耐火等级为二级。根据《建筑设计防火规范（2018年版）》（GB0016-2014）第3.3.1条，每个防火分区最大允许建筑面积为3000m</w:t>
            </w:r>
            <w:r>
              <w:rPr>
                <w:rFonts w:hint="eastAsia"/>
                <w:sz w:val="24"/>
                <w:vertAlign w:val="superscript"/>
              </w:rPr>
              <w:t>2</w:t>
            </w:r>
            <w:r>
              <w:rPr>
                <w:rFonts w:hint="eastAsia"/>
                <w:sz w:val="24"/>
              </w:rPr>
              <w:t>，将东侧附属用房（建筑面积905m</w:t>
            </w:r>
            <w:r>
              <w:rPr>
                <w:rFonts w:hint="eastAsia"/>
                <w:sz w:val="24"/>
                <w:vertAlign w:val="superscript"/>
              </w:rPr>
              <w:t>2</w:t>
            </w:r>
            <w:r>
              <w:rPr>
                <w:rFonts w:hint="eastAsia"/>
                <w:sz w:val="24"/>
              </w:rPr>
              <w:t>）、喷漆大厅（建筑面积2980m</w:t>
            </w:r>
            <w:r>
              <w:rPr>
                <w:rFonts w:hint="eastAsia"/>
                <w:sz w:val="24"/>
                <w:vertAlign w:val="superscript"/>
              </w:rPr>
              <w:t>2</w:t>
            </w:r>
            <w:r>
              <w:rPr>
                <w:rFonts w:hint="eastAsia"/>
                <w:sz w:val="24"/>
              </w:rPr>
              <w:t>）、西侧附属用房（建筑面积905m</w:t>
            </w:r>
            <w:r>
              <w:rPr>
                <w:rFonts w:hint="eastAsia"/>
                <w:sz w:val="24"/>
                <w:vertAlign w:val="superscript"/>
              </w:rPr>
              <w:t>2</w:t>
            </w:r>
            <w:r>
              <w:rPr>
                <w:rFonts w:hint="eastAsia"/>
                <w:sz w:val="24"/>
              </w:rPr>
              <w:t>）各划分为一个防火分区。</w:t>
            </w:r>
            <w:r>
              <w:rPr>
                <w:sz w:val="24"/>
              </w:rPr>
              <w:t>在机库大门上、头库靠外墙处和侧墙处均设对外疏散门，可直接疏散至室外，机库内最远工作地点到安全出口距离为48m，小于75m，满足规范要求。</w:t>
            </w:r>
          </w:p>
          <w:p>
            <w:pPr>
              <w:adjustRightInd w:val="0"/>
              <w:snapToGrid w:val="0"/>
              <w:spacing w:line="520" w:lineRule="exact"/>
              <w:ind w:firstLine="480" w:firstLineChars="200"/>
              <w:rPr>
                <w:sz w:val="24"/>
              </w:rPr>
            </w:pPr>
            <w:r>
              <w:rPr>
                <w:sz w:val="24"/>
              </w:rPr>
              <w:t>根据平面布置，各人员疏散出口等安全出口的布置疏散距离均符合规范规定，房间最远点疏散距离满足规范要求。</w:t>
            </w:r>
            <w:r>
              <w:rPr>
                <w:rFonts w:hint="eastAsia"/>
                <w:sz w:val="24"/>
              </w:rPr>
              <w:t>喷漆</w:t>
            </w:r>
            <w:r>
              <w:rPr>
                <w:sz w:val="24"/>
              </w:rPr>
              <w:t>大厅内最远工作地点到安全出口的距离小于75m，可以确保人员在火灾发生时能安全巡视疏散至室外。内装修设计符合现行规范的有关规定。消防值班室、无外窗房间等，其内部所有装修均采用A级装修材料。建筑水平疏散走道和门厅，其顶棚装修材料采用A级装修材料，其他部位不低于B1级的装修材料。防火墙上的门、配电间的门、消防值班室的门均为甲级防火门；所有防火门均需安装闭门器，门上设可视窗口，玻璃为防火玻璃。</w:t>
            </w:r>
          </w:p>
          <w:p>
            <w:pPr>
              <w:adjustRightInd w:val="0"/>
              <w:snapToGrid w:val="0"/>
              <w:spacing w:line="520" w:lineRule="exact"/>
              <w:ind w:firstLine="480" w:firstLineChars="200"/>
              <w:rPr>
                <w:sz w:val="24"/>
              </w:rPr>
            </w:pPr>
            <w:r>
              <w:rPr>
                <w:sz w:val="24"/>
              </w:rPr>
              <w:t>钢结构防火：</w:t>
            </w:r>
            <w:r>
              <w:rPr>
                <w:rFonts w:hint="eastAsia"/>
                <w:sz w:val="24"/>
              </w:rPr>
              <w:t>喷漆</w:t>
            </w:r>
            <w:r>
              <w:rPr>
                <w:sz w:val="24"/>
              </w:rPr>
              <w:t>大厅为排架及钢结构，采取耐火极限为</w:t>
            </w:r>
            <w:r>
              <w:rPr>
                <w:rFonts w:hint="eastAsia"/>
                <w:sz w:val="24"/>
              </w:rPr>
              <w:t>2</w:t>
            </w:r>
            <w:r>
              <w:rPr>
                <w:sz w:val="24"/>
              </w:rPr>
              <w:t>.0小时的防火涂料保护，网架结构、柱间支撑均采取耐火极限为1.5小时的防火涂料保护。设备用房等其他房间的墙体采用200厚加气混凝土砌块，可满足耐火极限2.0小时的要求，吊顶为轻钢龙骨铝条板格栅吊顶、矿棉吸声板吊顶机直面石膏板吊顶，耐火极限大于0.25小时。</w:t>
            </w:r>
          </w:p>
          <w:p>
            <w:pPr>
              <w:adjustRightInd w:val="0"/>
              <w:snapToGrid w:val="0"/>
              <w:spacing w:line="520" w:lineRule="exact"/>
              <w:ind w:firstLine="482" w:firstLineChars="200"/>
              <w:rPr>
                <w:b/>
                <w:sz w:val="24"/>
                <w:szCs w:val="24"/>
              </w:rPr>
            </w:pPr>
            <w:r>
              <w:rPr>
                <w:b/>
                <w:sz w:val="24"/>
                <w:szCs w:val="24"/>
              </w:rPr>
              <w:t>11、总平面布置</w:t>
            </w:r>
          </w:p>
          <w:p>
            <w:pPr>
              <w:autoSpaceDE w:val="0"/>
              <w:autoSpaceDN w:val="0"/>
              <w:adjustRightInd w:val="0"/>
              <w:snapToGrid w:val="0"/>
              <w:spacing w:line="520" w:lineRule="exact"/>
              <w:ind w:firstLine="480" w:firstLineChars="200"/>
              <w:rPr>
                <w:bCs/>
                <w:sz w:val="24"/>
                <w:szCs w:val="24"/>
              </w:rPr>
            </w:pPr>
            <w:r>
              <w:rPr>
                <w:kern w:val="0"/>
                <w:sz w:val="24"/>
              </w:rPr>
              <w:t>项目厂区整体为矩形，飞机出入口为西北侧</w:t>
            </w:r>
            <w:r>
              <w:rPr>
                <w:bCs/>
                <w:sz w:val="24"/>
              </w:rPr>
              <w:t>大门，人员主要安全出入口位于东南侧。中间空置区域为喷漆大厅，可容纳</w:t>
            </w:r>
            <w:r>
              <w:rPr>
                <w:color w:val="000000"/>
                <w:kern w:val="0"/>
                <w:sz w:val="24"/>
                <w:szCs w:val="24"/>
              </w:rPr>
              <w:t>空客A320飞机1架。</w:t>
            </w:r>
            <w:r>
              <w:rPr>
                <w:bCs/>
                <w:sz w:val="24"/>
              </w:rPr>
              <w:t>西南侧依次为部件存放间、复合材料修理间、结构修理存放间、调漆间</w:t>
            </w:r>
            <w:r>
              <w:rPr>
                <w:rFonts w:hint="eastAsia"/>
                <w:bCs/>
                <w:sz w:val="24"/>
              </w:rPr>
              <w:t>和</w:t>
            </w:r>
            <w:r>
              <w:rPr>
                <w:rFonts w:hint="eastAsia"/>
                <w:bCs/>
                <w:sz w:val="24"/>
                <w:highlight w:val="none"/>
              </w:rPr>
              <w:t>存漆间</w:t>
            </w:r>
            <w:r>
              <w:rPr>
                <w:rFonts w:hint="eastAsia"/>
                <w:bCs/>
                <w:sz w:val="24"/>
              </w:rPr>
              <w:t>、设备存放间</w:t>
            </w:r>
            <w:r>
              <w:rPr>
                <w:bCs/>
                <w:sz w:val="24"/>
              </w:rPr>
              <w:t>，东北侧依次为</w:t>
            </w:r>
            <w:r>
              <w:rPr>
                <w:rFonts w:hint="eastAsia"/>
                <w:bCs/>
                <w:sz w:val="24"/>
              </w:rPr>
              <w:t>卫生间、工具间、更衣室、</w:t>
            </w:r>
            <w:r>
              <w:rPr>
                <w:bCs/>
                <w:sz w:val="24"/>
              </w:rPr>
              <w:t>消防值班室、耗材库、气泵房</w:t>
            </w:r>
            <w:r>
              <w:rPr>
                <w:rFonts w:hint="eastAsia"/>
                <w:bCs/>
                <w:sz w:val="24"/>
              </w:rPr>
              <w:t>以及换热站</w:t>
            </w:r>
            <w:r>
              <w:rPr>
                <w:bCs/>
                <w:sz w:val="24"/>
              </w:rPr>
              <w:t>。</w:t>
            </w:r>
            <w:r>
              <w:rPr>
                <w:color w:val="000000"/>
                <w:kern w:val="0"/>
                <w:sz w:val="24"/>
                <w:szCs w:val="24"/>
              </w:rPr>
              <w:t>环保设备位于喷漆大厅的东西两侧。</w:t>
            </w:r>
            <w:r>
              <w:rPr>
                <w:bCs/>
                <w:sz w:val="24"/>
              </w:rPr>
              <w:t>项目平面布置和流程布局紧凑、合理。</w:t>
            </w:r>
            <w:r>
              <w:rPr>
                <w:bCs/>
                <w:sz w:val="24"/>
                <w:szCs w:val="24"/>
              </w:rPr>
              <w:t>总平面布置见附图3。</w:t>
            </w:r>
          </w:p>
          <w:p>
            <w:pPr>
              <w:autoSpaceDE w:val="0"/>
              <w:autoSpaceDN w:val="0"/>
              <w:adjustRightInd w:val="0"/>
              <w:snapToGrid w:val="0"/>
              <w:spacing w:line="520" w:lineRule="exact"/>
              <w:rPr>
                <w:bCs/>
                <w:sz w:val="24"/>
                <w:szCs w:val="24"/>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p>
            <w:pPr>
              <w:pStyle w:val="2"/>
              <w:ind w:left="0" w:leftChars="0" w:firstLine="0" w:firstLineChars="0"/>
              <w:rPr>
                <w:rFonts w:ascii="Times New Roman" w:hAnsi="Times New Roma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3290" w:hRule="atLeast"/>
          <w:jc w:val="center"/>
        </w:trPr>
        <w:tc>
          <w:tcPr>
            <w:tcW w:w="8994" w:type="dxa"/>
            <w:gridSpan w:val="8"/>
          </w:tcPr>
          <w:p>
            <w:pPr>
              <w:adjustRightInd w:val="0"/>
              <w:snapToGrid w:val="0"/>
              <w:spacing w:line="520" w:lineRule="exact"/>
              <w:rPr>
                <w:b/>
                <w:sz w:val="28"/>
                <w:szCs w:val="28"/>
              </w:rPr>
            </w:pPr>
            <w:r>
              <w:rPr>
                <w:b/>
                <w:sz w:val="28"/>
                <w:szCs w:val="28"/>
              </w:rPr>
              <w:t>与项目有关的原有污染情况及主要环境问题</w:t>
            </w:r>
          </w:p>
          <w:p>
            <w:pPr>
              <w:adjustRightInd w:val="0"/>
              <w:snapToGrid w:val="0"/>
              <w:spacing w:line="520" w:lineRule="exact"/>
              <w:ind w:firstLine="480" w:firstLineChars="200"/>
              <w:rPr>
                <w:sz w:val="24"/>
              </w:rPr>
            </w:pPr>
            <w:r>
              <w:rPr>
                <w:sz w:val="24"/>
              </w:rPr>
              <w:t>项目已建成运行多年，在以往生产过程中环保设备不完善，为响应国家环保政策并提升工作环境，</w:t>
            </w:r>
            <w:r>
              <w:rPr>
                <w:rFonts w:hint="eastAsia"/>
                <w:color w:val="000000"/>
                <w:sz w:val="24"/>
              </w:rPr>
              <w:t>东方航空技术有限公司</w:t>
            </w:r>
            <w:r>
              <w:rPr>
                <w:sz w:val="24"/>
              </w:rPr>
              <w:t>对1号机库生产线及环保设备设施和消防系统进行改造，安装废气通排风一体深度处理设备、气体检测报警系统，并进行消防设备设施及防爆电气、照明改造。</w:t>
            </w:r>
          </w:p>
          <w:p>
            <w:pPr>
              <w:spacing w:line="520" w:lineRule="exact"/>
              <w:ind w:left="480"/>
              <w:rPr>
                <w:b/>
                <w:sz w:val="24"/>
                <w:szCs w:val="24"/>
              </w:rPr>
            </w:pPr>
            <w:r>
              <w:rPr>
                <w:b/>
                <w:sz w:val="24"/>
                <w:szCs w:val="24"/>
              </w:rPr>
              <w:t>一、现有工程污染物产排情况</w:t>
            </w:r>
          </w:p>
          <w:p>
            <w:pPr>
              <w:spacing w:line="500" w:lineRule="exact"/>
              <w:ind w:firstLine="540"/>
              <w:jc w:val="left"/>
              <w:rPr>
                <w:sz w:val="24"/>
                <w:szCs w:val="24"/>
              </w:rPr>
            </w:pPr>
            <w:r>
              <w:rPr>
                <w:sz w:val="24"/>
                <w:szCs w:val="24"/>
              </w:rPr>
              <w:t>项目技改前后生产工艺及产污环节不发生变化，项目技改前污染物产生情况分析如下：</w:t>
            </w:r>
          </w:p>
          <w:p>
            <w:pPr>
              <w:adjustRightInd w:val="0"/>
              <w:snapToGrid w:val="0"/>
              <w:spacing w:line="520" w:lineRule="exact"/>
              <w:ind w:firstLine="480" w:firstLineChars="200"/>
              <w:rPr>
                <w:sz w:val="24"/>
                <w:szCs w:val="24"/>
              </w:rPr>
            </w:pPr>
            <w:r>
              <w:rPr>
                <w:sz w:val="24"/>
                <w:szCs w:val="24"/>
              </w:rPr>
              <w:t>1、废气</w:t>
            </w:r>
          </w:p>
          <w:p>
            <w:pPr>
              <w:spacing w:line="520" w:lineRule="exact"/>
              <w:rPr>
                <w:sz w:val="24"/>
                <w:szCs w:val="24"/>
              </w:rPr>
            </w:pPr>
            <w:r>
              <w:rPr>
                <w:sz w:val="24"/>
                <w:szCs w:val="24"/>
              </w:rPr>
              <w:t xml:space="preserve">   （1）打磨粉尘</w:t>
            </w:r>
          </w:p>
          <w:p>
            <w:pPr>
              <w:spacing w:line="520" w:lineRule="exact"/>
              <w:ind w:firstLine="480" w:firstLineChars="200"/>
              <w:rPr>
                <w:sz w:val="24"/>
                <w:szCs w:val="24"/>
              </w:rPr>
            </w:pPr>
            <w:r>
              <w:rPr>
                <w:sz w:val="24"/>
                <w:szCs w:val="24"/>
              </w:rPr>
              <w:t>项目设气动打磨机进行退漆打磨，打磨时会产生少量粉尘，本项目打磨机经自带布袋除尘器收集，捕集效率为</w:t>
            </w:r>
            <w:r>
              <w:rPr>
                <w:rFonts w:hint="eastAsia"/>
                <w:sz w:val="24"/>
                <w:szCs w:val="24"/>
              </w:rPr>
              <w:t>9</w:t>
            </w:r>
            <w:r>
              <w:rPr>
                <w:sz w:val="24"/>
                <w:szCs w:val="24"/>
              </w:rPr>
              <w:t xml:space="preserve">0%。项目打磨粉尘产生量按照面漆和中间底漆中固体成分附着的50%计算，附着在飞机面漆和中间底漆固体成分含量约为3.36t/a，打磨粉尘产生量约为1.68t/a，经处理后排放量为0.168t/a。 </w:t>
            </w:r>
          </w:p>
          <w:p>
            <w:pPr>
              <w:adjustRightInd w:val="0"/>
              <w:snapToGrid w:val="0"/>
              <w:spacing w:line="520" w:lineRule="exact"/>
              <w:rPr>
                <w:sz w:val="24"/>
                <w:szCs w:val="24"/>
              </w:rPr>
            </w:pPr>
            <w:r>
              <w:t xml:space="preserve">  </w:t>
            </w:r>
            <w:r>
              <w:rPr>
                <w:sz w:val="24"/>
                <w:szCs w:val="24"/>
              </w:rPr>
              <w:t xml:space="preserve"> （2）喷漆废气</w:t>
            </w:r>
          </w:p>
          <w:p>
            <w:pPr>
              <w:spacing w:line="520" w:lineRule="exact"/>
              <w:ind w:firstLine="480" w:firstLineChars="200"/>
              <w:rPr>
                <w:sz w:val="24"/>
                <w:szCs w:val="24"/>
              </w:rPr>
            </w:pPr>
            <w:r>
              <w:rPr>
                <w:sz w:val="24"/>
                <w:szCs w:val="24"/>
              </w:rPr>
              <w:t>本机库一年飞机喷漆架次为18架，喷漆及晾干有效日工作时长共为600h。喷漆及晾干废气经负压排风设备后通过附楼楼顶8m高的排气筒排放，附楼高度为7m。</w:t>
            </w:r>
          </w:p>
          <w:p>
            <w:pPr>
              <w:pStyle w:val="92"/>
              <w:jc w:val="center"/>
              <w:rPr>
                <w:rFonts w:ascii="Times New Roman" w:hAnsi="Times New Roman" w:cs="Times New Roman"/>
                <w:b/>
              </w:rPr>
            </w:pPr>
            <w:r>
              <w:rPr>
                <w:rFonts w:ascii="Times New Roman" w:hAnsi="Times New Roman" w:cs="Times New Roman"/>
                <w:b/>
              </w:rPr>
              <w:t>表8   项目喷漆废气产排情况</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96"/>
              <w:gridCol w:w="593"/>
              <w:gridCol w:w="593"/>
              <w:gridCol w:w="1894"/>
              <w:gridCol w:w="1891"/>
              <w:gridCol w:w="1731"/>
              <w:gridCol w:w="148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48" w:hRule="atLeast"/>
                <w:jc w:val="center"/>
              </w:trPr>
              <w:tc>
                <w:tcPr>
                  <w:tcW w:w="1189" w:type="dxa"/>
                  <w:gridSpan w:val="2"/>
                  <w:vAlign w:val="center"/>
                </w:tcPr>
                <w:p>
                  <w:pPr>
                    <w:widowControl/>
                    <w:snapToGrid w:val="0"/>
                    <w:spacing w:line="320" w:lineRule="exact"/>
                    <w:jc w:val="center"/>
                  </w:pPr>
                  <w:r>
                    <w:t>生产</w:t>
                  </w:r>
                </w:p>
                <w:p>
                  <w:pPr>
                    <w:widowControl/>
                    <w:snapToGrid w:val="0"/>
                    <w:spacing w:line="320" w:lineRule="exact"/>
                    <w:jc w:val="center"/>
                  </w:pPr>
                  <w:r>
                    <w:t>工序</w:t>
                  </w:r>
                </w:p>
              </w:tc>
              <w:tc>
                <w:tcPr>
                  <w:tcW w:w="2487" w:type="dxa"/>
                  <w:gridSpan w:val="2"/>
                  <w:vAlign w:val="center"/>
                </w:tcPr>
                <w:p>
                  <w:pPr>
                    <w:widowControl/>
                    <w:snapToGrid w:val="0"/>
                    <w:spacing w:line="320" w:lineRule="exact"/>
                    <w:jc w:val="center"/>
                  </w:pPr>
                  <w:r>
                    <w:t>污染物</w:t>
                  </w:r>
                </w:p>
              </w:tc>
              <w:tc>
                <w:tcPr>
                  <w:tcW w:w="1891" w:type="dxa"/>
                  <w:vAlign w:val="center"/>
                </w:tcPr>
                <w:p>
                  <w:pPr>
                    <w:widowControl/>
                    <w:snapToGrid w:val="0"/>
                    <w:spacing w:line="320" w:lineRule="exact"/>
                    <w:jc w:val="center"/>
                  </w:pPr>
                  <w:r>
                    <w:t>产生量</w:t>
                  </w:r>
                </w:p>
                <w:p>
                  <w:pPr>
                    <w:widowControl/>
                    <w:snapToGrid w:val="0"/>
                    <w:spacing w:line="320" w:lineRule="exact"/>
                    <w:jc w:val="center"/>
                  </w:pPr>
                  <w:r>
                    <w:t>t/a</w:t>
                  </w:r>
                </w:p>
              </w:tc>
              <w:tc>
                <w:tcPr>
                  <w:tcW w:w="1731" w:type="dxa"/>
                  <w:vAlign w:val="center"/>
                </w:tcPr>
                <w:p>
                  <w:pPr>
                    <w:widowControl/>
                    <w:snapToGrid w:val="0"/>
                    <w:spacing w:line="320" w:lineRule="exact"/>
                    <w:jc w:val="center"/>
                  </w:pPr>
                  <w:r>
                    <w:t>排放量</w:t>
                  </w:r>
                </w:p>
                <w:p>
                  <w:pPr>
                    <w:widowControl/>
                    <w:snapToGrid w:val="0"/>
                    <w:spacing w:line="320" w:lineRule="exact"/>
                    <w:jc w:val="center"/>
                  </w:pPr>
                  <w:r>
                    <w:t>t/a</w:t>
                  </w:r>
                </w:p>
              </w:tc>
              <w:tc>
                <w:tcPr>
                  <w:tcW w:w="1480" w:type="dxa"/>
                  <w:vAlign w:val="center"/>
                </w:tcPr>
                <w:p>
                  <w:pPr>
                    <w:widowControl/>
                    <w:snapToGrid w:val="0"/>
                    <w:spacing w:line="320" w:lineRule="exact"/>
                    <w:jc w:val="center"/>
                  </w:pPr>
                  <w:r>
                    <w:t>排放速率kg/h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596" w:type="dxa"/>
                  <w:vMerge w:val="restart"/>
                  <w:vAlign w:val="center"/>
                </w:tcPr>
                <w:p>
                  <w:pPr>
                    <w:snapToGrid w:val="0"/>
                    <w:spacing w:line="320" w:lineRule="exact"/>
                    <w:jc w:val="center"/>
                  </w:pPr>
                  <w:r>
                    <w:t>喷漆及晾干</w:t>
                  </w:r>
                </w:p>
              </w:tc>
              <w:tc>
                <w:tcPr>
                  <w:tcW w:w="593" w:type="dxa"/>
                  <w:vMerge w:val="restart"/>
                  <w:vAlign w:val="center"/>
                </w:tcPr>
                <w:p>
                  <w:pPr>
                    <w:snapToGrid w:val="0"/>
                    <w:spacing w:line="320" w:lineRule="exact"/>
                    <w:jc w:val="center"/>
                  </w:pPr>
                  <w:r>
                    <w:t>油</w:t>
                  </w:r>
                </w:p>
                <w:p>
                  <w:pPr>
                    <w:snapToGrid w:val="0"/>
                    <w:spacing w:line="320" w:lineRule="exact"/>
                    <w:jc w:val="center"/>
                  </w:pPr>
                  <w:r>
                    <w:t>漆</w:t>
                  </w:r>
                </w:p>
              </w:tc>
              <w:tc>
                <w:tcPr>
                  <w:tcW w:w="2487" w:type="dxa"/>
                  <w:gridSpan w:val="2"/>
                  <w:vAlign w:val="center"/>
                </w:tcPr>
                <w:p>
                  <w:pPr>
                    <w:spacing w:line="320" w:lineRule="exact"/>
                    <w:jc w:val="center"/>
                  </w:pPr>
                  <w:r>
                    <w:t>漆雾</w:t>
                  </w:r>
                </w:p>
              </w:tc>
              <w:tc>
                <w:tcPr>
                  <w:tcW w:w="1891" w:type="dxa"/>
                  <w:vAlign w:val="center"/>
                </w:tcPr>
                <w:p>
                  <w:pPr>
                    <w:spacing w:line="320" w:lineRule="exact"/>
                    <w:jc w:val="center"/>
                  </w:pPr>
                  <w:r>
                    <w:t>1.44</w:t>
                  </w:r>
                </w:p>
              </w:tc>
              <w:tc>
                <w:tcPr>
                  <w:tcW w:w="1731" w:type="dxa"/>
                  <w:vAlign w:val="center"/>
                </w:tcPr>
                <w:p>
                  <w:pPr>
                    <w:spacing w:line="320" w:lineRule="exact"/>
                    <w:jc w:val="center"/>
                  </w:pPr>
                  <w:r>
                    <w:t>1.368</w:t>
                  </w:r>
                </w:p>
              </w:tc>
              <w:tc>
                <w:tcPr>
                  <w:tcW w:w="1480" w:type="dxa"/>
                  <w:vAlign w:val="center"/>
                </w:tcPr>
                <w:p>
                  <w:pPr>
                    <w:spacing w:line="320" w:lineRule="exact"/>
                    <w:jc w:val="center"/>
                  </w:pPr>
                  <w:r>
                    <w:t>2.28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596" w:type="dxa"/>
                  <w:vMerge w:val="continue"/>
                  <w:vAlign w:val="center"/>
                </w:tcPr>
                <w:p>
                  <w:pPr>
                    <w:snapToGrid w:val="0"/>
                    <w:spacing w:line="320" w:lineRule="exact"/>
                    <w:jc w:val="center"/>
                  </w:pPr>
                </w:p>
              </w:tc>
              <w:tc>
                <w:tcPr>
                  <w:tcW w:w="593" w:type="dxa"/>
                  <w:vMerge w:val="continue"/>
                  <w:vAlign w:val="center"/>
                </w:tcPr>
                <w:p>
                  <w:pPr>
                    <w:snapToGrid w:val="0"/>
                    <w:spacing w:line="320" w:lineRule="exact"/>
                    <w:jc w:val="center"/>
                  </w:pPr>
                </w:p>
              </w:tc>
              <w:tc>
                <w:tcPr>
                  <w:tcW w:w="593" w:type="dxa"/>
                  <w:vMerge w:val="restart"/>
                  <w:vAlign w:val="center"/>
                </w:tcPr>
                <w:p>
                  <w:pPr>
                    <w:jc w:val="center"/>
                  </w:pPr>
                  <w:r>
                    <w:t>喷漆</w:t>
                  </w:r>
                </w:p>
              </w:tc>
              <w:tc>
                <w:tcPr>
                  <w:tcW w:w="1894" w:type="dxa"/>
                  <w:vAlign w:val="center"/>
                </w:tcPr>
                <w:p>
                  <w:pPr>
                    <w:spacing w:line="320" w:lineRule="exact"/>
                    <w:jc w:val="center"/>
                  </w:pPr>
                  <w:r>
                    <w:t>非甲烷总烃</w:t>
                  </w:r>
                </w:p>
              </w:tc>
              <w:tc>
                <w:tcPr>
                  <w:tcW w:w="1891" w:type="dxa"/>
                  <w:vAlign w:val="center"/>
                </w:tcPr>
                <w:p>
                  <w:pPr>
                    <w:spacing w:line="320" w:lineRule="exact"/>
                    <w:jc w:val="center"/>
                  </w:pPr>
                  <w:r>
                    <w:t>2.736</w:t>
                  </w:r>
                </w:p>
              </w:tc>
              <w:tc>
                <w:tcPr>
                  <w:tcW w:w="1731" w:type="dxa"/>
                  <w:vAlign w:val="center"/>
                </w:tcPr>
                <w:p>
                  <w:pPr>
                    <w:spacing w:line="320" w:lineRule="exact"/>
                    <w:jc w:val="center"/>
                  </w:pPr>
                  <w:r>
                    <w:t>2.5992</w:t>
                  </w:r>
                </w:p>
              </w:tc>
              <w:tc>
                <w:tcPr>
                  <w:tcW w:w="1480" w:type="dxa"/>
                  <w:vAlign w:val="center"/>
                </w:tcPr>
                <w:p>
                  <w:pPr>
                    <w:spacing w:line="320" w:lineRule="exact"/>
                    <w:jc w:val="center"/>
                  </w:pPr>
                  <w:r>
                    <w:t>12.99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13" w:hRule="atLeast"/>
                <w:jc w:val="center"/>
              </w:trPr>
              <w:tc>
                <w:tcPr>
                  <w:tcW w:w="596" w:type="dxa"/>
                  <w:vMerge w:val="continue"/>
                  <w:vAlign w:val="center"/>
                </w:tcPr>
                <w:p>
                  <w:pPr>
                    <w:widowControl/>
                    <w:snapToGrid w:val="0"/>
                    <w:spacing w:line="320" w:lineRule="exact"/>
                    <w:jc w:val="center"/>
                  </w:pPr>
                </w:p>
              </w:tc>
              <w:tc>
                <w:tcPr>
                  <w:tcW w:w="593" w:type="dxa"/>
                  <w:vMerge w:val="continue"/>
                  <w:vAlign w:val="center"/>
                </w:tcPr>
                <w:p>
                  <w:pPr>
                    <w:widowControl/>
                    <w:snapToGrid w:val="0"/>
                    <w:spacing w:line="320" w:lineRule="exact"/>
                    <w:jc w:val="center"/>
                  </w:pPr>
                </w:p>
              </w:tc>
              <w:tc>
                <w:tcPr>
                  <w:tcW w:w="593" w:type="dxa"/>
                  <w:vMerge w:val="continue"/>
                  <w:vAlign w:val="center"/>
                </w:tcPr>
                <w:p>
                  <w:pPr>
                    <w:widowControl/>
                    <w:jc w:val="center"/>
                  </w:pPr>
                </w:p>
              </w:tc>
              <w:tc>
                <w:tcPr>
                  <w:tcW w:w="1894" w:type="dxa"/>
                  <w:vAlign w:val="center"/>
                </w:tcPr>
                <w:p>
                  <w:pPr>
                    <w:widowControl/>
                    <w:jc w:val="center"/>
                  </w:pPr>
                  <w:r>
                    <w:t>甲苯+乙苯</w:t>
                  </w:r>
                </w:p>
              </w:tc>
              <w:tc>
                <w:tcPr>
                  <w:tcW w:w="1891" w:type="dxa"/>
                  <w:vAlign w:val="center"/>
                </w:tcPr>
                <w:p>
                  <w:pPr>
                    <w:spacing w:line="320" w:lineRule="exact"/>
                    <w:jc w:val="center"/>
                  </w:pPr>
                  <w:r>
                    <w:t>0.0774</w:t>
                  </w:r>
                </w:p>
              </w:tc>
              <w:tc>
                <w:tcPr>
                  <w:tcW w:w="1731" w:type="dxa"/>
                  <w:vAlign w:val="center"/>
                </w:tcPr>
                <w:p>
                  <w:pPr>
                    <w:spacing w:line="320" w:lineRule="exact"/>
                    <w:jc w:val="center"/>
                  </w:pPr>
                  <w:r>
                    <w:t>0.0735</w:t>
                  </w:r>
                </w:p>
              </w:tc>
              <w:tc>
                <w:tcPr>
                  <w:tcW w:w="1480" w:type="dxa"/>
                  <w:vAlign w:val="center"/>
                </w:tcPr>
                <w:p>
                  <w:pPr>
                    <w:spacing w:line="320" w:lineRule="exact"/>
                    <w:jc w:val="center"/>
                  </w:pPr>
                  <w:r>
                    <w:t>0.373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596" w:type="dxa"/>
                  <w:vMerge w:val="continue"/>
                  <w:vAlign w:val="center"/>
                </w:tcPr>
                <w:p>
                  <w:pPr>
                    <w:widowControl/>
                    <w:snapToGrid w:val="0"/>
                    <w:spacing w:line="320" w:lineRule="exact"/>
                    <w:jc w:val="center"/>
                  </w:pPr>
                </w:p>
              </w:tc>
              <w:tc>
                <w:tcPr>
                  <w:tcW w:w="593" w:type="dxa"/>
                  <w:vMerge w:val="continue"/>
                  <w:vAlign w:val="center"/>
                </w:tcPr>
                <w:p>
                  <w:pPr>
                    <w:widowControl/>
                    <w:snapToGrid w:val="0"/>
                    <w:spacing w:line="320" w:lineRule="exact"/>
                    <w:jc w:val="center"/>
                  </w:pPr>
                </w:p>
              </w:tc>
              <w:tc>
                <w:tcPr>
                  <w:tcW w:w="593" w:type="dxa"/>
                  <w:vMerge w:val="continue"/>
                  <w:vAlign w:val="center"/>
                </w:tcPr>
                <w:p>
                  <w:pPr>
                    <w:widowControl/>
                    <w:jc w:val="center"/>
                  </w:pPr>
                </w:p>
              </w:tc>
              <w:tc>
                <w:tcPr>
                  <w:tcW w:w="1894" w:type="dxa"/>
                  <w:vAlign w:val="center"/>
                </w:tcPr>
                <w:p>
                  <w:pPr>
                    <w:widowControl/>
                    <w:jc w:val="center"/>
                  </w:pPr>
                  <w:r>
                    <w:t>二甲苯</w:t>
                  </w:r>
                </w:p>
              </w:tc>
              <w:tc>
                <w:tcPr>
                  <w:tcW w:w="1891" w:type="dxa"/>
                  <w:vAlign w:val="center"/>
                </w:tcPr>
                <w:p>
                  <w:pPr>
                    <w:spacing w:line="320" w:lineRule="exact"/>
                    <w:jc w:val="center"/>
                  </w:pPr>
                  <w:r>
                    <w:t>0.1554</w:t>
                  </w:r>
                </w:p>
              </w:tc>
              <w:tc>
                <w:tcPr>
                  <w:tcW w:w="1731" w:type="dxa"/>
                  <w:vAlign w:val="center"/>
                </w:tcPr>
                <w:p>
                  <w:pPr>
                    <w:spacing w:line="320" w:lineRule="exact"/>
                    <w:jc w:val="center"/>
                  </w:pPr>
                  <w:r>
                    <w:t>0.1476</w:t>
                  </w:r>
                </w:p>
              </w:tc>
              <w:tc>
                <w:tcPr>
                  <w:tcW w:w="1480" w:type="dxa"/>
                  <w:vAlign w:val="center"/>
                </w:tcPr>
                <w:p>
                  <w:pPr>
                    <w:spacing w:line="320" w:lineRule="exact"/>
                    <w:jc w:val="center"/>
                  </w:pPr>
                  <w:r>
                    <w:t>0.75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596" w:type="dxa"/>
                  <w:vMerge w:val="continue"/>
                  <w:vAlign w:val="center"/>
                </w:tcPr>
                <w:p>
                  <w:pPr>
                    <w:widowControl/>
                    <w:snapToGrid w:val="0"/>
                    <w:spacing w:line="320" w:lineRule="exact"/>
                    <w:jc w:val="center"/>
                  </w:pPr>
                </w:p>
              </w:tc>
              <w:tc>
                <w:tcPr>
                  <w:tcW w:w="593" w:type="dxa"/>
                  <w:vMerge w:val="continue"/>
                  <w:vAlign w:val="center"/>
                </w:tcPr>
                <w:p>
                  <w:pPr>
                    <w:widowControl/>
                    <w:snapToGrid w:val="0"/>
                    <w:spacing w:line="320" w:lineRule="exact"/>
                    <w:jc w:val="center"/>
                  </w:pPr>
                </w:p>
              </w:tc>
              <w:tc>
                <w:tcPr>
                  <w:tcW w:w="593" w:type="dxa"/>
                  <w:vMerge w:val="restart"/>
                  <w:vAlign w:val="center"/>
                </w:tcPr>
                <w:p>
                  <w:pPr>
                    <w:jc w:val="center"/>
                  </w:pPr>
                  <w:r>
                    <w:t>晾干</w:t>
                  </w:r>
                </w:p>
              </w:tc>
              <w:tc>
                <w:tcPr>
                  <w:tcW w:w="1894" w:type="dxa"/>
                  <w:vAlign w:val="center"/>
                </w:tcPr>
                <w:p>
                  <w:pPr>
                    <w:spacing w:line="320" w:lineRule="exact"/>
                    <w:jc w:val="center"/>
                  </w:pPr>
                  <w:r>
                    <w:t>非甲烷总烃</w:t>
                  </w:r>
                </w:p>
              </w:tc>
              <w:tc>
                <w:tcPr>
                  <w:tcW w:w="1891" w:type="dxa"/>
                  <w:vAlign w:val="center"/>
                </w:tcPr>
                <w:p>
                  <w:pPr>
                    <w:spacing w:line="320" w:lineRule="exact"/>
                    <w:jc w:val="center"/>
                  </w:pPr>
                  <w:r>
                    <w:t>1.824</w:t>
                  </w:r>
                </w:p>
              </w:tc>
              <w:tc>
                <w:tcPr>
                  <w:tcW w:w="1731" w:type="dxa"/>
                  <w:vAlign w:val="center"/>
                </w:tcPr>
                <w:p>
                  <w:pPr>
                    <w:spacing w:line="320" w:lineRule="exact"/>
                    <w:jc w:val="center"/>
                  </w:pPr>
                  <w:r>
                    <w:t>1.7328</w:t>
                  </w:r>
                </w:p>
              </w:tc>
              <w:tc>
                <w:tcPr>
                  <w:tcW w:w="1480" w:type="dxa"/>
                  <w:vAlign w:val="center"/>
                </w:tcPr>
                <w:p>
                  <w:pPr>
                    <w:spacing w:line="320" w:lineRule="exact"/>
                    <w:jc w:val="center"/>
                  </w:pPr>
                  <w:r>
                    <w:t>8.67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596" w:type="dxa"/>
                  <w:vMerge w:val="continue"/>
                  <w:vAlign w:val="center"/>
                </w:tcPr>
                <w:p>
                  <w:pPr>
                    <w:widowControl/>
                    <w:snapToGrid w:val="0"/>
                    <w:spacing w:line="320" w:lineRule="exact"/>
                    <w:jc w:val="center"/>
                  </w:pPr>
                </w:p>
              </w:tc>
              <w:tc>
                <w:tcPr>
                  <w:tcW w:w="593" w:type="dxa"/>
                  <w:vMerge w:val="continue"/>
                  <w:vAlign w:val="center"/>
                </w:tcPr>
                <w:p>
                  <w:pPr>
                    <w:widowControl/>
                    <w:snapToGrid w:val="0"/>
                    <w:spacing w:line="320" w:lineRule="exact"/>
                    <w:jc w:val="center"/>
                  </w:pPr>
                </w:p>
              </w:tc>
              <w:tc>
                <w:tcPr>
                  <w:tcW w:w="593" w:type="dxa"/>
                  <w:vMerge w:val="continue"/>
                  <w:vAlign w:val="center"/>
                </w:tcPr>
                <w:p>
                  <w:pPr>
                    <w:widowControl/>
                    <w:jc w:val="left"/>
                  </w:pPr>
                </w:p>
              </w:tc>
              <w:tc>
                <w:tcPr>
                  <w:tcW w:w="1894" w:type="dxa"/>
                  <w:vAlign w:val="center"/>
                </w:tcPr>
                <w:p>
                  <w:pPr>
                    <w:widowControl/>
                    <w:jc w:val="center"/>
                  </w:pPr>
                  <w:r>
                    <w:t>甲苯+乙苯</w:t>
                  </w:r>
                </w:p>
              </w:tc>
              <w:tc>
                <w:tcPr>
                  <w:tcW w:w="1891" w:type="dxa"/>
                  <w:vAlign w:val="center"/>
                </w:tcPr>
                <w:p>
                  <w:pPr>
                    <w:spacing w:line="320" w:lineRule="exact"/>
                    <w:jc w:val="center"/>
                  </w:pPr>
                  <w:r>
                    <w:t>0.4872</w:t>
                  </w:r>
                </w:p>
              </w:tc>
              <w:tc>
                <w:tcPr>
                  <w:tcW w:w="1731" w:type="dxa"/>
                  <w:vAlign w:val="center"/>
                </w:tcPr>
                <w:p>
                  <w:pPr>
                    <w:spacing w:line="320" w:lineRule="exact"/>
                    <w:jc w:val="center"/>
                  </w:pPr>
                  <w:r>
                    <w:t>0.0489</w:t>
                  </w:r>
                </w:p>
              </w:tc>
              <w:tc>
                <w:tcPr>
                  <w:tcW w:w="1480" w:type="dxa"/>
                  <w:vAlign w:val="center"/>
                </w:tcPr>
                <w:p>
                  <w:pPr>
                    <w:spacing w:line="320" w:lineRule="exact"/>
                    <w:jc w:val="center"/>
                  </w:pPr>
                  <w:r>
                    <w:t>0.255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596" w:type="dxa"/>
                  <w:vMerge w:val="continue"/>
                  <w:vAlign w:val="center"/>
                </w:tcPr>
                <w:p>
                  <w:pPr>
                    <w:widowControl/>
                    <w:snapToGrid w:val="0"/>
                    <w:spacing w:line="320" w:lineRule="exact"/>
                    <w:jc w:val="center"/>
                  </w:pPr>
                </w:p>
              </w:tc>
              <w:tc>
                <w:tcPr>
                  <w:tcW w:w="593" w:type="dxa"/>
                  <w:vMerge w:val="continue"/>
                  <w:vAlign w:val="center"/>
                </w:tcPr>
                <w:p>
                  <w:pPr>
                    <w:widowControl/>
                    <w:snapToGrid w:val="0"/>
                    <w:spacing w:line="320" w:lineRule="exact"/>
                    <w:jc w:val="center"/>
                  </w:pPr>
                </w:p>
              </w:tc>
              <w:tc>
                <w:tcPr>
                  <w:tcW w:w="593" w:type="dxa"/>
                  <w:vMerge w:val="continue"/>
                  <w:vAlign w:val="center"/>
                </w:tcPr>
                <w:p>
                  <w:pPr>
                    <w:widowControl/>
                    <w:jc w:val="left"/>
                  </w:pPr>
                </w:p>
              </w:tc>
              <w:tc>
                <w:tcPr>
                  <w:tcW w:w="1894" w:type="dxa"/>
                  <w:vAlign w:val="center"/>
                </w:tcPr>
                <w:p>
                  <w:pPr>
                    <w:widowControl/>
                    <w:jc w:val="center"/>
                  </w:pPr>
                  <w:r>
                    <w:t>二甲苯</w:t>
                  </w:r>
                </w:p>
              </w:tc>
              <w:tc>
                <w:tcPr>
                  <w:tcW w:w="1891" w:type="dxa"/>
                  <w:vAlign w:val="center"/>
                </w:tcPr>
                <w:p>
                  <w:pPr>
                    <w:spacing w:line="320" w:lineRule="exact"/>
                    <w:jc w:val="center"/>
                  </w:pPr>
                  <w:r>
                    <w:t>0.1036</w:t>
                  </w:r>
                </w:p>
              </w:tc>
              <w:tc>
                <w:tcPr>
                  <w:tcW w:w="1731" w:type="dxa"/>
                  <w:vAlign w:val="center"/>
                </w:tcPr>
                <w:p>
                  <w:pPr>
                    <w:spacing w:line="320" w:lineRule="exact"/>
                    <w:jc w:val="center"/>
                  </w:pPr>
                  <w:r>
                    <w:t>0.0984</w:t>
                  </w:r>
                </w:p>
              </w:tc>
              <w:tc>
                <w:tcPr>
                  <w:tcW w:w="1480" w:type="dxa"/>
                  <w:vAlign w:val="center"/>
                </w:tcPr>
                <w:p>
                  <w:pPr>
                    <w:spacing w:line="320" w:lineRule="exact"/>
                    <w:jc w:val="center"/>
                  </w:pPr>
                  <w:r>
                    <w:t>0.5</w:t>
                  </w:r>
                </w:p>
              </w:tc>
            </w:tr>
          </w:tbl>
          <w:p>
            <w:pPr>
              <w:spacing w:line="520" w:lineRule="exact"/>
              <w:ind w:firstLine="480" w:firstLineChars="200"/>
              <w:rPr>
                <w:sz w:val="24"/>
                <w:szCs w:val="24"/>
              </w:rPr>
            </w:pPr>
            <w:r>
              <w:rPr>
                <w:sz w:val="24"/>
                <w:szCs w:val="24"/>
              </w:rPr>
              <w:t>2、废水</w:t>
            </w:r>
          </w:p>
          <w:p>
            <w:pPr>
              <w:spacing w:line="520" w:lineRule="exact"/>
              <w:ind w:firstLine="480" w:firstLineChars="200"/>
              <w:rPr>
                <w:sz w:val="24"/>
                <w:szCs w:val="24"/>
              </w:rPr>
            </w:pPr>
            <w:r>
              <w:rPr>
                <w:sz w:val="24"/>
                <w:szCs w:val="24"/>
              </w:rPr>
              <w:t>项目定员54人，不涉及食宿。依据《陕西省行业用水定额》，生活用水按每人每天35L计，设值班人员1人，用水按每人每天110L计，全年生产365天，则生活用水量为717.225m</w:t>
            </w:r>
            <w:r>
              <w:rPr>
                <w:sz w:val="24"/>
                <w:szCs w:val="24"/>
                <w:vertAlign w:val="superscript"/>
              </w:rPr>
              <w:t>3</w:t>
            </w:r>
            <w:r>
              <w:rPr>
                <w:sz w:val="24"/>
                <w:szCs w:val="24"/>
              </w:rPr>
              <w:t>/a（1.965m</w:t>
            </w:r>
            <w:r>
              <w:rPr>
                <w:sz w:val="24"/>
                <w:szCs w:val="24"/>
                <w:vertAlign w:val="superscript"/>
              </w:rPr>
              <w:t>3</w:t>
            </w:r>
            <w:r>
              <w:rPr>
                <w:sz w:val="24"/>
                <w:szCs w:val="24"/>
              </w:rPr>
              <w:t>/d），产污系数按0.8计，废水产生量为573.78m</w:t>
            </w:r>
            <w:r>
              <w:rPr>
                <w:sz w:val="24"/>
                <w:szCs w:val="24"/>
                <w:vertAlign w:val="superscript"/>
              </w:rPr>
              <w:t>3</w:t>
            </w:r>
            <w:r>
              <w:rPr>
                <w:sz w:val="24"/>
                <w:szCs w:val="24"/>
              </w:rPr>
              <w:t>/a（1.572m</w:t>
            </w:r>
            <w:r>
              <w:rPr>
                <w:sz w:val="24"/>
                <w:szCs w:val="24"/>
                <w:vertAlign w:val="superscript"/>
              </w:rPr>
              <w:t>3</w:t>
            </w:r>
            <w:r>
              <w:rPr>
                <w:sz w:val="24"/>
                <w:szCs w:val="24"/>
              </w:rPr>
              <w:t>/d），生活污水经化粪池预处理后，进入咸阳机场污水处理厂。</w:t>
            </w:r>
          </w:p>
          <w:p>
            <w:pPr>
              <w:spacing w:line="520" w:lineRule="exact"/>
              <w:ind w:firstLine="480" w:firstLineChars="200"/>
              <w:rPr>
                <w:sz w:val="24"/>
                <w:szCs w:val="24"/>
              </w:rPr>
            </w:pPr>
            <w:r>
              <w:rPr>
                <w:sz w:val="24"/>
                <w:szCs w:val="24"/>
              </w:rPr>
              <w:t>飞机维修过程产生清洗废水，主要包括零部件清洗、机身清洗、打磨清洗以及车间清洗产生的废水，其污水特征污染物主要为清洗剂、洗掉的灰尘和油污，清洗剂选用工业清洗剂，清洗剂的主要成分为表面活性剂和水，清洗废水的主要污染因子为石油类、LAS、COD、SS。根据生产经验，每架飞机清洗使用水量约为2m</w:t>
            </w:r>
            <w:r>
              <w:rPr>
                <w:sz w:val="24"/>
                <w:szCs w:val="24"/>
                <w:vertAlign w:val="superscript"/>
              </w:rPr>
              <w:t>3</w:t>
            </w:r>
            <w:r>
              <w:rPr>
                <w:sz w:val="24"/>
                <w:szCs w:val="24"/>
              </w:rPr>
              <w:t>/架次，废水产生量按0.9计，则产生的污水约为1.8m</w:t>
            </w:r>
            <w:r>
              <w:rPr>
                <w:sz w:val="24"/>
                <w:szCs w:val="24"/>
                <w:vertAlign w:val="superscript"/>
              </w:rPr>
              <w:t>3</w:t>
            </w:r>
            <w:r>
              <w:rPr>
                <w:sz w:val="24"/>
                <w:szCs w:val="24"/>
              </w:rPr>
              <w:t>/架次，</w:t>
            </w:r>
            <w:r>
              <w:rPr>
                <w:rFonts w:hint="eastAsia"/>
                <w:sz w:val="24"/>
                <w:szCs w:val="24"/>
              </w:rPr>
              <w:t>维修过程不进行清洗，</w:t>
            </w:r>
            <w:r>
              <w:rPr>
                <w:sz w:val="24"/>
                <w:szCs w:val="24"/>
              </w:rPr>
              <w:t>本项目飞机喷漆能力共为18架次/年，则清洗废水产生量为</w:t>
            </w:r>
            <w:r>
              <w:rPr>
                <w:rFonts w:hint="eastAsia"/>
                <w:sz w:val="24"/>
                <w:szCs w:val="24"/>
              </w:rPr>
              <w:t>32.4</w:t>
            </w:r>
            <w:r>
              <w:rPr>
                <w:sz w:val="24"/>
                <w:szCs w:val="24"/>
              </w:rPr>
              <w:t>m</w:t>
            </w:r>
            <w:r>
              <w:rPr>
                <w:sz w:val="24"/>
                <w:szCs w:val="24"/>
                <w:vertAlign w:val="superscript"/>
              </w:rPr>
              <w:t>3</w:t>
            </w:r>
            <w:r>
              <w:rPr>
                <w:sz w:val="24"/>
                <w:szCs w:val="24"/>
              </w:rPr>
              <w:t>/a。清洗废水经水泵抽至过滤桶，过滤桶内设过滤网，将过滤棉放置过滤网上，废水经过滤棉过滤后通过管网排至咸阳机场污水处理厂。</w:t>
            </w:r>
          </w:p>
          <w:p>
            <w:pPr>
              <w:spacing w:line="520" w:lineRule="exact"/>
              <w:ind w:firstLine="480" w:firstLineChars="200"/>
              <w:rPr>
                <w:sz w:val="24"/>
                <w:szCs w:val="24"/>
              </w:rPr>
            </w:pPr>
            <w:r>
              <w:rPr>
                <w:sz w:val="24"/>
                <w:szCs w:val="24"/>
              </w:rPr>
              <w:t>3、噪声</w:t>
            </w:r>
          </w:p>
          <w:p>
            <w:pPr>
              <w:adjustRightInd w:val="0"/>
              <w:snapToGrid w:val="0"/>
              <w:spacing w:before="62" w:beforeLines="20" w:after="31" w:afterLines="10"/>
              <w:rPr>
                <w:sz w:val="24"/>
                <w:szCs w:val="24"/>
              </w:rPr>
            </w:pPr>
            <w:r>
              <w:rPr>
                <w:sz w:val="24"/>
                <w:szCs w:val="24"/>
              </w:rPr>
              <w:t xml:space="preserve">    项目噪声源主要为打磨机、空压机、泵类、风机等设备运行时的噪声。</w:t>
            </w:r>
          </w:p>
          <w:p>
            <w:pPr>
              <w:pStyle w:val="92"/>
              <w:jc w:val="center"/>
              <w:rPr>
                <w:rFonts w:ascii="Times New Roman" w:hAnsi="Times New Roman" w:cs="Times New Roman"/>
                <w:b/>
              </w:rPr>
            </w:pPr>
            <w:r>
              <w:rPr>
                <w:rFonts w:ascii="Times New Roman" w:hAnsi="Times New Roman" w:cs="Times New Roman"/>
                <w:b/>
              </w:rPr>
              <w:t>表9   项目噪声污染源状况</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2277"/>
              <w:gridCol w:w="2128"/>
              <w:gridCol w:w="1380"/>
              <w:gridCol w:w="17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序号</w:t>
                  </w:r>
                </w:p>
              </w:tc>
              <w:tc>
                <w:tcPr>
                  <w:tcW w:w="2277" w:type="dxa"/>
                  <w:vAlign w:val="center"/>
                </w:tcPr>
                <w:p>
                  <w:pPr>
                    <w:spacing w:line="320" w:lineRule="exact"/>
                    <w:jc w:val="center"/>
                  </w:pPr>
                  <w:r>
                    <w:t>设备噪声</w:t>
                  </w:r>
                </w:p>
              </w:tc>
              <w:tc>
                <w:tcPr>
                  <w:tcW w:w="2128" w:type="dxa"/>
                  <w:vAlign w:val="center"/>
                </w:tcPr>
                <w:p>
                  <w:pPr>
                    <w:spacing w:line="320" w:lineRule="exact"/>
                    <w:jc w:val="center"/>
                  </w:pPr>
                  <w:r>
                    <w:t>噪声值dB(A)</w:t>
                  </w:r>
                </w:p>
              </w:tc>
              <w:tc>
                <w:tcPr>
                  <w:tcW w:w="1380" w:type="dxa"/>
                  <w:vAlign w:val="center"/>
                </w:tcPr>
                <w:p>
                  <w:pPr>
                    <w:spacing w:line="320" w:lineRule="exact"/>
                    <w:jc w:val="center"/>
                  </w:pPr>
                  <w:r>
                    <w:t>数量</w:t>
                  </w:r>
                </w:p>
              </w:tc>
              <w:tc>
                <w:tcPr>
                  <w:tcW w:w="1747" w:type="dxa"/>
                  <w:vAlign w:val="center"/>
                </w:tcPr>
                <w:p>
                  <w:pPr>
                    <w:spacing w:line="320" w:lineRule="exact"/>
                    <w:jc w:val="center"/>
                  </w:pPr>
                  <w:r>
                    <w:t>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1246" w:type="dxa"/>
                  <w:vAlign w:val="center"/>
                </w:tcPr>
                <w:p>
                  <w:pPr>
                    <w:spacing w:line="320" w:lineRule="exact"/>
                    <w:jc w:val="center"/>
                  </w:pPr>
                  <w:r>
                    <w:t>1</w:t>
                  </w:r>
                </w:p>
              </w:tc>
              <w:tc>
                <w:tcPr>
                  <w:tcW w:w="2277" w:type="dxa"/>
                  <w:vAlign w:val="center"/>
                </w:tcPr>
                <w:p>
                  <w:pPr>
                    <w:jc w:val="center"/>
                  </w:pPr>
                  <w:r>
                    <w:t>打磨机</w:t>
                  </w:r>
                </w:p>
              </w:tc>
              <w:tc>
                <w:tcPr>
                  <w:tcW w:w="2128" w:type="dxa"/>
                  <w:vAlign w:val="center"/>
                </w:tcPr>
                <w:p>
                  <w:pPr>
                    <w:spacing w:line="320" w:lineRule="exact"/>
                    <w:jc w:val="center"/>
                  </w:pPr>
                  <w:r>
                    <w:t>70</w:t>
                  </w:r>
                </w:p>
              </w:tc>
              <w:tc>
                <w:tcPr>
                  <w:tcW w:w="1380" w:type="dxa"/>
                  <w:vAlign w:val="center"/>
                </w:tcPr>
                <w:p>
                  <w:pPr>
                    <w:jc w:val="center"/>
                  </w:pPr>
                  <w:r>
                    <w:t>30台</w:t>
                  </w:r>
                </w:p>
              </w:tc>
              <w:tc>
                <w:tcPr>
                  <w:tcW w:w="1747" w:type="dxa"/>
                  <w:vMerge w:val="restart"/>
                  <w:vAlign w:val="center"/>
                </w:tcPr>
                <w:p>
                  <w:pPr>
                    <w:spacing w:line="320" w:lineRule="exact"/>
                    <w:jc w:val="center"/>
                  </w:pPr>
                  <w:r>
                    <w:t>采用低噪声设备，基础减振、建筑隔声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2</w:t>
                  </w:r>
                </w:p>
              </w:tc>
              <w:tc>
                <w:tcPr>
                  <w:tcW w:w="2277" w:type="dxa"/>
                  <w:vAlign w:val="center"/>
                </w:tcPr>
                <w:p>
                  <w:pPr>
                    <w:jc w:val="center"/>
                  </w:pPr>
                  <w:r>
                    <w:t>喷枪</w:t>
                  </w:r>
                </w:p>
              </w:tc>
              <w:tc>
                <w:tcPr>
                  <w:tcW w:w="2128" w:type="dxa"/>
                  <w:vAlign w:val="center"/>
                </w:tcPr>
                <w:p>
                  <w:pPr>
                    <w:spacing w:line="320" w:lineRule="exact"/>
                    <w:jc w:val="center"/>
                  </w:pPr>
                  <w:r>
                    <w:t>70</w:t>
                  </w:r>
                </w:p>
              </w:tc>
              <w:tc>
                <w:tcPr>
                  <w:tcW w:w="1380" w:type="dxa"/>
                  <w:vAlign w:val="center"/>
                </w:tcPr>
                <w:p>
                  <w:pPr>
                    <w:jc w:val="center"/>
                  </w:pPr>
                  <w:r>
                    <w:t>6台</w:t>
                  </w:r>
                </w:p>
              </w:tc>
              <w:tc>
                <w:tcPr>
                  <w:tcW w:w="1747"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3</w:t>
                  </w:r>
                </w:p>
              </w:tc>
              <w:tc>
                <w:tcPr>
                  <w:tcW w:w="2277" w:type="dxa"/>
                  <w:vAlign w:val="center"/>
                </w:tcPr>
                <w:p>
                  <w:pPr>
                    <w:jc w:val="center"/>
                  </w:pPr>
                  <w:r>
                    <w:t>风机</w:t>
                  </w:r>
                </w:p>
              </w:tc>
              <w:tc>
                <w:tcPr>
                  <w:tcW w:w="2128" w:type="dxa"/>
                  <w:vAlign w:val="center"/>
                </w:tcPr>
                <w:p>
                  <w:pPr>
                    <w:spacing w:line="320" w:lineRule="exact"/>
                    <w:jc w:val="center"/>
                  </w:pPr>
                  <w:r>
                    <w:t>90</w:t>
                  </w:r>
                </w:p>
              </w:tc>
              <w:tc>
                <w:tcPr>
                  <w:tcW w:w="1380" w:type="dxa"/>
                  <w:vAlign w:val="center"/>
                </w:tcPr>
                <w:p>
                  <w:pPr>
                    <w:jc w:val="center"/>
                  </w:pPr>
                  <w:r>
                    <w:t>2台</w:t>
                  </w:r>
                </w:p>
              </w:tc>
              <w:tc>
                <w:tcPr>
                  <w:tcW w:w="1747"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4</w:t>
                  </w:r>
                </w:p>
              </w:tc>
              <w:tc>
                <w:tcPr>
                  <w:tcW w:w="2277" w:type="dxa"/>
                  <w:vAlign w:val="center"/>
                </w:tcPr>
                <w:p>
                  <w:pPr>
                    <w:widowControl/>
                    <w:jc w:val="center"/>
                  </w:pPr>
                  <w:r>
                    <w:t>空压机</w:t>
                  </w:r>
                </w:p>
              </w:tc>
              <w:tc>
                <w:tcPr>
                  <w:tcW w:w="2128" w:type="dxa"/>
                  <w:vAlign w:val="center"/>
                </w:tcPr>
                <w:p>
                  <w:pPr>
                    <w:jc w:val="center"/>
                  </w:pPr>
                  <w:r>
                    <w:t>90</w:t>
                  </w:r>
                </w:p>
              </w:tc>
              <w:tc>
                <w:tcPr>
                  <w:tcW w:w="1380" w:type="dxa"/>
                  <w:vAlign w:val="center"/>
                </w:tcPr>
                <w:p>
                  <w:pPr>
                    <w:widowControl/>
                    <w:jc w:val="center"/>
                  </w:pPr>
                  <w:r>
                    <w:t>1台</w:t>
                  </w:r>
                </w:p>
              </w:tc>
              <w:tc>
                <w:tcPr>
                  <w:tcW w:w="1747"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5</w:t>
                  </w:r>
                </w:p>
              </w:tc>
              <w:tc>
                <w:tcPr>
                  <w:tcW w:w="2277" w:type="dxa"/>
                  <w:vAlign w:val="center"/>
                </w:tcPr>
                <w:p>
                  <w:pPr>
                    <w:widowControl/>
                    <w:jc w:val="center"/>
                  </w:pPr>
                  <w:r>
                    <w:t>压力泵</w:t>
                  </w:r>
                </w:p>
              </w:tc>
              <w:tc>
                <w:tcPr>
                  <w:tcW w:w="2128" w:type="dxa"/>
                  <w:vAlign w:val="center"/>
                </w:tcPr>
                <w:p>
                  <w:pPr>
                    <w:jc w:val="center"/>
                  </w:pPr>
                  <w:r>
                    <w:t>75</w:t>
                  </w:r>
                </w:p>
              </w:tc>
              <w:tc>
                <w:tcPr>
                  <w:tcW w:w="1380" w:type="dxa"/>
                  <w:vAlign w:val="center"/>
                </w:tcPr>
                <w:p>
                  <w:pPr>
                    <w:widowControl/>
                    <w:jc w:val="center"/>
                  </w:pPr>
                  <w:r>
                    <w:t>2台</w:t>
                  </w:r>
                </w:p>
              </w:tc>
              <w:tc>
                <w:tcPr>
                  <w:tcW w:w="1747"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6</w:t>
                  </w:r>
                </w:p>
              </w:tc>
              <w:tc>
                <w:tcPr>
                  <w:tcW w:w="2277" w:type="dxa"/>
                  <w:vAlign w:val="center"/>
                </w:tcPr>
                <w:p>
                  <w:pPr>
                    <w:widowControl/>
                    <w:jc w:val="center"/>
                  </w:pPr>
                  <w:r>
                    <w:t>起重机</w:t>
                  </w:r>
                </w:p>
              </w:tc>
              <w:tc>
                <w:tcPr>
                  <w:tcW w:w="2128" w:type="dxa"/>
                  <w:vAlign w:val="center"/>
                </w:tcPr>
                <w:p>
                  <w:pPr>
                    <w:jc w:val="center"/>
                  </w:pPr>
                  <w:r>
                    <w:t>80</w:t>
                  </w:r>
                </w:p>
              </w:tc>
              <w:tc>
                <w:tcPr>
                  <w:tcW w:w="1380" w:type="dxa"/>
                  <w:vAlign w:val="center"/>
                </w:tcPr>
                <w:p>
                  <w:pPr>
                    <w:widowControl/>
                    <w:jc w:val="center"/>
                  </w:pPr>
                  <w:r>
                    <w:t>1台</w:t>
                  </w:r>
                </w:p>
              </w:tc>
              <w:tc>
                <w:tcPr>
                  <w:tcW w:w="1747"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6" w:type="dxa"/>
                  <w:vAlign w:val="center"/>
                </w:tcPr>
                <w:p>
                  <w:pPr>
                    <w:spacing w:line="320" w:lineRule="exact"/>
                    <w:jc w:val="center"/>
                  </w:pPr>
                  <w:r>
                    <w:t>7</w:t>
                  </w:r>
                </w:p>
              </w:tc>
              <w:tc>
                <w:tcPr>
                  <w:tcW w:w="2277" w:type="dxa"/>
                  <w:vAlign w:val="center"/>
                </w:tcPr>
                <w:p>
                  <w:pPr>
                    <w:widowControl/>
                    <w:jc w:val="center"/>
                  </w:pPr>
                  <w:r>
                    <w:t>清洗机</w:t>
                  </w:r>
                </w:p>
              </w:tc>
              <w:tc>
                <w:tcPr>
                  <w:tcW w:w="2128" w:type="dxa"/>
                  <w:vAlign w:val="center"/>
                </w:tcPr>
                <w:p>
                  <w:pPr>
                    <w:jc w:val="center"/>
                  </w:pPr>
                  <w:r>
                    <w:t>70</w:t>
                  </w:r>
                </w:p>
              </w:tc>
              <w:tc>
                <w:tcPr>
                  <w:tcW w:w="1380" w:type="dxa"/>
                  <w:vAlign w:val="center"/>
                </w:tcPr>
                <w:p>
                  <w:pPr>
                    <w:widowControl/>
                    <w:jc w:val="center"/>
                  </w:pPr>
                  <w:r>
                    <w:t>4台</w:t>
                  </w:r>
                </w:p>
              </w:tc>
              <w:tc>
                <w:tcPr>
                  <w:tcW w:w="1747" w:type="dxa"/>
                  <w:vMerge w:val="continue"/>
                  <w:vAlign w:val="center"/>
                </w:tcPr>
                <w:p>
                  <w:pPr>
                    <w:spacing w:line="320" w:lineRule="exact"/>
                    <w:jc w:val="center"/>
                  </w:pPr>
                </w:p>
              </w:tc>
            </w:tr>
          </w:tbl>
          <w:p>
            <w:pPr>
              <w:spacing w:line="520" w:lineRule="exact"/>
              <w:ind w:firstLine="480" w:firstLineChars="200"/>
              <w:rPr>
                <w:sz w:val="24"/>
                <w:szCs w:val="24"/>
              </w:rPr>
            </w:pPr>
            <w:r>
              <w:rPr>
                <w:sz w:val="24"/>
                <w:szCs w:val="24"/>
              </w:rPr>
              <w:t>4、固废</w:t>
            </w:r>
          </w:p>
          <w:p>
            <w:pPr>
              <w:tabs>
                <w:tab w:val="left" w:pos="1440"/>
                <w:tab w:val="left" w:pos="1800"/>
              </w:tabs>
              <w:adjustRightInd w:val="0"/>
              <w:snapToGrid w:val="0"/>
              <w:spacing w:line="520" w:lineRule="exact"/>
              <w:ind w:firstLine="480" w:firstLineChars="200"/>
              <w:rPr>
                <w:sz w:val="24"/>
                <w:szCs w:val="24"/>
              </w:rPr>
            </w:pPr>
            <w:r>
              <w:rPr>
                <w:sz w:val="24"/>
                <w:szCs w:val="24"/>
              </w:rPr>
              <w:t>（1）一般固体废物</w:t>
            </w:r>
          </w:p>
          <w:p>
            <w:pPr>
              <w:tabs>
                <w:tab w:val="left" w:pos="1440"/>
                <w:tab w:val="left" w:pos="1800"/>
              </w:tabs>
              <w:adjustRightInd w:val="0"/>
              <w:snapToGrid w:val="0"/>
              <w:spacing w:line="520" w:lineRule="exact"/>
              <w:ind w:firstLine="480" w:firstLineChars="200"/>
              <w:rPr>
                <w:sz w:val="24"/>
                <w:szCs w:val="24"/>
              </w:rPr>
            </w:pPr>
            <w:r>
              <w:rPr>
                <w:sz w:val="24"/>
                <w:szCs w:val="24"/>
              </w:rPr>
              <w:t xml:space="preserve">项目维修过程中会产生废旧零部件，产生量约为1t/a，统一收集后外售至废品站。项目维修工序更新零部件会产生废旧包装盒等，产生量约为0.2t/a，统一收集后外售至废品站。 </w:t>
            </w:r>
          </w:p>
          <w:p>
            <w:pPr>
              <w:tabs>
                <w:tab w:val="left" w:pos="1440"/>
                <w:tab w:val="left" w:pos="1800"/>
              </w:tabs>
              <w:adjustRightInd w:val="0"/>
              <w:snapToGrid w:val="0"/>
              <w:spacing w:line="520" w:lineRule="exact"/>
              <w:ind w:firstLine="480" w:firstLineChars="200"/>
              <w:rPr>
                <w:sz w:val="24"/>
                <w:szCs w:val="24"/>
              </w:rPr>
            </w:pPr>
            <w:r>
              <w:rPr>
                <w:sz w:val="24"/>
                <w:szCs w:val="24"/>
              </w:rPr>
              <w:t>（2）生活垃圾</w:t>
            </w:r>
          </w:p>
          <w:p>
            <w:pPr>
              <w:tabs>
                <w:tab w:val="left" w:pos="1440"/>
                <w:tab w:val="left" w:pos="1800"/>
              </w:tabs>
              <w:adjustRightInd w:val="0"/>
              <w:snapToGrid w:val="0"/>
              <w:spacing w:line="520" w:lineRule="exact"/>
              <w:ind w:firstLine="480" w:firstLineChars="200"/>
              <w:rPr>
                <w:sz w:val="24"/>
                <w:szCs w:val="24"/>
              </w:rPr>
            </w:pPr>
            <w:r>
              <w:rPr>
                <w:sz w:val="24"/>
                <w:szCs w:val="24"/>
              </w:rPr>
              <w:t xml:space="preserve">厂区定员54人，生活垃圾产生量按0.5kg/人·d，则生活垃圾产生量为27kg/d，全年产生9.855t，送往维修基地生活垃圾暂存区，统一交由环卫部门处置。 </w:t>
            </w:r>
          </w:p>
          <w:p>
            <w:pPr>
              <w:tabs>
                <w:tab w:val="left" w:pos="1440"/>
                <w:tab w:val="left" w:pos="1800"/>
              </w:tabs>
              <w:adjustRightInd w:val="0"/>
              <w:snapToGrid w:val="0"/>
              <w:spacing w:line="520" w:lineRule="exact"/>
              <w:ind w:firstLine="480" w:firstLineChars="200"/>
              <w:rPr>
                <w:sz w:val="24"/>
                <w:szCs w:val="24"/>
              </w:rPr>
            </w:pPr>
            <w:r>
              <w:rPr>
                <w:sz w:val="24"/>
                <w:szCs w:val="24"/>
              </w:rPr>
              <w:t>（3）危险废物：</w:t>
            </w:r>
          </w:p>
          <w:p>
            <w:pPr>
              <w:tabs>
                <w:tab w:val="left" w:pos="1440"/>
                <w:tab w:val="left" w:pos="1800"/>
              </w:tabs>
              <w:adjustRightInd w:val="0"/>
              <w:snapToGrid w:val="0"/>
              <w:spacing w:line="520" w:lineRule="exact"/>
              <w:ind w:firstLine="480" w:firstLineChars="200"/>
              <w:rPr>
                <w:sz w:val="24"/>
                <w:szCs w:val="24"/>
              </w:rPr>
            </w:pPr>
            <w:r>
              <w:rPr>
                <w:sz w:val="24"/>
                <w:szCs w:val="24"/>
              </w:rPr>
              <w:t>项目废有机溶剂桶产生量为2t/a，根据《国家危险废物名录》（2016年），属于危险废物HW49，代码为900-041-49（含有或沾染毒性、感染性危险废物的废弃包装物、容器、过滤吸附介质），交由有资质单位处理。</w:t>
            </w:r>
          </w:p>
          <w:p>
            <w:pPr>
              <w:tabs>
                <w:tab w:val="left" w:pos="1440"/>
                <w:tab w:val="left" w:pos="1800"/>
              </w:tabs>
              <w:adjustRightInd w:val="0"/>
              <w:snapToGrid w:val="0"/>
              <w:spacing w:line="520" w:lineRule="exact"/>
              <w:ind w:firstLine="480" w:firstLineChars="200"/>
              <w:rPr>
                <w:sz w:val="24"/>
                <w:szCs w:val="24"/>
              </w:rPr>
            </w:pPr>
            <w:r>
              <w:rPr>
                <w:sz w:val="24"/>
                <w:szCs w:val="24"/>
              </w:rPr>
              <w:t>飞机维修时产生的废机油以及沾染机油的废抹布、手套等，年产生量约为0.8t/a，根据《国家危险废物名录》（2016年），属于危险废物HW08，代码为900-214-08（车辆、机械维修和拆解过程中产生的废发动机油、制动器油、自动变速器油、齿轮油等废润滑油），交由有资质单位处理。</w:t>
            </w:r>
          </w:p>
          <w:p>
            <w:pPr>
              <w:tabs>
                <w:tab w:val="left" w:pos="1440"/>
                <w:tab w:val="left" w:pos="1800"/>
              </w:tabs>
              <w:adjustRightInd w:val="0"/>
              <w:snapToGrid w:val="0"/>
              <w:spacing w:line="520" w:lineRule="exact"/>
              <w:ind w:firstLine="480" w:firstLineChars="200"/>
              <w:rPr>
                <w:sz w:val="24"/>
                <w:szCs w:val="24"/>
              </w:rPr>
            </w:pPr>
            <w:r>
              <w:rPr>
                <w:sz w:val="24"/>
              </w:rPr>
              <w:t>根据废气污染源分析可知，项目打磨粉尘产生量为1.68t/a，</w:t>
            </w:r>
            <w:r>
              <w:rPr>
                <w:sz w:val="24"/>
                <w:highlight w:val="none"/>
              </w:rPr>
              <w:t>粉尘经小磨机设备</w:t>
            </w:r>
            <w:r>
              <w:rPr>
                <w:sz w:val="24"/>
              </w:rPr>
              <w:t>自带的袋式除尘器（粉尘捕集效率≥90%）收集，自带收尘器收集的打磨粉尘量约为1.512t/a，</w:t>
            </w:r>
            <w:r>
              <w:rPr>
                <w:rFonts w:hint="eastAsia"/>
                <w:sz w:val="24"/>
              </w:rPr>
              <w:t>属于含漆粉尘，收集后交由有资质单位处理。</w:t>
            </w:r>
          </w:p>
          <w:p>
            <w:pPr>
              <w:spacing w:line="520" w:lineRule="exact"/>
              <w:ind w:left="480"/>
              <w:rPr>
                <w:b/>
                <w:sz w:val="24"/>
                <w:szCs w:val="24"/>
              </w:rPr>
            </w:pPr>
            <w:r>
              <w:rPr>
                <w:b/>
                <w:sz w:val="24"/>
                <w:szCs w:val="24"/>
              </w:rPr>
              <w:t>二、现有工程污染物治理措施及治理效果</w:t>
            </w:r>
          </w:p>
          <w:p>
            <w:pPr>
              <w:pStyle w:val="92"/>
              <w:jc w:val="center"/>
              <w:rPr>
                <w:rFonts w:ascii="Times New Roman" w:hAnsi="Times New Roman" w:cs="Times New Roman"/>
                <w:b/>
              </w:rPr>
            </w:pPr>
            <w:r>
              <w:rPr>
                <w:rFonts w:ascii="Times New Roman" w:hAnsi="Times New Roman" w:cs="Times New Roman"/>
                <w:b/>
              </w:rPr>
              <w:t>表10   现有工程环保措施情况表</w:t>
            </w:r>
          </w:p>
          <w:tbl>
            <w:tblPr>
              <w:tblStyle w:val="38"/>
              <w:tblW w:w="8778"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81"/>
              <w:gridCol w:w="1570"/>
              <w:gridCol w:w="2701"/>
              <w:gridCol w:w="392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tcMar>
                    <w:left w:w="57" w:type="dxa"/>
                    <w:right w:w="57" w:type="dxa"/>
                  </w:tcMar>
                  <w:vAlign w:val="center"/>
                </w:tcPr>
                <w:p>
                  <w:pPr>
                    <w:widowControl/>
                    <w:spacing w:line="320" w:lineRule="exact"/>
                    <w:jc w:val="center"/>
                  </w:pPr>
                  <w:r>
                    <w:t>项目</w:t>
                  </w:r>
                </w:p>
              </w:tc>
              <w:tc>
                <w:tcPr>
                  <w:tcW w:w="1570" w:type="dxa"/>
                  <w:tcMar>
                    <w:left w:w="57" w:type="dxa"/>
                    <w:right w:w="57" w:type="dxa"/>
                  </w:tcMar>
                  <w:vAlign w:val="center"/>
                </w:tcPr>
                <w:p>
                  <w:pPr>
                    <w:widowControl/>
                    <w:spacing w:line="320" w:lineRule="exact"/>
                    <w:jc w:val="center"/>
                  </w:pPr>
                  <w:r>
                    <w:t>污染源/污染物</w:t>
                  </w:r>
                </w:p>
              </w:tc>
              <w:tc>
                <w:tcPr>
                  <w:tcW w:w="2701" w:type="dxa"/>
                  <w:tcMar>
                    <w:left w:w="57" w:type="dxa"/>
                    <w:right w:w="57" w:type="dxa"/>
                  </w:tcMar>
                  <w:vAlign w:val="center"/>
                </w:tcPr>
                <w:p>
                  <w:pPr>
                    <w:widowControl/>
                    <w:spacing w:line="320" w:lineRule="exact"/>
                    <w:jc w:val="center"/>
                  </w:pPr>
                  <w:r>
                    <w:t>环保措施</w:t>
                  </w:r>
                </w:p>
              </w:tc>
              <w:tc>
                <w:tcPr>
                  <w:tcW w:w="3926" w:type="dxa"/>
                  <w:tcMar>
                    <w:left w:w="57" w:type="dxa"/>
                    <w:right w:w="57" w:type="dxa"/>
                  </w:tcMar>
                  <w:vAlign w:val="center"/>
                </w:tcPr>
                <w:p>
                  <w:pPr>
                    <w:widowControl/>
                    <w:spacing w:line="320" w:lineRule="exact"/>
                    <w:jc w:val="center"/>
                  </w:pPr>
                  <w:r>
                    <w:t>治理效果</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17" w:hRule="atLeast"/>
                <w:jc w:val="center"/>
              </w:trPr>
              <w:tc>
                <w:tcPr>
                  <w:tcW w:w="581" w:type="dxa"/>
                  <w:vMerge w:val="restart"/>
                  <w:tcMar>
                    <w:left w:w="57" w:type="dxa"/>
                    <w:right w:w="57" w:type="dxa"/>
                  </w:tcMar>
                  <w:vAlign w:val="center"/>
                </w:tcPr>
                <w:p>
                  <w:pPr>
                    <w:widowControl/>
                    <w:spacing w:line="320" w:lineRule="exact"/>
                    <w:jc w:val="center"/>
                  </w:pPr>
                  <w:r>
                    <w:t>废气</w:t>
                  </w:r>
                </w:p>
              </w:tc>
              <w:tc>
                <w:tcPr>
                  <w:tcW w:w="1570" w:type="dxa"/>
                  <w:tcMar>
                    <w:left w:w="57" w:type="dxa"/>
                    <w:right w:w="57" w:type="dxa"/>
                  </w:tcMar>
                  <w:vAlign w:val="center"/>
                </w:tcPr>
                <w:p>
                  <w:pPr>
                    <w:widowControl/>
                    <w:spacing w:line="320" w:lineRule="exact"/>
                    <w:jc w:val="center"/>
                  </w:pPr>
                  <w:r>
                    <w:t>打磨粉尘</w:t>
                  </w:r>
                </w:p>
              </w:tc>
              <w:tc>
                <w:tcPr>
                  <w:tcW w:w="2701" w:type="dxa"/>
                  <w:tcMar>
                    <w:left w:w="57" w:type="dxa"/>
                    <w:right w:w="57" w:type="dxa"/>
                  </w:tcMar>
                  <w:vAlign w:val="center"/>
                </w:tcPr>
                <w:p>
                  <w:pPr>
                    <w:widowControl/>
                    <w:spacing w:line="320" w:lineRule="exact"/>
                    <w:jc w:val="center"/>
                  </w:pPr>
                  <w:r>
                    <w:t>自带布袋除尘器</w:t>
                  </w:r>
                </w:p>
              </w:tc>
              <w:tc>
                <w:tcPr>
                  <w:tcW w:w="3926" w:type="dxa"/>
                  <w:tcBorders>
                    <w:bottom w:val="single" w:color="000000" w:sz="4" w:space="0"/>
                  </w:tcBorders>
                  <w:tcMar>
                    <w:left w:w="57" w:type="dxa"/>
                    <w:right w:w="57" w:type="dxa"/>
                  </w:tcMar>
                  <w:vAlign w:val="center"/>
                </w:tcPr>
                <w:p>
                  <w:pPr>
                    <w:widowControl/>
                    <w:spacing w:line="320" w:lineRule="exact"/>
                    <w:jc w:val="center"/>
                  </w:pPr>
                  <w:r>
                    <w:t>满足《大气污染综合排放标准》(GB16297-1996)中二级标准要求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177" w:hRule="atLeast"/>
                <w:jc w:val="center"/>
              </w:trPr>
              <w:tc>
                <w:tcPr>
                  <w:tcW w:w="581" w:type="dxa"/>
                  <w:vMerge w:val="continue"/>
                  <w:tcMar>
                    <w:left w:w="57" w:type="dxa"/>
                    <w:right w:w="57" w:type="dxa"/>
                  </w:tcMar>
                  <w:vAlign w:val="center"/>
                </w:tcPr>
                <w:p>
                  <w:pPr>
                    <w:widowControl/>
                    <w:spacing w:line="320" w:lineRule="exact"/>
                    <w:jc w:val="center"/>
                  </w:pPr>
                </w:p>
              </w:tc>
              <w:tc>
                <w:tcPr>
                  <w:tcW w:w="1570" w:type="dxa"/>
                  <w:tcBorders>
                    <w:top w:val="single" w:color="000000" w:sz="4" w:space="0"/>
                  </w:tcBorders>
                  <w:tcMar>
                    <w:left w:w="57" w:type="dxa"/>
                    <w:right w:w="57" w:type="dxa"/>
                  </w:tcMar>
                  <w:vAlign w:val="center"/>
                </w:tcPr>
                <w:p>
                  <w:pPr>
                    <w:widowControl/>
                    <w:spacing w:line="320" w:lineRule="exact"/>
                    <w:jc w:val="center"/>
                  </w:pPr>
                  <w:r>
                    <w:t>喷漆废气</w:t>
                  </w:r>
                </w:p>
              </w:tc>
              <w:tc>
                <w:tcPr>
                  <w:tcW w:w="2701" w:type="dxa"/>
                  <w:tcBorders>
                    <w:top w:val="single" w:color="000000" w:sz="4" w:space="0"/>
                  </w:tcBorders>
                  <w:tcMar>
                    <w:left w:w="57" w:type="dxa"/>
                    <w:right w:w="57" w:type="dxa"/>
                  </w:tcMar>
                  <w:vAlign w:val="center"/>
                </w:tcPr>
                <w:p>
                  <w:pPr>
                    <w:widowControl/>
                    <w:spacing w:line="320" w:lineRule="exact"/>
                    <w:jc w:val="center"/>
                  </w:pPr>
                  <w:r>
                    <w:t>负压排风设备+排气筒</w:t>
                  </w:r>
                </w:p>
              </w:tc>
              <w:tc>
                <w:tcPr>
                  <w:tcW w:w="3926" w:type="dxa"/>
                  <w:tcBorders>
                    <w:top w:val="single" w:color="000000" w:sz="4" w:space="0"/>
                  </w:tcBorders>
                  <w:tcMar>
                    <w:left w:w="57" w:type="dxa"/>
                    <w:right w:w="57" w:type="dxa"/>
                  </w:tcMar>
                  <w:vAlign w:val="center"/>
                </w:tcPr>
                <w:p>
                  <w:pPr>
                    <w:widowControl/>
                    <w:spacing w:line="320" w:lineRule="exact"/>
                    <w:jc w:val="center"/>
                  </w:pPr>
                  <w:r>
                    <w:t>漆雾满足《大气污染综合排放标准》(GB16297-1996)中二级标准要求；非甲烷总烃、甲苯+乙苯、二甲苯最高排放浓度均能够满足《挥发性有机物排放控制标准》(DB 61/T1061-2017)中最高允许排放浓度限值要求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vMerge w:val="restart"/>
                  <w:tcMar>
                    <w:left w:w="57" w:type="dxa"/>
                    <w:right w:w="57" w:type="dxa"/>
                  </w:tcMar>
                  <w:vAlign w:val="center"/>
                </w:tcPr>
                <w:p>
                  <w:pPr>
                    <w:widowControl/>
                    <w:spacing w:line="320" w:lineRule="exact"/>
                    <w:jc w:val="center"/>
                  </w:pPr>
                  <w:r>
                    <w:t>废水</w:t>
                  </w:r>
                </w:p>
              </w:tc>
              <w:tc>
                <w:tcPr>
                  <w:tcW w:w="1570" w:type="dxa"/>
                  <w:tcMar>
                    <w:left w:w="57" w:type="dxa"/>
                    <w:right w:w="57" w:type="dxa"/>
                  </w:tcMar>
                  <w:vAlign w:val="center"/>
                </w:tcPr>
                <w:p>
                  <w:pPr>
                    <w:adjustRightInd w:val="0"/>
                    <w:snapToGrid w:val="0"/>
                    <w:spacing w:line="320" w:lineRule="exact"/>
                    <w:jc w:val="center"/>
                  </w:pPr>
                  <w:r>
                    <w:t>生产废水</w:t>
                  </w:r>
                </w:p>
              </w:tc>
              <w:tc>
                <w:tcPr>
                  <w:tcW w:w="2701" w:type="dxa"/>
                  <w:tcMar>
                    <w:left w:w="57" w:type="dxa"/>
                    <w:right w:w="57" w:type="dxa"/>
                  </w:tcMar>
                  <w:vAlign w:val="center"/>
                </w:tcPr>
                <w:p>
                  <w:pPr>
                    <w:widowControl/>
                    <w:spacing w:line="320" w:lineRule="exact"/>
                    <w:jc w:val="center"/>
                  </w:pPr>
                  <w:r>
                    <w:t>经过滤桶的过滤棉过滤后排入咸阳机场维修基地污水处理厂</w:t>
                  </w:r>
                </w:p>
              </w:tc>
              <w:tc>
                <w:tcPr>
                  <w:tcW w:w="3926" w:type="dxa"/>
                  <w:vMerge w:val="restart"/>
                  <w:tcMar>
                    <w:left w:w="57" w:type="dxa"/>
                    <w:right w:w="57" w:type="dxa"/>
                  </w:tcMar>
                  <w:vAlign w:val="center"/>
                </w:tcPr>
                <w:p>
                  <w:pPr>
                    <w:spacing w:line="320" w:lineRule="exact"/>
                    <w:jc w:val="center"/>
                  </w:pPr>
                  <w:r>
                    <w:t>满足《污水综合排放标准》(GB68978-1996)表4中三级标准和《污水排入城镇下水道水质标准》（GB/T31962-2015）表1中A级标准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615" w:hRule="atLeast"/>
                <w:jc w:val="center"/>
              </w:trPr>
              <w:tc>
                <w:tcPr>
                  <w:tcW w:w="581" w:type="dxa"/>
                  <w:vMerge w:val="continue"/>
                  <w:tcMar>
                    <w:left w:w="57" w:type="dxa"/>
                    <w:right w:w="57" w:type="dxa"/>
                  </w:tcMar>
                  <w:vAlign w:val="center"/>
                </w:tcPr>
                <w:p>
                  <w:pPr>
                    <w:widowControl/>
                    <w:spacing w:line="320" w:lineRule="exact"/>
                    <w:jc w:val="center"/>
                  </w:pPr>
                </w:p>
              </w:tc>
              <w:tc>
                <w:tcPr>
                  <w:tcW w:w="1570" w:type="dxa"/>
                  <w:tcMar>
                    <w:left w:w="57" w:type="dxa"/>
                    <w:right w:w="57" w:type="dxa"/>
                  </w:tcMar>
                  <w:vAlign w:val="center"/>
                </w:tcPr>
                <w:p>
                  <w:pPr>
                    <w:adjustRightInd w:val="0"/>
                    <w:snapToGrid w:val="0"/>
                    <w:spacing w:line="320" w:lineRule="exact"/>
                    <w:jc w:val="center"/>
                  </w:pPr>
                  <w:r>
                    <w:t>生活污水</w:t>
                  </w:r>
                </w:p>
              </w:tc>
              <w:tc>
                <w:tcPr>
                  <w:tcW w:w="2701" w:type="dxa"/>
                  <w:tcMar>
                    <w:left w:w="57" w:type="dxa"/>
                    <w:right w:w="57" w:type="dxa"/>
                  </w:tcMar>
                  <w:vAlign w:val="center"/>
                </w:tcPr>
                <w:p>
                  <w:pPr>
                    <w:adjustRightInd w:val="0"/>
                    <w:snapToGrid w:val="0"/>
                    <w:spacing w:line="320" w:lineRule="exact"/>
                    <w:jc w:val="center"/>
                  </w:pPr>
                  <w:r>
                    <w:t xml:space="preserve">生活污水经化粪池处理后排入咸阳机场维修基地污水处理厂。 </w:t>
                  </w:r>
                </w:p>
              </w:tc>
              <w:tc>
                <w:tcPr>
                  <w:tcW w:w="3926" w:type="dxa"/>
                  <w:vMerge w:val="continue"/>
                  <w:tcMar>
                    <w:left w:w="57" w:type="dxa"/>
                    <w:right w:w="57" w:type="dxa"/>
                  </w:tcMar>
                  <w:vAlign w:val="center"/>
                </w:tcPr>
                <w:p>
                  <w:pPr>
                    <w:widowControl/>
                    <w:spacing w:line="320" w:lineRule="exact"/>
                    <w:jc w:val="cente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tcMar>
                    <w:left w:w="57" w:type="dxa"/>
                    <w:right w:w="57" w:type="dxa"/>
                  </w:tcMar>
                  <w:vAlign w:val="center"/>
                </w:tcPr>
                <w:p>
                  <w:pPr>
                    <w:widowControl/>
                    <w:spacing w:line="320" w:lineRule="exact"/>
                    <w:jc w:val="center"/>
                  </w:pPr>
                  <w:r>
                    <w:t>噪声</w:t>
                  </w:r>
                </w:p>
              </w:tc>
              <w:tc>
                <w:tcPr>
                  <w:tcW w:w="1570" w:type="dxa"/>
                  <w:tcMar>
                    <w:left w:w="57" w:type="dxa"/>
                    <w:right w:w="57" w:type="dxa"/>
                  </w:tcMar>
                  <w:vAlign w:val="center"/>
                </w:tcPr>
                <w:p>
                  <w:pPr>
                    <w:adjustRightInd w:val="0"/>
                    <w:snapToGrid w:val="0"/>
                    <w:spacing w:line="320" w:lineRule="exact"/>
                    <w:jc w:val="center"/>
                  </w:pPr>
                  <w:r>
                    <w:t>产噪设备</w:t>
                  </w:r>
                </w:p>
              </w:tc>
              <w:tc>
                <w:tcPr>
                  <w:tcW w:w="2701" w:type="dxa"/>
                  <w:tcMar>
                    <w:left w:w="57" w:type="dxa"/>
                    <w:right w:w="57" w:type="dxa"/>
                  </w:tcMar>
                  <w:vAlign w:val="center"/>
                </w:tcPr>
                <w:p>
                  <w:pPr>
                    <w:adjustRightInd w:val="0"/>
                    <w:snapToGrid w:val="0"/>
                    <w:spacing w:line="320" w:lineRule="exact"/>
                    <w:jc w:val="center"/>
                  </w:pPr>
                  <w:r>
                    <w:t>减振、隔声</w:t>
                  </w:r>
                </w:p>
              </w:tc>
              <w:tc>
                <w:tcPr>
                  <w:tcW w:w="3926" w:type="dxa"/>
                  <w:tcMar>
                    <w:left w:w="57" w:type="dxa"/>
                    <w:right w:w="57" w:type="dxa"/>
                  </w:tcMar>
                  <w:vAlign w:val="center"/>
                </w:tcPr>
                <w:p>
                  <w:pPr>
                    <w:widowControl/>
                    <w:spacing w:line="320" w:lineRule="exact"/>
                  </w:pPr>
                  <w:r>
                    <w:t>满足《工业企业厂界环境噪声排放标准》(GB12348-2008)中的2类标准限值要求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vMerge w:val="restart"/>
                  <w:tcMar>
                    <w:left w:w="57" w:type="dxa"/>
                    <w:right w:w="57" w:type="dxa"/>
                  </w:tcMar>
                  <w:vAlign w:val="center"/>
                </w:tcPr>
                <w:p>
                  <w:pPr>
                    <w:widowControl/>
                    <w:spacing w:line="320" w:lineRule="exact"/>
                    <w:jc w:val="center"/>
                  </w:pPr>
                  <w:r>
                    <w:t>固废</w:t>
                  </w:r>
                </w:p>
              </w:tc>
              <w:tc>
                <w:tcPr>
                  <w:tcW w:w="1570" w:type="dxa"/>
                  <w:tcMar>
                    <w:left w:w="57" w:type="dxa"/>
                    <w:right w:w="57" w:type="dxa"/>
                  </w:tcMar>
                  <w:vAlign w:val="center"/>
                </w:tcPr>
                <w:p>
                  <w:pPr>
                    <w:adjustRightInd w:val="0"/>
                    <w:snapToGrid w:val="0"/>
                    <w:spacing w:line="320" w:lineRule="exact"/>
                    <w:jc w:val="center"/>
                  </w:pPr>
                  <w:r>
                    <w:t>一般工业固废</w:t>
                  </w:r>
                </w:p>
              </w:tc>
              <w:tc>
                <w:tcPr>
                  <w:tcW w:w="2701" w:type="dxa"/>
                  <w:tcMar>
                    <w:left w:w="57" w:type="dxa"/>
                    <w:right w:w="57" w:type="dxa"/>
                  </w:tcMar>
                  <w:vAlign w:val="center"/>
                </w:tcPr>
                <w:p>
                  <w:pPr>
                    <w:adjustRightInd w:val="0"/>
                    <w:snapToGrid w:val="0"/>
                    <w:spacing w:line="320" w:lineRule="exact"/>
                    <w:jc w:val="center"/>
                  </w:pPr>
                  <w:r>
                    <w:t>分类收集</w:t>
                  </w:r>
                </w:p>
              </w:tc>
              <w:tc>
                <w:tcPr>
                  <w:tcW w:w="3926" w:type="dxa"/>
                  <w:vMerge w:val="restart"/>
                  <w:tcMar>
                    <w:left w:w="57" w:type="dxa"/>
                    <w:right w:w="57" w:type="dxa"/>
                  </w:tcMar>
                  <w:vAlign w:val="center"/>
                </w:tcPr>
                <w:p>
                  <w:pPr>
                    <w:widowControl/>
                    <w:spacing w:line="320" w:lineRule="exact"/>
                    <w:jc w:val="center"/>
                  </w:pPr>
                  <w:r>
                    <w:t>满足《一般工业固体废物贮存、处置场污染控制标准》及其修改单有关规定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vMerge w:val="continue"/>
                  <w:tcMar>
                    <w:left w:w="57" w:type="dxa"/>
                    <w:right w:w="57" w:type="dxa"/>
                  </w:tcMar>
                  <w:vAlign w:val="center"/>
                </w:tcPr>
                <w:p>
                  <w:pPr>
                    <w:widowControl/>
                    <w:spacing w:line="320" w:lineRule="exact"/>
                    <w:jc w:val="center"/>
                  </w:pPr>
                </w:p>
              </w:tc>
              <w:tc>
                <w:tcPr>
                  <w:tcW w:w="1570" w:type="dxa"/>
                  <w:tcMar>
                    <w:left w:w="57" w:type="dxa"/>
                    <w:right w:w="57" w:type="dxa"/>
                  </w:tcMar>
                  <w:vAlign w:val="center"/>
                </w:tcPr>
                <w:p>
                  <w:pPr>
                    <w:adjustRightInd w:val="0"/>
                    <w:snapToGrid w:val="0"/>
                    <w:spacing w:line="320" w:lineRule="exact"/>
                    <w:jc w:val="center"/>
                  </w:pPr>
                  <w:r>
                    <w:t>生活垃圾</w:t>
                  </w:r>
                </w:p>
              </w:tc>
              <w:tc>
                <w:tcPr>
                  <w:tcW w:w="2701" w:type="dxa"/>
                  <w:tcMar>
                    <w:left w:w="57" w:type="dxa"/>
                    <w:right w:w="57" w:type="dxa"/>
                  </w:tcMar>
                  <w:vAlign w:val="center"/>
                </w:tcPr>
                <w:p>
                  <w:pPr>
                    <w:adjustRightInd w:val="0"/>
                    <w:snapToGrid w:val="0"/>
                    <w:spacing w:line="320" w:lineRule="exact"/>
                    <w:jc w:val="center"/>
                  </w:pPr>
                  <w:bookmarkStart w:id="9" w:name="OLE_LINK5"/>
                  <w:bookmarkStart w:id="10" w:name="OLE_LINK7"/>
                  <w:r>
                    <w:t>送往维修基地生活垃圾暂存区，</w:t>
                  </w:r>
                  <w:bookmarkEnd w:id="9"/>
                  <w:bookmarkEnd w:id="10"/>
                  <w:r>
                    <w:t>统一交由环卫部门处置。</w:t>
                  </w:r>
                </w:p>
              </w:tc>
              <w:tc>
                <w:tcPr>
                  <w:tcW w:w="3926" w:type="dxa"/>
                  <w:vMerge w:val="continue"/>
                  <w:tcMar>
                    <w:left w:w="57" w:type="dxa"/>
                    <w:right w:w="57" w:type="dxa"/>
                  </w:tcMar>
                  <w:vAlign w:val="center"/>
                </w:tcPr>
                <w:p>
                  <w:pPr>
                    <w:widowControl/>
                    <w:spacing w:line="320" w:lineRule="exact"/>
                    <w:jc w:val="cente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581" w:type="dxa"/>
                  <w:vMerge w:val="continue"/>
                  <w:tcMar>
                    <w:left w:w="57" w:type="dxa"/>
                    <w:right w:w="57" w:type="dxa"/>
                  </w:tcMar>
                  <w:vAlign w:val="center"/>
                </w:tcPr>
                <w:p>
                  <w:pPr>
                    <w:widowControl/>
                    <w:spacing w:line="320" w:lineRule="exact"/>
                    <w:jc w:val="center"/>
                  </w:pPr>
                </w:p>
              </w:tc>
              <w:tc>
                <w:tcPr>
                  <w:tcW w:w="1570" w:type="dxa"/>
                  <w:tcMar>
                    <w:left w:w="57" w:type="dxa"/>
                    <w:right w:w="57" w:type="dxa"/>
                  </w:tcMar>
                  <w:vAlign w:val="center"/>
                </w:tcPr>
                <w:p>
                  <w:pPr>
                    <w:adjustRightInd w:val="0"/>
                    <w:snapToGrid w:val="0"/>
                    <w:spacing w:line="320" w:lineRule="exact"/>
                    <w:jc w:val="center"/>
                  </w:pPr>
                  <w:r>
                    <w:t>危险废物</w:t>
                  </w:r>
                </w:p>
              </w:tc>
              <w:tc>
                <w:tcPr>
                  <w:tcW w:w="2701" w:type="dxa"/>
                  <w:tcMar>
                    <w:left w:w="57" w:type="dxa"/>
                    <w:right w:w="57" w:type="dxa"/>
                  </w:tcMar>
                  <w:vAlign w:val="center"/>
                </w:tcPr>
                <w:p>
                  <w:pPr>
                    <w:adjustRightInd w:val="0"/>
                    <w:snapToGrid w:val="0"/>
                    <w:spacing w:line="320" w:lineRule="exact"/>
                    <w:jc w:val="center"/>
                  </w:pPr>
                  <w:r>
                    <w:t>由维修基地危废暂存间暂存后，交由有资质单位处理</w:t>
                  </w:r>
                </w:p>
              </w:tc>
              <w:tc>
                <w:tcPr>
                  <w:tcW w:w="3926" w:type="dxa"/>
                  <w:tcMar>
                    <w:left w:w="57" w:type="dxa"/>
                    <w:right w:w="57" w:type="dxa"/>
                  </w:tcMar>
                  <w:vAlign w:val="center"/>
                </w:tcPr>
                <w:p>
                  <w:pPr>
                    <w:widowControl/>
                    <w:spacing w:line="320" w:lineRule="exact"/>
                    <w:jc w:val="center"/>
                  </w:pPr>
                  <w:r>
                    <w:t>满足《危险废物贮存污染控制标准》（GB18597-2001）及其修改单中相关规定</w:t>
                  </w:r>
                </w:p>
              </w:tc>
            </w:tr>
          </w:tbl>
          <w:p>
            <w:pPr>
              <w:spacing w:line="520" w:lineRule="exact"/>
              <w:ind w:left="480"/>
              <w:rPr>
                <w:b/>
                <w:sz w:val="24"/>
                <w:szCs w:val="24"/>
              </w:rPr>
            </w:pPr>
            <w:r>
              <w:rPr>
                <w:b/>
                <w:sz w:val="24"/>
                <w:szCs w:val="24"/>
              </w:rPr>
              <w:t>三、</w:t>
            </w:r>
            <w:r>
              <w:rPr>
                <w:b/>
                <w:sz w:val="24"/>
                <w:szCs w:val="24"/>
                <w:lang w:val="en-GB"/>
              </w:rPr>
              <w:t>现有工程存在的主要环境问题及整改措施</w:t>
            </w:r>
          </w:p>
          <w:p>
            <w:pPr>
              <w:pStyle w:val="5"/>
              <w:spacing w:line="520" w:lineRule="exact"/>
              <w:ind w:firstLine="480" w:firstLineChars="200"/>
              <w:rPr>
                <w:sz w:val="24"/>
                <w:szCs w:val="24"/>
                <w:lang w:val="en-GB"/>
              </w:rPr>
            </w:pPr>
            <w:r>
              <w:rPr>
                <w:sz w:val="24"/>
                <w:szCs w:val="24"/>
                <w:lang w:val="en-GB"/>
              </w:rPr>
              <w:t>经现场踏勘，现有项目</w:t>
            </w:r>
            <w:r>
              <w:rPr>
                <w:sz w:val="24"/>
                <w:szCs w:val="24"/>
              </w:rPr>
              <w:t>目前采取了较好的环保设施，但仍存在部分环保问题：</w:t>
            </w:r>
          </w:p>
          <w:p>
            <w:pPr>
              <w:pStyle w:val="9"/>
              <w:numPr>
                <w:ilvl w:val="0"/>
                <w:numId w:val="1"/>
              </w:numPr>
              <w:adjustRightInd w:val="0"/>
              <w:snapToGrid w:val="0"/>
              <w:spacing w:line="520" w:lineRule="exact"/>
              <w:ind w:firstLine="480"/>
              <w:rPr>
                <w:sz w:val="24"/>
                <w:szCs w:val="24"/>
              </w:rPr>
            </w:pPr>
            <w:r>
              <w:rPr>
                <w:sz w:val="24"/>
                <w:szCs w:val="24"/>
              </w:rPr>
              <w:t>项目排气筒高度不够15m，要求按规定排气筒加高至15m。</w:t>
            </w:r>
          </w:p>
          <w:p>
            <w:pPr>
              <w:tabs>
                <w:tab w:val="left" w:pos="1440"/>
                <w:tab w:val="left" w:pos="1800"/>
              </w:tabs>
              <w:adjustRightInd w:val="0"/>
              <w:snapToGrid w:val="0"/>
              <w:spacing w:line="520" w:lineRule="exact"/>
              <w:ind w:firstLine="480" w:firstLineChars="200"/>
              <w:rPr>
                <w:sz w:val="24"/>
                <w:szCs w:val="24"/>
              </w:rPr>
            </w:pPr>
            <w:r>
              <w:rPr>
                <w:sz w:val="24"/>
                <w:szCs w:val="24"/>
              </w:rPr>
              <w:t>（2）危废暂存间地面仅用混凝土硬化，无其他防渗措施；未设置托盘及相关标识等。</w:t>
            </w:r>
          </w:p>
          <w:p>
            <w:pPr>
              <w:pStyle w:val="9"/>
              <w:adjustRightInd w:val="0"/>
              <w:snapToGrid w:val="0"/>
              <w:spacing w:line="520" w:lineRule="exact"/>
              <w:ind w:firstLine="480" w:firstLineChars="200"/>
              <w:rPr>
                <w:sz w:val="24"/>
                <w:szCs w:val="24"/>
              </w:rPr>
            </w:pPr>
            <w:r>
              <w:rPr>
                <w:sz w:val="24"/>
                <w:szCs w:val="24"/>
              </w:rPr>
              <w:t>评价要求，建设单位应将此整改措施纳入本项目，于本项目建设完成前一并整改完成。</w:t>
            </w:r>
          </w:p>
          <w:p>
            <w:pPr>
              <w:spacing w:line="520" w:lineRule="exact"/>
              <w:ind w:left="480"/>
              <w:rPr>
                <w:b/>
                <w:sz w:val="24"/>
                <w:szCs w:val="24"/>
              </w:rPr>
            </w:pPr>
            <w:r>
              <w:rPr>
                <w:b/>
                <w:sz w:val="24"/>
                <w:szCs w:val="24"/>
              </w:rPr>
              <w:t>四、现有工程污染排放汇总</w:t>
            </w:r>
          </w:p>
          <w:p>
            <w:pPr>
              <w:adjustRightInd w:val="0"/>
              <w:snapToGrid w:val="0"/>
              <w:spacing w:line="520" w:lineRule="exact"/>
              <w:ind w:firstLine="480" w:firstLineChars="200"/>
              <w:rPr>
                <w:sz w:val="24"/>
                <w:szCs w:val="24"/>
              </w:rPr>
            </w:pPr>
            <w:r>
              <w:rPr>
                <w:sz w:val="24"/>
                <w:szCs w:val="24"/>
                <w:lang w:val="en-GB"/>
              </w:rPr>
              <w:t>现有工程污染物排放清单见表</w:t>
            </w:r>
            <w:r>
              <w:rPr>
                <w:sz w:val="24"/>
                <w:szCs w:val="24"/>
              </w:rPr>
              <w:t xml:space="preserve">11。 </w:t>
            </w:r>
          </w:p>
          <w:p>
            <w:pPr>
              <w:pStyle w:val="92"/>
              <w:jc w:val="center"/>
              <w:rPr>
                <w:rFonts w:ascii="Times New Roman" w:hAnsi="Times New Roman" w:cs="Times New Roman"/>
                <w:b/>
              </w:rPr>
            </w:pPr>
            <w:r>
              <w:rPr>
                <w:rFonts w:ascii="Times New Roman" w:hAnsi="Times New Roman" w:cs="Times New Roman"/>
                <w:b/>
              </w:rPr>
              <w:t>表11   现有工程污染物排放清单</w:t>
            </w:r>
          </w:p>
          <w:tbl>
            <w:tblPr>
              <w:tblStyle w:val="38"/>
              <w:tblW w:w="877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02"/>
              <w:gridCol w:w="426"/>
              <w:gridCol w:w="2537"/>
              <w:gridCol w:w="1484"/>
              <w:gridCol w:w="25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pStyle w:val="5"/>
                    <w:spacing w:line="320" w:lineRule="exact"/>
                    <w:jc w:val="center"/>
                    <w:rPr>
                      <w:sz w:val="21"/>
                      <w:szCs w:val="21"/>
                    </w:rPr>
                  </w:pPr>
                  <w:r>
                    <w:rPr>
                      <w:sz w:val="21"/>
                      <w:szCs w:val="21"/>
                    </w:rPr>
                    <w:t>类型</w:t>
                  </w:r>
                </w:p>
              </w:tc>
              <w:tc>
                <w:tcPr>
                  <w:tcW w:w="1528" w:type="dxa"/>
                  <w:gridSpan w:val="2"/>
                  <w:vAlign w:val="center"/>
                </w:tcPr>
                <w:p>
                  <w:pPr>
                    <w:spacing w:line="320" w:lineRule="exact"/>
                    <w:jc w:val="center"/>
                  </w:pPr>
                  <w:r>
                    <w:t>排放源</w:t>
                  </w:r>
                </w:p>
              </w:tc>
              <w:tc>
                <w:tcPr>
                  <w:tcW w:w="2537" w:type="dxa"/>
                  <w:vAlign w:val="center"/>
                </w:tcPr>
                <w:p>
                  <w:pPr>
                    <w:spacing w:line="320" w:lineRule="exact"/>
                    <w:jc w:val="center"/>
                  </w:pPr>
                  <w:r>
                    <w:t>污染物名称</w:t>
                  </w:r>
                </w:p>
              </w:tc>
              <w:tc>
                <w:tcPr>
                  <w:tcW w:w="1484" w:type="dxa"/>
                  <w:vAlign w:val="center"/>
                </w:tcPr>
                <w:p>
                  <w:pPr>
                    <w:spacing w:line="320" w:lineRule="exact"/>
                    <w:jc w:val="center"/>
                  </w:pPr>
                  <w:r>
                    <w:t>处理前产生量</w:t>
                  </w:r>
                  <w:r>
                    <w:rPr>
                      <w:lang w:val="zh-CN"/>
                    </w:rPr>
                    <w:t>t/a</w:t>
                  </w:r>
                </w:p>
              </w:tc>
              <w:tc>
                <w:tcPr>
                  <w:tcW w:w="2525" w:type="dxa"/>
                  <w:vAlign w:val="center"/>
                </w:tcPr>
                <w:p>
                  <w:pPr>
                    <w:spacing w:line="320" w:lineRule="exact"/>
                    <w:ind w:firstLine="241"/>
                    <w:jc w:val="center"/>
                  </w:pPr>
                  <w:r>
                    <w:t>处理后排放量</w:t>
                  </w:r>
                  <w:r>
                    <w:rPr>
                      <w:lang w:val="zh-CN"/>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restart"/>
                  <w:vAlign w:val="center"/>
                </w:tcPr>
                <w:p>
                  <w:pPr>
                    <w:pStyle w:val="5"/>
                    <w:spacing w:line="320" w:lineRule="exact"/>
                    <w:jc w:val="center"/>
                    <w:rPr>
                      <w:sz w:val="21"/>
                      <w:szCs w:val="21"/>
                    </w:rPr>
                  </w:pPr>
                  <w:r>
                    <w:rPr>
                      <w:sz w:val="21"/>
                      <w:szCs w:val="21"/>
                    </w:rPr>
                    <w:t>废气</w:t>
                  </w:r>
                </w:p>
              </w:tc>
              <w:tc>
                <w:tcPr>
                  <w:tcW w:w="1528" w:type="dxa"/>
                  <w:gridSpan w:val="2"/>
                  <w:vAlign w:val="center"/>
                </w:tcPr>
                <w:p>
                  <w:pPr>
                    <w:spacing w:line="320" w:lineRule="exact"/>
                    <w:jc w:val="center"/>
                  </w:pPr>
                  <w:r>
                    <w:t>打磨粉尘</w:t>
                  </w:r>
                </w:p>
              </w:tc>
              <w:tc>
                <w:tcPr>
                  <w:tcW w:w="2537" w:type="dxa"/>
                  <w:vAlign w:val="center"/>
                </w:tcPr>
                <w:p>
                  <w:pPr>
                    <w:spacing w:line="320" w:lineRule="exact"/>
                    <w:jc w:val="center"/>
                  </w:pPr>
                  <w:r>
                    <w:t>粉尘</w:t>
                  </w:r>
                </w:p>
              </w:tc>
              <w:tc>
                <w:tcPr>
                  <w:tcW w:w="1484" w:type="dxa"/>
                  <w:vAlign w:val="center"/>
                </w:tcPr>
                <w:p>
                  <w:pPr>
                    <w:spacing w:line="320" w:lineRule="exact"/>
                    <w:ind w:firstLine="105" w:firstLineChars="50"/>
                    <w:jc w:val="center"/>
                  </w:pPr>
                  <w:r>
                    <w:t>1.68</w:t>
                  </w:r>
                </w:p>
              </w:tc>
              <w:tc>
                <w:tcPr>
                  <w:tcW w:w="2525" w:type="dxa"/>
                  <w:vAlign w:val="center"/>
                </w:tcPr>
                <w:p>
                  <w:pPr>
                    <w:spacing w:line="320" w:lineRule="exact"/>
                    <w:ind w:firstLine="240"/>
                    <w:jc w:val="center"/>
                  </w:pPr>
                  <w:r>
                    <w:t>0.168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restart"/>
                  <w:tcBorders>
                    <w:right w:val="single" w:color="000000" w:sz="4" w:space="0"/>
                  </w:tcBorders>
                  <w:vAlign w:val="center"/>
                </w:tcPr>
                <w:p>
                  <w:pPr>
                    <w:spacing w:line="320" w:lineRule="exact"/>
                    <w:jc w:val="center"/>
                  </w:pPr>
                  <w:r>
                    <w:t>喷漆废气</w:t>
                  </w:r>
                </w:p>
              </w:tc>
              <w:tc>
                <w:tcPr>
                  <w:tcW w:w="426" w:type="dxa"/>
                  <w:vMerge w:val="restart"/>
                  <w:vAlign w:val="center"/>
                </w:tcPr>
                <w:p>
                  <w:pPr>
                    <w:spacing w:line="320" w:lineRule="exact"/>
                    <w:jc w:val="center"/>
                  </w:pPr>
                  <w:r>
                    <w:t>喷漆工序</w:t>
                  </w:r>
                </w:p>
              </w:tc>
              <w:tc>
                <w:tcPr>
                  <w:tcW w:w="2537" w:type="dxa"/>
                  <w:vAlign w:val="center"/>
                </w:tcPr>
                <w:p>
                  <w:pPr>
                    <w:spacing w:line="320" w:lineRule="exact"/>
                    <w:jc w:val="center"/>
                  </w:pPr>
                  <w:r>
                    <w:t>漆雾</w:t>
                  </w:r>
                </w:p>
              </w:tc>
              <w:tc>
                <w:tcPr>
                  <w:tcW w:w="1484" w:type="dxa"/>
                  <w:vAlign w:val="center"/>
                </w:tcPr>
                <w:p>
                  <w:pPr>
                    <w:spacing w:line="320" w:lineRule="exact"/>
                    <w:ind w:firstLine="105" w:firstLineChars="50"/>
                    <w:jc w:val="center"/>
                  </w:pPr>
                  <w:r>
                    <w:t>1.44</w:t>
                  </w:r>
                </w:p>
              </w:tc>
              <w:tc>
                <w:tcPr>
                  <w:tcW w:w="2525" w:type="dxa"/>
                  <w:vAlign w:val="center"/>
                </w:tcPr>
                <w:p>
                  <w:pPr>
                    <w:spacing w:line="320" w:lineRule="exact"/>
                    <w:ind w:firstLine="240"/>
                    <w:jc w:val="center"/>
                  </w:pPr>
                  <w:r>
                    <w:t>1.368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非甲烷总烃</w:t>
                  </w:r>
                </w:p>
              </w:tc>
              <w:tc>
                <w:tcPr>
                  <w:tcW w:w="1484" w:type="dxa"/>
                  <w:vAlign w:val="center"/>
                </w:tcPr>
                <w:p>
                  <w:pPr>
                    <w:spacing w:line="320" w:lineRule="exact"/>
                    <w:ind w:firstLine="105" w:firstLineChars="50"/>
                    <w:jc w:val="center"/>
                  </w:pPr>
                  <w:r>
                    <w:t>2.736</w:t>
                  </w:r>
                </w:p>
              </w:tc>
              <w:tc>
                <w:tcPr>
                  <w:tcW w:w="2525" w:type="dxa"/>
                  <w:vAlign w:val="center"/>
                </w:tcPr>
                <w:p>
                  <w:pPr>
                    <w:spacing w:line="320" w:lineRule="exact"/>
                    <w:ind w:firstLine="240"/>
                    <w:jc w:val="center"/>
                  </w:pPr>
                  <w:r>
                    <w:t>2.5992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甲苯</w:t>
                  </w:r>
                </w:p>
              </w:tc>
              <w:tc>
                <w:tcPr>
                  <w:tcW w:w="1484" w:type="dxa"/>
                  <w:vAlign w:val="center"/>
                </w:tcPr>
                <w:p>
                  <w:pPr>
                    <w:spacing w:line="320" w:lineRule="exact"/>
                    <w:ind w:firstLine="105" w:firstLineChars="50"/>
                    <w:jc w:val="center"/>
                  </w:pPr>
                  <w:r>
                    <w:t>0.0048</w:t>
                  </w:r>
                </w:p>
              </w:tc>
              <w:tc>
                <w:tcPr>
                  <w:tcW w:w="2525" w:type="dxa"/>
                  <w:vAlign w:val="center"/>
                </w:tcPr>
                <w:p>
                  <w:pPr>
                    <w:spacing w:line="320" w:lineRule="exact"/>
                    <w:ind w:firstLine="240"/>
                    <w:jc w:val="center"/>
                  </w:pPr>
                  <w:r>
                    <w:t>0.0046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二甲苯</w:t>
                  </w:r>
                </w:p>
              </w:tc>
              <w:tc>
                <w:tcPr>
                  <w:tcW w:w="1484" w:type="dxa"/>
                  <w:vAlign w:val="center"/>
                </w:tcPr>
                <w:p>
                  <w:pPr>
                    <w:spacing w:line="320" w:lineRule="exact"/>
                    <w:ind w:firstLine="105" w:firstLineChars="50"/>
                    <w:jc w:val="center"/>
                  </w:pPr>
                  <w:r>
                    <w:t>0.1554</w:t>
                  </w:r>
                </w:p>
              </w:tc>
              <w:tc>
                <w:tcPr>
                  <w:tcW w:w="2525" w:type="dxa"/>
                  <w:vAlign w:val="center"/>
                </w:tcPr>
                <w:p>
                  <w:pPr>
                    <w:spacing w:line="320" w:lineRule="exact"/>
                    <w:ind w:firstLine="240"/>
                    <w:jc w:val="center"/>
                  </w:pPr>
                  <w:r>
                    <w:t>0.1476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乙苯</w:t>
                  </w:r>
                </w:p>
              </w:tc>
              <w:tc>
                <w:tcPr>
                  <w:tcW w:w="1484" w:type="dxa"/>
                  <w:vAlign w:val="center"/>
                </w:tcPr>
                <w:p>
                  <w:pPr>
                    <w:spacing w:line="320" w:lineRule="exact"/>
                    <w:ind w:firstLine="105" w:firstLineChars="50"/>
                    <w:jc w:val="center"/>
                  </w:pPr>
                  <w:r>
                    <w:t>0.0726</w:t>
                  </w:r>
                </w:p>
              </w:tc>
              <w:tc>
                <w:tcPr>
                  <w:tcW w:w="2525" w:type="dxa"/>
                  <w:vAlign w:val="center"/>
                </w:tcPr>
                <w:p>
                  <w:pPr>
                    <w:spacing w:line="320" w:lineRule="exact"/>
                    <w:ind w:firstLine="240"/>
                    <w:jc w:val="center"/>
                  </w:pPr>
                  <w:r>
                    <w:t>0.0689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restart"/>
                  <w:vAlign w:val="center"/>
                </w:tcPr>
                <w:p>
                  <w:pPr>
                    <w:spacing w:line="320" w:lineRule="exact"/>
                    <w:jc w:val="center"/>
                  </w:pPr>
                  <w:r>
                    <w:t>烘干工序</w:t>
                  </w:r>
                </w:p>
              </w:tc>
              <w:tc>
                <w:tcPr>
                  <w:tcW w:w="2537" w:type="dxa"/>
                  <w:vAlign w:val="center"/>
                </w:tcPr>
                <w:p>
                  <w:pPr>
                    <w:spacing w:line="320" w:lineRule="exact"/>
                    <w:jc w:val="center"/>
                  </w:pPr>
                  <w:r>
                    <w:t>非甲烷总烃</w:t>
                  </w:r>
                </w:p>
              </w:tc>
              <w:tc>
                <w:tcPr>
                  <w:tcW w:w="1484" w:type="dxa"/>
                  <w:vAlign w:val="center"/>
                </w:tcPr>
                <w:p>
                  <w:pPr>
                    <w:spacing w:line="320" w:lineRule="exact"/>
                    <w:ind w:firstLine="105" w:firstLineChars="50"/>
                    <w:jc w:val="center"/>
                  </w:pPr>
                  <w:r>
                    <w:t>1.824</w:t>
                  </w:r>
                </w:p>
              </w:tc>
              <w:tc>
                <w:tcPr>
                  <w:tcW w:w="2525" w:type="dxa"/>
                  <w:vAlign w:val="center"/>
                </w:tcPr>
                <w:p>
                  <w:pPr>
                    <w:spacing w:line="320" w:lineRule="exact"/>
                    <w:ind w:firstLine="240"/>
                    <w:jc w:val="center"/>
                  </w:pPr>
                  <w:r>
                    <w:t>1.7328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甲苯</w:t>
                  </w:r>
                </w:p>
              </w:tc>
              <w:tc>
                <w:tcPr>
                  <w:tcW w:w="1484" w:type="dxa"/>
                  <w:vAlign w:val="center"/>
                </w:tcPr>
                <w:p>
                  <w:pPr>
                    <w:spacing w:line="320" w:lineRule="exact"/>
                    <w:ind w:firstLine="105" w:firstLineChars="50"/>
                    <w:jc w:val="center"/>
                  </w:pPr>
                  <w:r>
                    <w:t>0.0032</w:t>
                  </w:r>
                </w:p>
              </w:tc>
              <w:tc>
                <w:tcPr>
                  <w:tcW w:w="2525" w:type="dxa"/>
                  <w:vAlign w:val="center"/>
                </w:tcPr>
                <w:p>
                  <w:pPr>
                    <w:spacing w:line="320" w:lineRule="exact"/>
                    <w:ind w:firstLine="240"/>
                    <w:jc w:val="center"/>
                  </w:pPr>
                  <w: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二甲苯</w:t>
                  </w:r>
                </w:p>
              </w:tc>
              <w:tc>
                <w:tcPr>
                  <w:tcW w:w="1484" w:type="dxa"/>
                  <w:vAlign w:val="center"/>
                </w:tcPr>
                <w:p>
                  <w:pPr>
                    <w:spacing w:line="320" w:lineRule="exact"/>
                    <w:ind w:firstLine="105" w:firstLineChars="50"/>
                    <w:jc w:val="center"/>
                  </w:pPr>
                  <w:r>
                    <w:t>0.1036</w:t>
                  </w:r>
                </w:p>
              </w:tc>
              <w:tc>
                <w:tcPr>
                  <w:tcW w:w="2525" w:type="dxa"/>
                  <w:vAlign w:val="center"/>
                </w:tcPr>
                <w:p>
                  <w:pPr>
                    <w:spacing w:line="320" w:lineRule="exact"/>
                    <w:ind w:firstLine="240"/>
                    <w:jc w:val="center"/>
                  </w:pPr>
                  <w:r>
                    <w:t>0.0984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102" w:type="dxa"/>
                  <w:vMerge w:val="continue"/>
                  <w:tcBorders>
                    <w:right w:val="single" w:color="000000" w:sz="4" w:space="0"/>
                  </w:tcBorders>
                  <w:vAlign w:val="center"/>
                </w:tcPr>
                <w:p>
                  <w:pPr>
                    <w:spacing w:line="320" w:lineRule="exact"/>
                    <w:jc w:val="center"/>
                  </w:pPr>
                </w:p>
              </w:tc>
              <w:tc>
                <w:tcPr>
                  <w:tcW w:w="426" w:type="dxa"/>
                  <w:vMerge w:val="continue"/>
                  <w:vAlign w:val="center"/>
                </w:tcPr>
                <w:p>
                  <w:pPr>
                    <w:spacing w:line="320" w:lineRule="exact"/>
                    <w:jc w:val="center"/>
                  </w:pPr>
                </w:p>
              </w:tc>
              <w:tc>
                <w:tcPr>
                  <w:tcW w:w="2537" w:type="dxa"/>
                  <w:vAlign w:val="center"/>
                </w:tcPr>
                <w:p>
                  <w:pPr>
                    <w:spacing w:line="320" w:lineRule="exact"/>
                    <w:jc w:val="center"/>
                  </w:pPr>
                  <w:r>
                    <w:t>乙苯</w:t>
                  </w:r>
                </w:p>
              </w:tc>
              <w:tc>
                <w:tcPr>
                  <w:tcW w:w="1484" w:type="dxa"/>
                  <w:vAlign w:val="center"/>
                </w:tcPr>
                <w:p>
                  <w:pPr>
                    <w:spacing w:line="320" w:lineRule="exact"/>
                    <w:ind w:firstLine="105" w:firstLineChars="50"/>
                    <w:jc w:val="center"/>
                  </w:pPr>
                  <w:r>
                    <w:t>0.0484</w:t>
                  </w:r>
                </w:p>
              </w:tc>
              <w:tc>
                <w:tcPr>
                  <w:tcW w:w="2525" w:type="dxa"/>
                  <w:vAlign w:val="center"/>
                </w:tcPr>
                <w:p>
                  <w:pPr>
                    <w:spacing w:line="320" w:lineRule="exact"/>
                    <w:ind w:firstLine="240"/>
                    <w:jc w:val="center"/>
                  </w:pPr>
                  <w:r>
                    <w:t>0.0459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restart"/>
                  <w:vAlign w:val="center"/>
                </w:tcPr>
                <w:p>
                  <w:pPr>
                    <w:pStyle w:val="5"/>
                    <w:spacing w:line="320" w:lineRule="exact"/>
                    <w:jc w:val="center"/>
                    <w:rPr>
                      <w:sz w:val="21"/>
                      <w:szCs w:val="21"/>
                    </w:rPr>
                  </w:pPr>
                  <w:r>
                    <w:rPr>
                      <w:sz w:val="21"/>
                      <w:szCs w:val="21"/>
                    </w:rPr>
                    <w:t>废水</w:t>
                  </w:r>
                </w:p>
              </w:tc>
              <w:tc>
                <w:tcPr>
                  <w:tcW w:w="1528" w:type="dxa"/>
                  <w:gridSpan w:val="2"/>
                  <w:vAlign w:val="center"/>
                </w:tcPr>
                <w:p>
                  <w:pPr>
                    <w:spacing w:line="320" w:lineRule="exact"/>
                    <w:jc w:val="center"/>
                  </w:pPr>
                  <w:r>
                    <w:t>生产废水</w:t>
                  </w:r>
                </w:p>
              </w:tc>
              <w:tc>
                <w:tcPr>
                  <w:tcW w:w="2537" w:type="dxa"/>
                  <w:vAlign w:val="center"/>
                </w:tcPr>
                <w:p>
                  <w:pPr>
                    <w:spacing w:line="320" w:lineRule="exact"/>
                    <w:jc w:val="center"/>
                  </w:pPr>
                  <w:r>
                    <w:t>COD、BOD5、SS、石油类、LAS</w:t>
                  </w:r>
                </w:p>
              </w:tc>
              <w:tc>
                <w:tcPr>
                  <w:tcW w:w="1484" w:type="dxa"/>
                  <w:vAlign w:val="center"/>
                </w:tcPr>
                <w:p>
                  <w:pPr>
                    <w:spacing w:line="320" w:lineRule="exact"/>
                    <w:ind w:firstLine="105" w:firstLineChars="50"/>
                    <w:jc w:val="center"/>
                  </w:pPr>
                  <w:r>
                    <w:rPr>
                      <w:rFonts w:hint="eastAsia"/>
                    </w:rPr>
                    <w:t>32.4</w:t>
                  </w:r>
                  <w:r>
                    <w:t>m</w:t>
                  </w:r>
                  <w:r>
                    <w:rPr>
                      <w:vertAlign w:val="superscript"/>
                    </w:rPr>
                    <w:t>3</w:t>
                  </w:r>
                  <w:r>
                    <w:t>/a</w:t>
                  </w:r>
                </w:p>
              </w:tc>
              <w:tc>
                <w:tcPr>
                  <w:tcW w:w="2525" w:type="dxa"/>
                  <w:vAlign w:val="center"/>
                </w:tcPr>
                <w:p>
                  <w:pPr>
                    <w:spacing w:line="320" w:lineRule="exact"/>
                    <w:jc w:val="center"/>
                  </w:pPr>
                  <w:r>
                    <w:t>经过滤棉过滤后通过管网排至咸阳机场污水处理厂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生活污水</w:t>
                  </w:r>
                </w:p>
              </w:tc>
              <w:tc>
                <w:tcPr>
                  <w:tcW w:w="2537" w:type="dxa"/>
                  <w:vAlign w:val="center"/>
                </w:tcPr>
                <w:p>
                  <w:pPr>
                    <w:spacing w:line="320" w:lineRule="exact"/>
                    <w:jc w:val="center"/>
                  </w:pPr>
                  <w:r>
                    <w:t>COD、BOD5、SS、NH3-N等</w:t>
                  </w:r>
                </w:p>
              </w:tc>
              <w:tc>
                <w:tcPr>
                  <w:tcW w:w="1484" w:type="dxa"/>
                  <w:vAlign w:val="center"/>
                </w:tcPr>
                <w:p>
                  <w:pPr>
                    <w:spacing w:line="320" w:lineRule="exact"/>
                    <w:ind w:firstLine="105" w:firstLineChars="50"/>
                    <w:jc w:val="center"/>
                  </w:pPr>
                  <w:r>
                    <w:t>573.78m</w:t>
                  </w:r>
                  <w:r>
                    <w:rPr>
                      <w:vertAlign w:val="superscript"/>
                    </w:rPr>
                    <w:t>3</w:t>
                  </w:r>
                  <w:r>
                    <w:t>/a</w:t>
                  </w:r>
                </w:p>
              </w:tc>
              <w:tc>
                <w:tcPr>
                  <w:tcW w:w="2525" w:type="dxa"/>
                  <w:vAlign w:val="center"/>
                </w:tcPr>
                <w:p>
                  <w:pPr>
                    <w:spacing w:line="320" w:lineRule="exact"/>
                    <w:jc w:val="center"/>
                  </w:pPr>
                  <w:r>
                    <w:t>经化粪池预处理后，进入咸阳机场污水处理厂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restart"/>
                  <w:vAlign w:val="center"/>
                </w:tcPr>
                <w:p>
                  <w:pPr>
                    <w:pStyle w:val="5"/>
                    <w:spacing w:line="320" w:lineRule="exact"/>
                    <w:jc w:val="center"/>
                    <w:rPr>
                      <w:sz w:val="21"/>
                      <w:szCs w:val="21"/>
                    </w:rPr>
                  </w:pPr>
                  <w:r>
                    <w:rPr>
                      <w:sz w:val="21"/>
                      <w:szCs w:val="21"/>
                    </w:rPr>
                    <w:t>固废</w:t>
                  </w:r>
                </w:p>
              </w:tc>
              <w:tc>
                <w:tcPr>
                  <w:tcW w:w="1528" w:type="dxa"/>
                  <w:gridSpan w:val="2"/>
                  <w:vAlign w:val="center"/>
                </w:tcPr>
                <w:p>
                  <w:pPr>
                    <w:spacing w:line="320" w:lineRule="exact"/>
                    <w:jc w:val="center"/>
                  </w:pPr>
                  <w:r>
                    <w:t>维修工序</w:t>
                  </w:r>
                </w:p>
              </w:tc>
              <w:tc>
                <w:tcPr>
                  <w:tcW w:w="2537" w:type="dxa"/>
                  <w:vAlign w:val="center"/>
                </w:tcPr>
                <w:p>
                  <w:pPr>
                    <w:spacing w:line="320" w:lineRule="exact"/>
                    <w:jc w:val="center"/>
                  </w:pPr>
                  <w:r>
                    <w:t>废旧零部件</w:t>
                  </w:r>
                </w:p>
              </w:tc>
              <w:tc>
                <w:tcPr>
                  <w:tcW w:w="1484" w:type="dxa"/>
                  <w:vAlign w:val="center"/>
                </w:tcPr>
                <w:p>
                  <w:pPr>
                    <w:spacing w:line="320" w:lineRule="exact"/>
                    <w:ind w:firstLine="240"/>
                    <w:jc w:val="center"/>
                  </w:pPr>
                  <w:r>
                    <w:t>1</w:t>
                  </w:r>
                </w:p>
              </w:tc>
              <w:tc>
                <w:tcPr>
                  <w:tcW w:w="2525" w:type="dxa"/>
                  <w:vMerge w:val="restart"/>
                  <w:vAlign w:val="center"/>
                </w:tcPr>
                <w:p>
                  <w:pPr>
                    <w:spacing w:line="320" w:lineRule="exact"/>
                    <w:jc w:val="center"/>
                  </w:pPr>
                  <w:r>
                    <w:t>收集后统一外售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维修工序</w:t>
                  </w:r>
                </w:p>
              </w:tc>
              <w:tc>
                <w:tcPr>
                  <w:tcW w:w="2537" w:type="dxa"/>
                  <w:vAlign w:val="center"/>
                </w:tcPr>
                <w:p>
                  <w:pPr>
                    <w:spacing w:line="320" w:lineRule="exact"/>
                    <w:jc w:val="center"/>
                  </w:pPr>
                  <w:r>
                    <w:t>废旧包装盒</w:t>
                  </w:r>
                </w:p>
              </w:tc>
              <w:tc>
                <w:tcPr>
                  <w:tcW w:w="1484" w:type="dxa"/>
                  <w:vAlign w:val="center"/>
                </w:tcPr>
                <w:p>
                  <w:pPr>
                    <w:spacing w:line="320" w:lineRule="exact"/>
                    <w:ind w:firstLine="240"/>
                    <w:jc w:val="center"/>
                  </w:pPr>
                  <w:r>
                    <w:t>0.2</w:t>
                  </w:r>
                </w:p>
              </w:tc>
              <w:tc>
                <w:tcPr>
                  <w:tcW w:w="2525"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职工生活</w:t>
                  </w:r>
                </w:p>
              </w:tc>
              <w:tc>
                <w:tcPr>
                  <w:tcW w:w="2537" w:type="dxa"/>
                  <w:vAlign w:val="center"/>
                </w:tcPr>
                <w:p>
                  <w:pPr>
                    <w:spacing w:line="320" w:lineRule="exact"/>
                    <w:jc w:val="center"/>
                  </w:pPr>
                  <w:r>
                    <w:t>生活垃圾</w:t>
                  </w:r>
                </w:p>
              </w:tc>
              <w:tc>
                <w:tcPr>
                  <w:tcW w:w="1484" w:type="dxa"/>
                  <w:vAlign w:val="center"/>
                </w:tcPr>
                <w:p>
                  <w:pPr>
                    <w:spacing w:line="320" w:lineRule="exact"/>
                    <w:ind w:firstLine="240"/>
                    <w:jc w:val="center"/>
                  </w:pPr>
                  <w:r>
                    <w:t>9.855</w:t>
                  </w:r>
                </w:p>
              </w:tc>
              <w:tc>
                <w:tcPr>
                  <w:tcW w:w="2525" w:type="dxa"/>
                  <w:vAlign w:val="center"/>
                </w:tcPr>
                <w:p>
                  <w:pPr>
                    <w:spacing w:line="320" w:lineRule="exact"/>
                    <w:ind w:firstLine="240"/>
                    <w:jc w:val="center"/>
                  </w:pPr>
                  <w:r>
                    <w:t>环卫部门清运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喷漆工序</w:t>
                  </w:r>
                </w:p>
              </w:tc>
              <w:tc>
                <w:tcPr>
                  <w:tcW w:w="2537" w:type="dxa"/>
                  <w:vAlign w:val="center"/>
                </w:tcPr>
                <w:p>
                  <w:pPr>
                    <w:spacing w:line="320" w:lineRule="exact"/>
                    <w:jc w:val="center"/>
                  </w:pPr>
                  <w:r>
                    <w:t>废有机溶剂桶</w:t>
                  </w:r>
                </w:p>
              </w:tc>
              <w:tc>
                <w:tcPr>
                  <w:tcW w:w="1484" w:type="dxa"/>
                  <w:vAlign w:val="center"/>
                </w:tcPr>
                <w:p>
                  <w:pPr>
                    <w:spacing w:line="320" w:lineRule="exact"/>
                    <w:ind w:firstLine="240"/>
                    <w:jc w:val="center"/>
                  </w:pPr>
                  <w:r>
                    <w:t>2</w:t>
                  </w:r>
                </w:p>
              </w:tc>
              <w:tc>
                <w:tcPr>
                  <w:tcW w:w="2525" w:type="dxa"/>
                  <w:vMerge w:val="restart"/>
                  <w:vAlign w:val="center"/>
                </w:tcPr>
                <w:p>
                  <w:pPr>
                    <w:spacing w:line="320" w:lineRule="exact"/>
                    <w:ind w:firstLine="240"/>
                    <w:jc w:val="center"/>
                  </w:pPr>
                  <w:r>
                    <w:t>交由有资质单位处理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维修工序</w:t>
                  </w:r>
                </w:p>
              </w:tc>
              <w:tc>
                <w:tcPr>
                  <w:tcW w:w="2537" w:type="dxa"/>
                  <w:vAlign w:val="center"/>
                </w:tcPr>
                <w:p>
                  <w:pPr>
                    <w:spacing w:line="320" w:lineRule="exact"/>
                    <w:jc w:val="center"/>
                  </w:pPr>
                  <w:r>
                    <w:t>废机油及废抹布、手套等</w:t>
                  </w:r>
                </w:p>
              </w:tc>
              <w:tc>
                <w:tcPr>
                  <w:tcW w:w="1484" w:type="dxa"/>
                  <w:vAlign w:val="center"/>
                </w:tcPr>
                <w:p>
                  <w:pPr>
                    <w:spacing w:line="320" w:lineRule="exact"/>
                    <w:ind w:firstLine="240"/>
                    <w:jc w:val="center"/>
                  </w:pPr>
                  <w:r>
                    <w:t>0.8</w:t>
                  </w:r>
                </w:p>
              </w:tc>
              <w:tc>
                <w:tcPr>
                  <w:tcW w:w="2525" w:type="dxa"/>
                  <w:vMerge w:val="continue"/>
                  <w:vAlign w:val="center"/>
                </w:tcPr>
                <w:p>
                  <w:pPr>
                    <w:spacing w:line="320" w:lineRule="exact"/>
                    <w:ind w:firstLine="24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jc w:val="center"/>
              </w:trPr>
              <w:tc>
                <w:tcPr>
                  <w:tcW w:w="704" w:type="dxa"/>
                  <w:vMerge w:val="continue"/>
                  <w:vAlign w:val="center"/>
                </w:tcPr>
                <w:p>
                  <w:pPr>
                    <w:pStyle w:val="5"/>
                    <w:spacing w:line="320" w:lineRule="exact"/>
                    <w:jc w:val="center"/>
                    <w:rPr>
                      <w:sz w:val="21"/>
                      <w:szCs w:val="21"/>
                    </w:rPr>
                  </w:pPr>
                </w:p>
              </w:tc>
              <w:tc>
                <w:tcPr>
                  <w:tcW w:w="1528" w:type="dxa"/>
                  <w:gridSpan w:val="2"/>
                  <w:vAlign w:val="center"/>
                </w:tcPr>
                <w:p>
                  <w:pPr>
                    <w:spacing w:line="320" w:lineRule="exact"/>
                    <w:jc w:val="center"/>
                  </w:pPr>
                  <w:r>
                    <w:t>打磨工序</w:t>
                  </w:r>
                </w:p>
              </w:tc>
              <w:tc>
                <w:tcPr>
                  <w:tcW w:w="2537" w:type="dxa"/>
                  <w:vAlign w:val="center"/>
                </w:tcPr>
                <w:p>
                  <w:pPr>
                    <w:spacing w:line="320" w:lineRule="exact"/>
                    <w:jc w:val="center"/>
                  </w:pPr>
                  <w:r>
                    <w:t>收集的粉尘</w:t>
                  </w:r>
                </w:p>
              </w:tc>
              <w:tc>
                <w:tcPr>
                  <w:tcW w:w="1484" w:type="dxa"/>
                  <w:vAlign w:val="center"/>
                </w:tcPr>
                <w:p>
                  <w:pPr>
                    <w:spacing w:line="320" w:lineRule="exact"/>
                    <w:ind w:firstLine="240"/>
                    <w:jc w:val="center"/>
                  </w:pPr>
                  <w:r>
                    <w:t>1.5</w:t>
                  </w:r>
                  <w:r>
                    <w:rPr>
                      <w:rFonts w:hint="eastAsia"/>
                    </w:rPr>
                    <w:t>12</w:t>
                  </w:r>
                </w:p>
              </w:tc>
              <w:tc>
                <w:tcPr>
                  <w:tcW w:w="2525" w:type="dxa"/>
                  <w:vMerge w:val="continue"/>
                  <w:vAlign w:val="center"/>
                </w:tcPr>
                <w:p>
                  <w:pPr>
                    <w:spacing w:line="320" w:lineRule="exact"/>
                    <w:ind w:firstLine="24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pStyle w:val="5"/>
                    <w:spacing w:line="320" w:lineRule="exact"/>
                    <w:jc w:val="center"/>
                    <w:rPr>
                      <w:sz w:val="21"/>
                      <w:szCs w:val="21"/>
                    </w:rPr>
                  </w:pPr>
                  <w:r>
                    <w:rPr>
                      <w:sz w:val="21"/>
                      <w:szCs w:val="21"/>
                    </w:rPr>
                    <w:t>噪声</w:t>
                  </w:r>
                </w:p>
              </w:tc>
              <w:tc>
                <w:tcPr>
                  <w:tcW w:w="8074" w:type="dxa"/>
                  <w:gridSpan w:val="5"/>
                  <w:vAlign w:val="center"/>
                </w:tcPr>
                <w:p>
                  <w:pPr>
                    <w:spacing w:line="320" w:lineRule="exact"/>
                    <w:ind w:firstLine="240"/>
                    <w:jc w:val="center"/>
                  </w:pPr>
                  <w:r>
                    <w:t>本项目噪声源主要为打磨机、空压机、泵类、风机等设备运行时的噪声，噪声声级在85~90 dB（A）之间。</w:t>
                  </w:r>
                </w:p>
              </w:tc>
            </w:tr>
          </w:tbl>
          <w:p/>
          <w:p/>
          <w:p/>
          <w:p/>
          <w:p/>
          <w:p/>
          <w:p/>
          <w:p/>
          <w:p/>
          <w:p/>
          <w:p/>
          <w:p/>
          <w:p/>
          <w:p/>
          <w:p/>
          <w:p/>
          <w:p/>
          <w:p/>
          <w:p/>
          <w:p/>
          <w:p/>
          <w:p/>
          <w:p/>
          <w:p/>
          <w:p/>
          <w:p/>
          <w:p/>
          <w:p/>
          <w:p/>
          <w:p/>
          <w:p/>
          <w:p/>
          <w:p/>
          <w:p/>
          <w:p/>
          <w:p/>
          <w:p/>
          <w:p/>
          <w:p/>
          <w:p>
            <w:pPr>
              <w:pStyle w:val="2"/>
              <w:ind w:left="0" w:leftChars="0" w:firstLine="0" w:firstLineChars="0"/>
              <w:rPr>
                <w:sz w:val="24"/>
              </w:rPr>
            </w:pPr>
          </w:p>
        </w:tc>
      </w:tr>
    </w:tbl>
    <w:p>
      <w:pPr>
        <w:rPr>
          <w:rStyle w:val="78"/>
        </w:rPr>
      </w:pPr>
      <w:bookmarkStart w:id="11" w:name="_Toc183170408"/>
      <w:bookmarkStart w:id="12" w:name="_Toc171761614"/>
      <w:bookmarkStart w:id="13" w:name="_Toc183088179"/>
      <w:bookmarkStart w:id="14" w:name="_Toc183006402"/>
      <w:bookmarkStart w:id="15" w:name="_Toc182830655"/>
      <w:bookmarkStart w:id="16" w:name="_Toc182888693"/>
      <w:bookmarkStart w:id="17" w:name="_Toc182819243"/>
      <w:bookmarkStart w:id="18" w:name="_Toc178817697"/>
      <w:bookmarkStart w:id="19" w:name="_Toc193872734"/>
    </w:p>
    <w:p>
      <w:pPr>
        <w:rPr>
          <w:rStyle w:val="78"/>
        </w:rPr>
      </w:pPr>
      <w:r>
        <w:rPr>
          <w:b/>
          <w:bCs/>
          <w:kern w:val="44"/>
          <w:sz w:val="30"/>
          <w:szCs w:val="44"/>
        </w:rPr>
        <mc:AlternateContent>
          <mc:Choice Requires="wps">
            <w:drawing>
              <wp:anchor distT="0" distB="0" distL="114300" distR="114300" simplePos="0" relativeHeight="251658240" behindDoc="0" locked="0" layoutInCell="1" allowOverlap="1">
                <wp:simplePos x="0" y="0"/>
                <wp:positionH relativeFrom="column">
                  <wp:posOffset>6502400</wp:posOffset>
                </wp:positionH>
                <wp:positionV relativeFrom="paragraph">
                  <wp:posOffset>2585720</wp:posOffset>
                </wp:positionV>
                <wp:extent cx="901700" cy="1017270"/>
                <wp:effectExtent l="0" t="0" r="0" b="3810"/>
                <wp:wrapNone/>
                <wp:docPr id="122" name="自选图形 1088"/>
                <wp:cNvGraphicFramePr/>
                <a:graphic xmlns:a="http://schemas.openxmlformats.org/drawingml/2006/main">
                  <a:graphicData uri="http://schemas.microsoft.com/office/word/2010/wordprocessingShape">
                    <wps:wsp>
                      <wps:cNvCnPr>
                        <a:cxnSpLocks noChangeShapeType="1"/>
                      </wps:cNvCnPr>
                      <wps:spPr bwMode="auto">
                        <a:xfrm flipV="1">
                          <a:off x="0" y="0"/>
                          <a:ext cx="901700" cy="1017270"/>
                        </a:xfrm>
                        <a:prstGeom prst="straightConnector1">
                          <a:avLst/>
                        </a:prstGeom>
                        <a:noFill/>
                        <a:ln>
                          <a:noFill/>
                        </a:ln>
                      </wps:spPr>
                      <wps:bodyPr/>
                    </wps:wsp>
                  </a:graphicData>
                </a:graphic>
              </wp:anchor>
            </w:drawing>
          </mc:Choice>
          <mc:Fallback>
            <w:pict>
              <v:shape id="自选图形 1088" o:spid="_x0000_s1026" o:spt="32" type="#_x0000_t32" style="position:absolute;left:0pt;flip:y;margin-left:512pt;margin-top:203.6pt;height:80.1pt;width:71pt;z-index:251658240;mso-width-relative:page;mso-height-relative:page;" filled="f" stroked="f" coordsize="21600,21600" o:gfxdata="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BwaBnjYAAAADQEAAA8AAAAAAAAAAQAgAAAAIgAAAGRycy9kb3ducmV2LnhtbFBL&#10;AQIUABQAAAAIAIdO4kCI9w+evQEAAD8DAAAOAAAAAAAAAAEAIAAAACcBAABkcnMvZTJvRG9jLnht&#10;bFBLBQYAAAAABgAGAFkBAABWBQAAAAA=&#10;">
                <v:fill on="f" focussize="0,0"/>
                <v:stroke on="f"/>
                <v:imagedata o:title=""/>
                <o:lock v:ext="edit" aspectratio="f"/>
              </v:shape>
            </w:pict>
          </mc:Fallback>
        </mc:AlternateContent>
      </w:r>
      <w:r>
        <w:rPr>
          <w:rStyle w:val="78"/>
        </w:rPr>
        <w:t>建设项目所在地自然环境简况</w:t>
      </w:r>
      <w:bookmarkEnd w:id="11"/>
      <w:bookmarkEnd w:id="12"/>
      <w:bookmarkEnd w:id="13"/>
      <w:bookmarkEnd w:id="14"/>
      <w:bookmarkEnd w:id="15"/>
      <w:bookmarkEnd w:id="16"/>
      <w:bookmarkEnd w:id="17"/>
      <w:bookmarkEnd w:id="18"/>
      <w:bookmarkEnd w:id="19"/>
    </w:p>
    <w:tbl>
      <w:tblPr>
        <w:tblStyle w:val="38"/>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2" w:hRule="atLeast"/>
        </w:trPr>
        <w:tc>
          <w:tcPr>
            <w:tcW w:w="9040" w:type="dxa"/>
          </w:tcPr>
          <w:p>
            <w:pPr>
              <w:pStyle w:val="13"/>
              <w:snapToGrid w:val="0"/>
              <w:spacing w:before="156" w:beforeLines="50" w:after="0" w:line="520" w:lineRule="exact"/>
              <w:rPr>
                <w:rFonts w:ascii="Times New Roman" w:hAnsi="Times New Roman" w:cs="Times New Roman"/>
                <w:b/>
                <w:sz w:val="24"/>
                <w:szCs w:val="20"/>
              </w:rPr>
            </w:pPr>
            <w:r>
              <w:rPr>
                <w:rFonts w:ascii="Times New Roman" w:hAnsi="Times New Roman" w:cs="Times New Roman"/>
                <w:b/>
                <w:sz w:val="24"/>
                <w:szCs w:val="20"/>
              </w:rPr>
              <w:t>自然环境简况（地形、地貌、地质、气候、气象、水文、植被、生物多样性、矿产资源等）：</w:t>
            </w:r>
          </w:p>
          <w:p>
            <w:pPr>
              <w:spacing w:before="50" w:line="520" w:lineRule="exact"/>
              <w:ind w:firstLine="480"/>
              <w:rPr>
                <w:sz w:val="24"/>
              </w:rPr>
            </w:pPr>
            <w:r>
              <w:rPr>
                <w:sz w:val="24"/>
              </w:rPr>
              <w:t>一、地理位置</w:t>
            </w:r>
          </w:p>
          <w:p>
            <w:pPr>
              <w:spacing w:before="50" w:line="520" w:lineRule="exact"/>
              <w:ind w:firstLine="480"/>
              <w:rPr>
                <w:color w:val="000000"/>
                <w:sz w:val="24"/>
              </w:rPr>
            </w:pPr>
            <w:r>
              <w:rPr>
                <w:sz w:val="24"/>
              </w:rPr>
              <w:t> </w:t>
            </w:r>
            <w:r>
              <w:rPr>
                <w:color w:val="000000"/>
                <w:sz w:val="24"/>
              </w:rPr>
              <w:t>西安咸阳国际机场位于中国陕西省</w:t>
            </w:r>
            <w:r>
              <w:fldChar w:fldCharType="begin"/>
            </w:r>
            <w:r>
              <w:instrText xml:space="preserve"> HYPERLINK "https://baike.baidu.com/item/%E8%A5%BF%E5%AE%89%E5%B8%82/1002501" \t "_blank" </w:instrText>
            </w:r>
            <w:r>
              <w:fldChar w:fldCharType="separate"/>
            </w:r>
            <w:r>
              <w:rPr>
                <w:rStyle w:val="45"/>
                <w:color w:val="000000"/>
                <w:sz w:val="24"/>
                <w:u w:val="none"/>
              </w:rPr>
              <w:t>西安市</w:t>
            </w:r>
            <w:r>
              <w:rPr>
                <w:rStyle w:val="45"/>
                <w:color w:val="000000"/>
                <w:sz w:val="24"/>
                <w:u w:val="none"/>
              </w:rPr>
              <w:fldChar w:fldCharType="end"/>
            </w:r>
            <w:r>
              <w:rPr>
                <w:color w:val="000000"/>
                <w:sz w:val="24"/>
              </w:rPr>
              <w:t>西北方向的西咸新区，距西安市区25公里，为4F级民用国际机场，是中国八大区域枢纽机场之一</w:t>
            </w:r>
            <w:r>
              <w:rPr>
                <w:color w:val="000000"/>
                <w:sz w:val="24"/>
                <w:vertAlign w:val="superscript"/>
              </w:rPr>
              <w:t> </w:t>
            </w:r>
            <w:r>
              <w:rPr>
                <w:color w:val="000000"/>
                <w:sz w:val="24"/>
              </w:rPr>
              <w:t>、国际定期航班机场、世界前百位主要机场。</w:t>
            </w:r>
            <w:r>
              <w:rPr>
                <w:color w:val="000000"/>
                <w:sz w:val="24"/>
                <w:vertAlign w:val="superscript"/>
              </w:rPr>
              <w:t> </w:t>
            </w:r>
            <w:r>
              <w:rPr>
                <w:color w:val="000000"/>
                <w:sz w:val="24"/>
              </w:rPr>
              <w:t>2014年6月成为西北第一个、中国第八个实行72小时</w:t>
            </w:r>
            <w:r>
              <w:fldChar w:fldCharType="begin"/>
            </w:r>
            <w:r>
              <w:instrText xml:space="preserve"> HYPERLINK "https://baike.baidu.com/item/%E8%BF%87%E5%A2%83%E5%85%8D%E7%AD%BE/3380753" \t "_blank" </w:instrText>
            </w:r>
            <w:r>
              <w:fldChar w:fldCharType="separate"/>
            </w:r>
            <w:r>
              <w:rPr>
                <w:rStyle w:val="45"/>
                <w:color w:val="000000"/>
                <w:sz w:val="24"/>
                <w:u w:val="none"/>
              </w:rPr>
              <w:t>过境免签</w:t>
            </w:r>
            <w:r>
              <w:rPr>
                <w:rStyle w:val="45"/>
                <w:color w:val="000000"/>
                <w:sz w:val="24"/>
                <w:u w:val="none"/>
              </w:rPr>
              <w:fldChar w:fldCharType="end"/>
            </w:r>
            <w:r>
              <w:rPr>
                <w:color w:val="000000"/>
                <w:sz w:val="24"/>
              </w:rPr>
              <w:t>政策的航空口岸。西安咸阳国际机场于1991年9月1日正式建成通航；2003年9月16日完成二期工程建设，西安咸阳国际机场T2航站楼启用；2012年5月3日完成二期扩建工程，西安咸阳国际机场T3航站楼开始使用。</w:t>
            </w:r>
          </w:p>
          <w:p>
            <w:pPr>
              <w:spacing w:before="50" w:line="520" w:lineRule="exact"/>
              <w:ind w:firstLine="480"/>
              <w:rPr>
                <w:sz w:val="24"/>
              </w:rPr>
            </w:pPr>
            <w:bookmarkStart w:id="20" w:name="_Toc75688915"/>
            <w:bookmarkStart w:id="21" w:name="_Toc75688769"/>
            <w:bookmarkStart w:id="22" w:name="_Toc75688475"/>
            <w:bookmarkStart w:id="23" w:name="_Toc74908560"/>
            <w:bookmarkStart w:id="24" w:name="_Toc58816639"/>
            <w:bookmarkStart w:id="25" w:name="_Toc58731254"/>
            <w:bookmarkStart w:id="26" w:name="_Toc74300274"/>
            <w:bookmarkStart w:id="27" w:name="_Toc58810449"/>
            <w:bookmarkStart w:id="28" w:name="_Toc74908350"/>
            <w:bookmarkStart w:id="29" w:name="_Toc74307536"/>
            <w:bookmarkStart w:id="30" w:name="_Toc75423663"/>
            <w:bookmarkStart w:id="31" w:name="_Toc58643188"/>
            <w:bookmarkStart w:id="32" w:name="_Toc59851095"/>
            <w:bookmarkStart w:id="33" w:name="_Toc58638876"/>
            <w:bookmarkStart w:id="34" w:name="_Toc58641487"/>
            <w:bookmarkStart w:id="35" w:name="_Toc80254296"/>
            <w:bookmarkStart w:id="36" w:name="_Toc58810536"/>
            <w:bookmarkStart w:id="37" w:name="_Toc73527663"/>
            <w:bookmarkStart w:id="38" w:name="_Toc73527815"/>
            <w:bookmarkStart w:id="39" w:name="_Toc60035519"/>
            <w:bookmarkStart w:id="40" w:name="_Toc73522864"/>
            <w:bookmarkStart w:id="41" w:name="_Toc58124705"/>
            <w:bookmarkStart w:id="42" w:name="_Toc73503860"/>
            <w:bookmarkStart w:id="43" w:name="_Toc72826727"/>
            <w:bookmarkStart w:id="44" w:name="_Toc75688623"/>
            <w:bookmarkStart w:id="45" w:name="_Toc88211867"/>
            <w:bookmarkStart w:id="46" w:name="_Toc60024595"/>
            <w:bookmarkStart w:id="47" w:name="_Toc58491008"/>
            <w:bookmarkStart w:id="48" w:name="_Toc88211721"/>
            <w:bookmarkStart w:id="49" w:name="_Toc57868320"/>
            <w:bookmarkStart w:id="50" w:name="_Toc73349380"/>
            <w:bookmarkStart w:id="51" w:name="_Toc73352241"/>
            <w:bookmarkStart w:id="52" w:name="_Toc74300420"/>
            <w:bookmarkStart w:id="53" w:name="_Toc58041088"/>
            <w:bookmarkStart w:id="54" w:name="_Toc58121771"/>
            <w:bookmarkStart w:id="55" w:name="_Toc71616965"/>
            <w:bookmarkStart w:id="56" w:name="_Toc59682783"/>
            <w:bookmarkStart w:id="57" w:name="_Toc73348467"/>
            <w:bookmarkStart w:id="58" w:name="_Toc58646767"/>
            <w:bookmarkStart w:id="59" w:name="_Toc59965643"/>
            <w:bookmarkStart w:id="60" w:name="_Toc80254150"/>
            <w:bookmarkStart w:id="61" w:name="_Toc74908706"/>
            <w:bookmarkStart w:id="62" w:name="_Toc58314436"/>
            <w:bookmarkStart w:id="63" w:name="_Toc59266584"/>
            <w:bookmarkStart w:id="64" w:name="_Toc73348619"/>
            <w:bookmarkStart w:id="65" w:name="_Toc88209379"/>
            <w:bookmarkStart w:id="66" w:name="_Toc58229300"/>
            <w:bookmarkStart w:id="67" w:name="_Toc75852260"/>
            <w:r>
              <w:rPr>
                <w:sz w:val="24"/>
                <w:szCs w:val="24"/>
              </w:rPr>
              <w:t>本项目位于</w:t>
            </w:r>
            <w:r>
              <w:rPr>
                <w:sz w:val="24"/>
              </w:rPr>
              <w:t>陕西省西咸新区空港新城西安咸阳机场空港东二路东航技术公司西北分公司1号机库（东经108°46′09.54″，北纬34°26′53.35″）</w:t>
            </w:r>
            <w:r>
              <w:rPr>
                <w:sz w:val="24"/>
                <w:szCs w:val="24"/>
              </w:rPr>
              <w:t>。项目东北侧为机场配套的设备存放棚、消防水池及充电间、消防泵房；东南侧为APU修理车间和变电站及机加车库；项目西南侧为闲置办公楼和培训中心，项目西北侧为停机坪。</w:t>
            </w:r>
            <w:r>
              <w:rPr>
                <w:sz w:val="24"/>
              </w:rPr>
              <w:t xml:space="preserve">项目地理位置见附图1。项目四邻关系见附图2。 </w:t>
            </w:r>
          </w:p>
          <w:p>
            <w:pPr>
              <w:spacing w:before="50" w:line="520" w:lineRule="exact"/>
              <w:ind w:firstLine="480"/>
              <w:rPr>
                <w:sz w:val="24"/>
              </w:rPr>
            </w:pPr>
            <w:r>
              <w:rPr>
                <w:sz w:val="24"/>
              </w:rPr>
              <w:t>二、地形地貌</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pPr>
              <w:spacing w:before="50" w:line="520" w:lineRule="exact"/>
              <w:ind w:firstLine="480"/>
              <w:rPr>
                <w:sz w:val="24"/>
              </w:rPr>
            </w:pPr>
            <w:r>
              <w:rPr>
                <w:sz w:val="24"/>
              </w:rPr>
              <w:t>西安咸阳国际机场地处关中构造盆地中部的渭河北岸地堑地带，地势西北高、东南低，从北至南向渭河倾斜，地貌区属关中盆地的一部分，地貌类型包括河漫滩、河流阶地、黄土台塬和山前冲积扇群。西安咸阳国际机场位于陕北台凹缘与渭河断凹相接的地带，在陕西地层区划中，分属陕甘宁盆地分区和汾渭分区的渭河小区。根据《中国地震烈度区划分》，本区基本地震烈度为</w:t>
            </w:r>
            <w:r>
              <w:rPr>
                <w:rFonts w:ascii="MS Mincho" w:hAnsi="MS Mincho" w:eastAsia="MS Mincho" w:cs="MS Mincho"/>
                <w:sz w:val="24"/>
              </w:rPr>
              <w:t>Ⅶ</w:t>
            </w:r>
            <w:r>
              <w:rPr>
                <w:sz w:val="24"/>
              </w:rPr>
              <w:t>度，地震动峰值加速度为0.15g。</w:t>
            </w:r>
          </w:p>
          <w:p>
            <w:pPr>
              <w:spacing w:before="50" w:line="520" w:lineRule="exact"/>
              <w:ind w:firstLine="480"/>
              <w:rPr>
                <w:sz w:val="24"/>
              </w:rPr>
            </w:pPr>
            <w:r>
              <w:rPr>
                <w:sz w:val="24"/>
              </w:rPr>
              <w:t>根据现场勘查，项目所在地地势平坦，无山洪、泥石流等地质灾害。</w:t>
            </w:r>
          </w:p>
          <w:p>
            <w:pPr>
              <w:spacing w:before="50" w:line="520" w:lineRule="exact"/>
              <w:ind w:firstLine="480"/>
              <w:rPr>
                <w:sz w:val="24"/>
              </w:rPr>
            </w:pPr>
            <w:r>
              <w:rPr>
                <w:sz w:val="24"/>
              </w:rPr>
              <w:t>三、气候、气象</w:t>
            </w:r>
          </w:p>
          <w:p>
            <w:pPr>
              <w:spacing w:before="50" w:line="520" w:lineRule="exact"/>
              <w:ind w:firstLine="480"/>
              <w:rPr>
                <w:sz w:val="24"/>
              </w:rPr>
            </w:pPr>
            <w:r>
              <w:rPr>
                <w:sz w:val="24"/>
              </w:rPr>
              <w:t>项目所在区地处内陆，属暖温带大陆性半干旱季风性气候。表现为四季冷暖分明，春季（3月下旬开始）大地回暖，降水增多，冷空气活动频繁，易出现寒潮、大风、霜冻和春旱天气；夏季（5月下旬开始）气温最高，降水量大，光照充足，夏初和伏天多旱，后期易出现大风暴雨；秋季（9月上旬开始）初多阴雨，气温缓降，湿度大，光照少，后期气温猛降，干旱少雨；冬季（11月上旬开始）气候变冷，干燥少雨。年平均最高气温18.6</w:t>
            </w:r>
            <w:r>
              <w:rPr>
                <w:rFonts w:ascii="MS Mincho" w:hAnsi="MS Mincho" w:eastAsia="MS Mincho" w:cs="MS Mincho"/>
                <w:sz w:val="24"/>
              </w:rPr>
              <w:t>℃</w:t>
            </w:r>
            <w:r>
              <w:rPr>
                <w:sz w:val="24"/>
              </w:rPr>
              <w:t>，最高气温极值42.0</w:t>
            </w:r>
            <w:r>
              <w:rPr>
                <w:rFonts w:ascii="MS Mincho" w:hAnsi="MS Mincho" w:eastAsia="MS Mincho" w:cs="MS Mincho"/>
                <w:sz w:val="24"/>
              </w:rPr>
              <w:t>℃</w:t>
            </w:r>
            <w:r>
              <w:rPr>
                <w:sz w:val="24"/>
              </w:rPr>
              <w:t>；年平均最低气温8.2</w:t>
            </w:r>
            <w:r>
              <w:rPr>
                <w:rFonts w:ascii="MS Mincho" w:hAnsi="MS Mincho" w:eastAsia="MS Mincho" w:cs="MS Mincho"/>
                <w:sz w:val="24"/>
              </w:rPr>
              <w:t>℃</w:t>
            </w:r>
            <w:r>
              <w:rPr>
                <w:sz w:val="24"/>
              </w:rPr>
              <w:t>，最低气温极值-19.7</w:t>
            </w:r>
            <w:r>
              <w:rPr>
                <w:rFonts w:ascii="MS Mincho" w:hAnsi="MS Mincho" w:eastAsia="MS Mincho" w:cs="MS Mincho"/>
                <w:sz w:val="24"/>
              </w:rPr>
              <w:t>℃</w:t>
            </w:r>
            <w:r>
              <w:rPr>
                <w:sz w:val="24"/>
              </w:rPr>
              <w:t>。</w:t>
            </w:r>
          </w:p>
          <w:p>
            <w:pPr>
              <w:spacing w:before="50" w:line="520" w:lineRule="exact"/>
              <w:ind w:firstLine="480"/>
              <w:rPr>
                <w:sz w:val="24"/>
              </w:rPr>
            </w:pPr>
            <w:r>
              <w:rPr>
                <w:sz w:val="24"/>
              </w:rPr>
              <w:t>四、水文</w:t>
            </w:r>
          </w:p>
          <w:p>
            <w:pPr>
              <w:spacing w:before="50" w:line="520" w:lineRule="exact"/>
              <w:ind w:firstLine="480"/>
              <w:rPr>
                <w:sz w:val="24"/>
              </w:rPr>
            </w:pPr>
            <w:r>
              <w:rPr>
                <w:sz w:val="24"/>
              </w:rPr>
              <w:t>项目所在区域属于泾渭河平原区，由全新统与中、上更新统冲积层组成，含水层岩性主要为中细砂含砾石和中粗砂夹砾石组成，水位埋深20～40m，单位涌水量18～22t/h·m。本项目所在区域的地表河流主要为泾河，泾河源自宁夏回族自治区六盘水，经咸阳市长武县入陕西省，经长武、彬县、永寿、淳化、礼券、泾阳等六县，于泾阳县高庄镇出咸阳市境。泾河在咸阳市境内流长272.3km，流域面积6705.4km</w:t>
            </w:r>
            <w:r>
              <w:rPr>
                <w:sz w:val="24"/>
                <w:vertAlign w:val="superscript"/>
              </w:rPr>
              <w:t>2</w:t>
            </w:r>
            <w:r>
              <w:rPr>
                <w:sz w:val="24"/>
              </w:rPr>
              <w:t>，多年平均净流量18.67亿m³，平均流量64.1m³/s，最大洪峰流量9200m³/s，年均输砂量2.74亿m³，平均含沙量141kg/m³。</w:t>
            </w:r>
          </w:p>
          <w:p>
            <w:pPr>
              <w:spacing w:before="50" w:line="520" w:lineRule="exact"/>
              <w:ind w:firstLine="480"/>
              <w:rPr>
                <w:sz w:val="24"/>
              </w:rPr>
            </w:pPr>
            <w:r>
              <w:rPr>
                <w:sz w:val="24"/>
              </w:rPr>
              <w:t>根据现场勘查，距本项目最近的地表水为东北侧6.5km的泾河。</w:t>
            </w:r>
          </w:p>
          <w:p>
            <w:pPr>
              <w:spacing w:before="50" w:line="520" w:lineRule="exact"/>
              <w:ind w:firstLine="480"/>
              <w:rPr>
                <w:sz w:val="24"/>
              </w:rPr>
            </w:pPr>
            <w:r>
              <w:rPr>
                <w:sz w:val="24"/>
              </w:rPr>
              <w:t>五、土壤</w:t>
            </w:r>
          </w:p>
          <w:p>
            <w:pPr>
              <w:spacing w:before="50" w:line="520" w:lineRule="exact"/>
              <w:ind w:firstLine="480"/>
              <w:rPr>
                <w:sz w:val="24"/>
              </w:rPr>
            </w:pPr>
            <w:r>
              <w:rPr>
                <w:sz w:val="24"/>
              </w:rPr>
              <w:t>项目区黄土台塬属风积堆平原,奠基于中更新世,形成于上更新世,表层覆盖80～100米厚的黄土层。塬面平坦,地势高亢,以红油土为主。塬间洼地水分条件较好,以黑油土为主。塬面起伏不平处是由剥蚀堆积作用在次生黄土上发育的具有明显地带性特征的褐饧土;土壕及塬坡上零星有黄、白饧土。渭河冲积平原区三级阶地前缘以陡壁、冲沟与二级阶地相连结。其后缘多以缓坡与黄土台塬过渡,故多分布红油土和褐饧土。二级</w:t>
            </w:r>
            <w:r>
              <w:rPr>
                <w:sz w:val="24"/>
                <w:highlight w:val="none"/>
              </w:rPr>
              <w:t>阶地阶面</w:t>
            </w:r>
            <w:r>
              <w:rPr>
                <w:sz w:val="24"/>
              </w:rPr>
              <w:t>平坦,以淤饧土为主。一级阶地多</w:t>
            </w:r>
            <w:r>
              <w:rPr>
                <w:sz w:val="24"/>
                <w:highlight w:val="none"/>
              </w:rPr>
              <w:t>分布潮翙土</w:t>
            </w:r>
            <w:r>
              <w:rPr>
                <w:sz w:val="24"/>
              </w:rPr>
              <w:t>、潮土、淤泥土。沿岸河漫滩地势低洼,分布</w:t>
            </w:r>
            <w:r>
              <w:rPr>
                <w:sz w:val="24"/>
                <w:highlight w:val="none"/>
              </w:rPr>
              <w:t>河淤</w:t>
            </w:r>
            <w:r>
              <w:rPr>
                <w:sz w:val="24"/>
              </w:rPr>
              <w:t>土</w:t>
            </w:r>
            <w:r>
              <w:rPr>
                <w:sz w:val="24"/>
                <w:highlight w:val="none"/>
              </w:rPr>
              <w:t>及</w:t>
            </w:r>
            <w:r>
              <w:rPr>
                <w:sz w:val="24"/>
              </w:rPr>
              <w:t>沼泽土。据1982年土壤普查,本区土壤分为6个土类、11个亚类、22个土属、51个土种。分布规律从北向南依次为翙土、黄土性土、淤土、潮土、水稻土、沼泽土。</w:t>
            </w:r>
          </w:p>
          <w:p>
            <w:pPr>
              <w:tabs>
                <w:tab w:val="left" w:pos="1128"/>
              </w:tabs>
              <w:rPr>
                <w:sz w:val="24"/>
              </w:rPr>
            </w:pPr>
          </w:p>
          <w:p>
            <w:pPr>
              <w:tabs>
                <w:tab w:val="left" w:pos="1128"/>
              </w:tabs>
              <w:rPr>
                <w:sz w:val="24"/>
              </w:rPr>
            </w:pPr>
          </w:p>
          <w:p>
            <w:pPr>
              <w:tabs>
                <w:tab w:val="left" w:pos="1128"/>
              </w:tabs>
              <w:rPr>
                <w:sz w:val="24"/>
              </w:rPr>
            </w:pPr>
          </w:p>
        </w:tc>
      </w:tr>
    </w:tbl>
    <w:p>
      <w:pPr>
        <w:rPr>
          <w:rStyle w:val="78"/>
        </w:rPr>
        <w:sectPr>
          <w:headerReference r:id="rId3" w:type="first"/>
          <w:footerReference r:id="rId5" w:type="first"/>
          <w:footerReference r:id="rId4" w:type="default"/>
          <w:pgSz w:w="11906" w:h="16838"/>
          <w:pgMar w:top="1440" w:right="1286" w:bottom="1440" w:left="1440" w:header="851" w:footer="992" w:gutter="170"/>
          <w:pgNumType w:start="1"/>
          <w:cols w:space="720" w:num="1"/>
          <w:titlePg/>
          <w:docGrid w:type="lines" w:linePitch="312" w:charSpace="0"/>
        </w:sectPr>
      </w:pPr>
      <w:bookmarkStart w:id="68" w:name="_Toc182888694"/>
      <w:bookmarkStart w:id="69" w:name="_Toc182830656"/>
      <w:bookmarkStart w:id="70" w:name="_Toc182819244"/>
      <w:bookmarkStart w:id="71" w:name="_Toc183170409"/>
      <w:bookmarkStart w:id="72" w:name="_Toc193872735"/>
      <w:bookmarkStart w:id="73" w:name="_Toc171761615"/>
      <w:bookmarkStart w:id="74" w:name="_Toc183006403"/>
      <w:bookmarkStart w:id="75" w:name="_Toc178817698"/>
      <w:bookmarkStart w:id="76" w:name="_Toc183088180"/>
    </w:p>
    <w:p>
      <w:pPr>
        <w:rPr>
          <w:rStyle w:val="78"/>
        </w:rPr>
      </w:pPr>
      <w:r>
        <w:rPr>
          <w:rStyle w:val="78"/>
        </w:rPr>
        <w:t>环境质量状况</w:t>
      </w:r>
      <w:bookmarkEnd w:id="68"/>
      <w:bookmarkEnd w:id="69"/>
      <w:bookmarkEnd w:id="70"/>
      <w:bookmarkEnd w:id="71"/>
      <w:bookmarkEnd w:id="72"/>
      <w:bookmarkEnd w:id="73"/>
      <w:bookmarkEnd w:id="74"/>
      <w:bookmarkEnd w:id="75"/>
      <w:bookmarkEnd w:id="76"/>
    </w:p>
    <w:tbl>
      <w:tblPr>
        <w:tblStyle w:val="38"/>
        <w:tblW w:w="90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035" w:type="dxa"/>
          </w:tcPr>
          <w:p>
            <w:pPr>
              <w:pStyle w:val="13"/>
              <w:snapToGrid w:val="0"/>
              <w:spacing w:before="156" w:beforeLines="50" w:after="0" w:line="520" w:lineRule="exact"/>
              <w:rPr>
                <w:rFonts w:ascii="Times New Roman" w:hAnsi="Times New Roman" w:cs="Times New Roman"/>
                <w:b/>
                <w:szCs w:val="28"/>
              </w:rPr>
            </w:pPr>
            <w:r>
              <w:rPr>
                <w:rFonts w:ascii="Times New Roman" w:hAnsi="Times New Roman" w:cs="Times New Roman"/>
                <w:b/>
                <w:szCs w:val="28"/>
              </w:rPr>
              <w:t>建设项目所在地区域环境质量现状及主要环境问题（环境空气、地表水、地下水、声环境、生态环境等）:</w:t>
            </w:r>
          </w:p>
          <w:p>
            <w:pPr>
              <w:adjustRightInd w:val="0"/>
              <w:snapToGrid w:val="0"/>
              <w:spacing w:before="50" w:line="520" w:lineRule="exact"/>
              <w:ind w:firstLine="480"/>
              <w:jc w:val="left"/>
              <w:rPr>
                <w:b/>
                <w:sz w:val="24"/>
                <w:szCs w:val="24"/>
              </w:rPr>
            </w:pPr>
            <w:r>
              <w:rPr>
                <w:b/>
                <w:sz w:val="24"/>
                <w:szCs w:val="24"/>
              </w:rPr>
              <w:t>1、环境空气质量现状</w:t>
            </w:r>
          </w:p>
          <w:p>
            <w:pPr>
              <w:adjustRightInd w:val="0"/>
              <w:snapToGrid w:val="0"/>
              <w:spacing w:line="520" w:lineRule="exact"/>
              <w:ind w:firstLine="480"/>
              <w:rPr>
                <w:sz w:val="24"/>
                <w:szCs w:val="24"/>
              </w:rPr>
            </w:pPr>
            <w:r>
              <w:rPr>
                <w:sz w:val="24"/>
                <w:szCs w:val="24"/>
              </w:rPr>
              <w:t>本项目大气环境质量现状引用2019年环保快报中西咸新区2018年空气质量状况数据，区域空气质量现状评价见下表。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表12    区域空气质量现状评价表（2018西咸新区）</w:t>
            </w:r>
          </w:p>
          <w:tbl>
            <w:tblPr>
              <w:tblStyle w:val="38"/>
              <w:tblW w:w="8791"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904"/>
              <w:gridCol w:w="3151"/>
              <w:gridCol w:w="1350"/>
              <w:gridCol w:w="1466"/>
              <w:gridCol w:w="916"/>
              <w:gridCol w:w="1004"/>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tblHeader/>
                <w:jc w:val="center"/>
              </w:trPr>
              <w:tc>
                <w:tcPr>
                  <w:tcW w:w="904" w:type="dxa"/>
                  <w:tcBorders>
                    <w:top w:val="single" w:color="000000" w:sz="12"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污染物</w:t>
                  </w:r>
                </w:p>
              </w:tc>
              <w:tc>
                <w:tcPr>
                  <w:tcW w:w="3151"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年评价指标</w:t>
                  </w:r>
                </w:p>
              </w:tc>
              <w:tc>
                <w:tcPr>
                  <w:tcW w:w="1350"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现状浓度/</w:t>
                  </w:r>
                </w:p>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（μg/m</w:t>
                  </w:r>
                  <w:r>
                    <w:rPr>
                      <w:rFonts w:ascii="Times New Roman" w:hAnsi="Times New Roman" w:eastAsia="宋体" w:cs="Times New Roman"/>
                      <w:b/>
                      <w:bCs/>
                      <w:kern w:val="0"/>
                      <w:sz w:val="21"/>
                      <w:szCs w:val="21"/>
                      <w:vertAlign w:val="superscript"/>
                    </w:rPr>
                    <w:t>3</w:t>
                  </w:r>
                  <w:r>
                    <w:rPr>
                      <w:rFonts w:ascii="Times New Roman" w:hAnsi="Times New Roman" w:eastAsia="宋体" w:cs="Times New Roman"/>
                      <w:b/>
                      <w:bCs/>
                      <w:kern w:val="0"/>
                      <w:sz w:val="21"/>
                      <w:szCs w:val="21"/>
                    </w:rPr>
                    <w:t>）</w:t>
                  </w:r>
                </w:p>
              </w:tc>
              <w:tc>
                <w:tcPr>
                  <w:tcW w:w="1466"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标准值/</w:t>
                  </w:r>
                </w:p>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（μg/m</w:t>
                  </w:r>
                  <w:r>
                    <w:rPr>
                      <w:rFonts w:ascii="Times New Roman" w:hAnsi="Times New Roman" w:eastAsia="宋体" w:cs="Times New Roman"/>
                      <w:b/>
                      <w:bCs/>
                      <w:kern w:val="0"/>
                      <w:sz w:val="21"/>
                      <w:szCs w:val="21"/>
                      <w:vertAlign w:val="superscript"/>
                    </w:rPr>
                    <w:t>3</w:t>
                  </w:r>
                  <w:r>
                    <w:rPr>
                      <w:rFonts w:ascii="Times New Roman" w:hAnsi="Times New Roman" w:eastAsia="宋体" w:cs="Times New Roman"/>
                      <w:b/>
                      <w:bCs/>
                      <w:kern w:val="0"/>
                      <w:sz w:val="21"/>
                      <w:szCs w:val="21"/>
                    </w:rPr>
                    <w:t>）</w:t>
                  </w:r>
                </w:p>
              </w:tc>
              <w:tc>
                <w:tcPr>
                  <w:tcW w:w="916"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占标率/%</w:t>
                  </w:r>
                </w:p>
              </w:tc>
              <w:tc>
                <w:tcPr>
                  <w:tcW w:w="1004" w:type="dxa"/>
                  <w:tcBorders>
                    <w:top w:val="single" w:color="000000" w:sz="12"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达标</w:t>
                  </w:r>
                  <w:r>
                    <w:rPr>
                      <w:rFonts w:ascii="Times New Roman" w:hAnsi="Times New Roman" w:eastAsia="宋体" w:cs="Times New Roman"/>
                      <w:b/>
                      <w:bCs/>
                      <w:kern w:val="0"/>
                      <w:sz w:val="21"/>
                      <w:szCs w:val="21"/>
                    </w:rPr>
                    <w:br w:type="textWrapping"/>
                  </w:r>
                  <w:r>
                    <w:rPr>
                      <w:rFonts w:ascii="Times New Roman" w:hAnsi="Times New Roman" w:eastAsia="宋体" w:cs="Times New Roman"/>
                      <w:b/>
                      <w:bCs/>
                      <w:kern w:val="0"/>
                      <w:sz w:val="21"/>
                      <w:szCs w:val="21"/>
                    </w:rPr>
                    <w:t>情况</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60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21.67</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NO</w:t>
                  </w:r>
                  <w:r>
                    <w:rPr>
                      <w:rFonts w:ascii="Times New Roman" w:hAnsi="Times New Roman" w:eastAsia="宋体" w:cs="Times New Roman"/>
                      <w:kern w:val="0"/>
                      <w:sz w:val="21"/>
                      <w:szCs w:val="21"/>
                      <w:vertAlign w:val="subscript"/>
                    </w:rPr>
                    <w:t>2</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102.5</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不达标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PM</w:t>
                  </w:r>
                  <w:r>
                    <w:rPr>
                      <w:rFonts w:ascii="Times New Roman" w:hAnsi="Times New Roman" w:eastAsia="宋体" w:cs="Times New Roman"/>
                      <w:kern w:val="0"/>
                      <w:sz w:val="21"/>
                      <w:szCs w:val="21"/>
                      <w:vertAlign w:val="subscript"/>
                    </w:rPr>
                    <w:t>10</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70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154.28</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不达标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PM</w:t>
                  </w:r>
                  <w:r>
                    <w:rPr>
                      <w:rFonts w:ascii="Times New Roman" w:hAnsi="Times New Roman" w:eastAsia="宋体" w:cs="Times New Roman"/>
                      <w:kern w:val="0"/>
                      <w:sz w:val="21"/>
                      <w:szCs w:val="21"/>
                      <w:vertAlign w:val="subscript"/>
                    </w:rPr>
                    <w:t>2.5</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57</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162.86</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不达标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CO</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highlight w:val="none"/>
                    </w:rPr>
                    <w:t>日均第</w:t>
                  </w:r>
                  <w:r>
                    <w:rPr>
                      <w:rFonts w:ascii="Times New Roman" w:hAnsi="Times New Roman" w:eastAsia="宋体" w:cs="Times New Roman"/>
                      <w:kern w:val="0"/>
                      <w:sz w:val="21"/>
                      <w:szCs w:val="21"/>
                    </w:rPr>
                    <w:t>95百分位数质量浓度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1.6（mg/m</w:t>
                  </w:r>
                  <w:r>
                    <w:rPr>
                      <w:rFonts w:ascii="Times New Roman" w:hAnsi="Times New Roman" w:eastAsia="宋体" w:cs="Times New Roman"/>
                      <w:kern w:val="0"/>
                      <w:sz w:val="21"/>
                      <w:szCs w:val="21"/>
                      <w:vertAlign w:val="superscript"/>
                    </w:rPr>
                    <w:t>3</w:t>
                  </w:r>
                  <w:r>
                    <w:rPr>
                      <w:rFonts w:ascii="Times New Roman" w:hAnsi="Times New Roman" w:eastAsia="宋体" w:cs="Times New Roman"/>
                      <w:kern w:val="0"/>
                      <w:sz w:val="21"/>
                      <w:szCs w:val="21"/>
                    </w:rPr>
                    <w:t>）</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4（mg/m</w:t>
                  </w:r>
                  <w:r>
                    <w:rPr>
                      <w:rFonts w:ascii="Times New Roman" w:hAnsi="Times New Roman" w:eastAsia="宋体" w:cs="Times New Roman"/>
                      <w:kern w:val="0"/>
                      <w:sz w:val="21"/>
                      <w:szCs w:val="21"/>
                      <w:vertAlign w:val="superscript"/>
                    </w:rPr>
                    <w:t>3</w:t>
                  </w:r>
                  <w:r>
                    <w:rPr>
                      <w:rFonts w:ascii="Times New Roman" w:hAnsi="Times New Roman" w:eastAsia="宋体" w:cs="Times New Roman"/>
                      <w:kern w:val="0"/>
                      <w:sz w:val="21"/>
                      <w:szCs w:val="21"/>
                    </w:rPr>
                    <w:t>）</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12"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highlight w:val="yellow"/>
                    </w:rPr>
                  </w:pPr>
                  <w:r>
                    <w:rPr>
                      <w:rFonts w:ascii="Times New Roman" w:hAnsi="Times New Roman" w:eastAsia="宋体" w:cs="Times New Roman"/>
                      <w:kern w:val="0"/>
                      <w:sz w:val="21"/>
                      <w:szCs w:val="21"/>
                    </w:rPr>
                    <w:t>O</w:t>
                  </w:r>
                  <w:r>
                    <w:rPr>
                      <w:rFonts w:ascii="Times New Roman" w:hAnsi="Times New Roman" w:eastAsia="宋体" w:cs="Times New Roman"/>
                      <w:kern w:val="0"/>
                      <w:sz w:val="21"/>
                      <w:szCs w:val="21"/>
                      <w:vertAlign w:val="subscript"/>
                    </w:rPr>
                    <w:t>3</w:t>
                  </w:r>
                </w:p>
              </w:tc>
              <w:tc>
                <w:tcPr>
                  <w:tcW w:w="3151"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日最大8h平均质量浓度</w:t>
                  </w:r>
                </w:p>
              </w:tc>
              <w:tc>
                <w:tcPr>
                  <w:tcW w:w="1350"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190</w:t>
                  </w:r>
                </w:p>
              </w:tc>
              <w:tc>
                <w:tcPr>
                  <w:tcW w:w="1466"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160</w:t>
                  </w:r>
                </w:p>
              </w:tc>
              <w:tc>
                <w:tcPr>
                  <w:tcW w:w="916"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118.75</w:t>
                  </w:r>
                </w:p>
              </w:tc>
              <w:tc>
                <w:tcPr>
                  <w:tcW w:w="1004" w:type="dxa"/>
                  <w:tcBorders>
                    <w:top w:val="single" w:color="000000" w:sz="6" w:space="0"/>
                    <w:left w:val="single" w:color="000000" w:sz="6" w:space="0"/>
                    <w:bottom w:val="single" w:color="000000" w:sz="12" w:space="0"/>
                    <w:right w:val="nil"/>
                  </w:tcBorders>
                  <w:shd w:val="clear" w:color="auto" w:fill="FFFFFF"/>
                  <w:vAlign w:val="center"/>
                </w:tcPr>
                <w:p>
                  <w:pPr>
                    <w:pStyle w:val="54"/>
                    <w:spacing w:before="24" w:line="320" w:lineRule="exact"/>
                    <w:rPr>
                      <w:rFonts w:ascii="Times New Roman" w:hAnsi="Times New Roman" w:eastAsia="宋体" w:cs="Times New Roman"/>
                      <w:kern w:val="0"/>
                      <w:sz w:val="21"/>
                      <w:szCs w:val="21"/>
                    </w:rPr>
                  </w:pPr>
                  <w:r>
                    <w:rPr>
                      <w:rFonts w:ascii="Times New Roman" w:hAnsi="Times New Roman" w:eastAsia="宋体" w:cs="Times New Roman"/>
                      <w:kern w:val="0"/>
                      <w:sz w:val="21"/>
                      <w:szCs w:val="21"/>
                    </w:rPr>
                    <w:t>不达标</w:t>
                  </w:r>
                </w:p>
              </w:tc>
            </w:tr>
          </w:tbl>
          <w:p>
            <w:pPr>
              <w:autoSpaceDN w:val="0"/>
              <w:spacing w:line="520" w:lineRule="exact"/>
              <w:ind w:firstLine="480" w:firstLineChars="200"/>
              <w:rPr>
                <w:bCs/>
                <w:sz w:val="24"/>
              </w:rPr>
            </w:pPr>
            <w:r>
              <w:rPr>
                <w:bCs/>
                <w:sz w:val="24"/>
              </w:rPr>
              <w:t>环境空气基本污染物监测项目中，SO</w:t>
            </w:r>
            <w:r>
              <w:rPr>
                <w:bCs/>
                <w:sz w:val="24"/>
                <w:vertAlign w:val="subscript"/>
              </w:rPr>
              <w:t>2</w:t>
            </w:r>
            <w:r>
              <w:rPr>
                <w:bCs/>
                <w:sz w:val="24"/>
              </w:rPr>
              <w:t>年平均浓度值和CO24小时平均第95百分位数的浓度低于《环境空气质量标准》（GB3095-2012）中的二级标准要求； PM</w:t>
            </w:r>
            <w:r>
              <w:rPr>
                <w:bCs/>
                <w:sz w:val="24"/>
                <w:vertAlign w:val="subscript"/>
              </w:rPr>
              <w:t>10</w:t>
            </w:r>
            <w:r>
              <w:rPr>
                <w:bCs/>
                <w:sz w:val="24"/>
              </w:rPr>
              <w:t>、PM</w:t>
            </w:r>
            <w:r>
              <w:rPr>
                <w:bCs/>
                <w:sz w:val="24"/>
                <w:vertAlign w:val="subscript"/>
              </w:rPr>
              <w:t>2.5</w:t>
            </w:r>
            <w:r>
              <w:rPr>
                <w:bCs/>
                <w:sz w:val="24"/>
              </w:rPr>
              <w:t>、NO</w:t>
            </w:r>
            <w:r>
              <w:rPr>
                <w:bCs/>
                <w:sz w:val="24"/>
                <w:vertAlign w:val="subscript"/>
              </w:rPr>
              <w:t>2</w:t>
            </w:r>
            <w:r>
              <w:rPr>
                <w:bCs/>
                <w:sz w:val="24"/>
              </w:rPr>
              <w:t>年均浓度值、O</w:t>
            </w:r>
            <w:r>
              <w:rPr>
                <w:bCs/>
                <w:sz w:val="24"/>
                <w:vertAlign w:val="subscript"/>
              </w:rPr>
              <w:t>3</w:t>
            </w:r>
            <w:r>
              <w:rPr>
                <w:bCs/>
                <w:sz w:val="24"/>
              </w:rPr>
              <w:t>日最大8小时平均第90百分位浓度值均高于《环境空气质量标准》（GB3095-2012）中的二级标准要求。因此项目所在地为大气环境质量</w:t>
            </w:r>
            <w:r>
              <w:rPr>
                <w:rFonts w:hint="eastAsia"/>
                <w:bCs/>
                <w:sz w:val="24"/>
              </w:rPr>
              <w:t>不</w:t>
            </w:r>
            <w:r>
              <w:rPr>
                <w:bCs/>
                <w:sz w:val="24"/>
              </w:rPr>
              <w:t>达标区。</w:t>
            </w:r>
          </w:p>
          <w:p>
            <w:pPr>
              <w:pStyle w:val="17"/>
              <w:spacing w:before="50" w:line="520" w:lineRule="exact"/>
              <w:ind w:firstLine="480"/>
              <w:rPr>
                <w:rFonts w:ascii="Times New Roman" w:hAnsi="Times New Roman" w:cs="Times New Roman"/>
                <w:sz w:val="24"/>
                <w:szCs w:val="24"/>
              </w:rPr>
            </w:pPr>
            <w:r>
              <w:rPr>
                <w:rFonts w:ascii="Times New Roman" w:hAnsi="Times New Roman" w:cs="Times New Roman"/>
                <w:sz w:val="24"/>
              </w:rPr>
              <w:t>陕西汇捷维研检测技术有限公司</w:t>
            </w:r>
            <w:r>
              <w:rPr>
                <w:rFonts w:ascii="Times New Roman" w:hAnsi="Times New Roman" w:cs="Times New Roman"/>
                <w:sz w:val="24"/>
                <w:szCs w:val="24"/>
              </w:rPr>
              <w:t>于2019年6月8日至6月14日对</w:t>
            </w:r>
            <w:r>
              <w:rPr>
                <w:rFonts w:ascii="Times New Roman" w:hAnsi="Times New Roman" w:cs="Times New Roman"/>
                <w:sz w:val="24"/>
              </w:rPr>
              <w:t>本项目环境空气质量现状</w:t>
            </w:r>
            <w:r>
              <w:rPr>
                <w:rFonts w:ascii="Times New Roman" w:hAnsi="Times New Roman" w:cs="Times New Roman"/>
                <w:sz w:val="24"/>
                <w:szCs w:val="24"/>
              </w:rPr>
              <w:t>进行了监测，监测因子为非甲烷总烃、甲苯、二甲苯和乙苯，监测点位为项目所在地及所在地下风向5km范围内，共2个，监测结果见下表。</w:t>
            </w:r>
          </w:p>
          <w:p>
            <w:pPr>
              <w:pStyle w:val="17"/>
              <w:jc w:val="center"/>
              <w:rPr>
                <w:rFonts w:ascii="Times New Roman" w:hAnsi="Times New Roman" w:cs="Times New Roman"/>
                <w:b/>
                <w:kern w:val="0"/>
                <w:sz w:val="24"/>
              </w:rPr>
            </w:pPr>
            <w:r>
              <w:rPr>
                <w:rFonts w:ascii="Times New Roman" w:hAnsi="Times New Roman" w:eastAsia="黑体" w:cs="Times New Roman"/>
                <w:sz w:val="24"/>
              </w:rPr>
              <w:t>表13    非甲烷总烃监测结果      单位：mg/m</w:t>
            </w:r>
            <w:r>
              <w:rPr>
                <w:rFonts w:ascii="Times New Roman" w:hAnsi="Times New Roman" w:eastAsia="黑体" w:cs="Times New Roman"/>
                <w:sz w:val="24"/>
                <w:vertAlign w:val="superscript"/>
              </w:rPr>
              <w:t>3</w:t>
            </w:r>
          </w:p>
          <w:tbl>
            <w:tblPr>
              <w:tblStyle w:val="38"/>
              <w:tblW w:w="8819"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5"/>
              <w:gridCol w:w="695"/>
              <w:gridCol w:w="1056"/>
              <w:gridCol w:w="1056"/>
              <w:gridCol w:w="1079"/>
              <w:gridCol w:w="1057"/>
              <w:gridCol w:w="1057"/>
              <w:gridCol w:w="1057"/>
              <w:gridCol w:w="10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restart"/>
                  <w:vAlign w:val="center"/>
                </w:tcPr>
                <w:p>
                  <w:pPr>
                    <w:adjustRightInd w:val="0"/>
                    <w:snapToGrid w:val="0"/>
                    <w:jc w:val="center"/>
                    <w:rPr>
                      <w:bCs/>
                      <w:kern w:val="24"/>
                    </w:rPr>
                  </w:pPr>
                  <w:r>
                    <w:rPr>
                      <w:bCs/>
                      <w:kern w:val="24"/>
                    </w:rPr>
                    <w:t>采样点位</w:t>
                  </w:r>
                </w:p>
              </w:tc>
              <w:tc>
                <w:tcPr>
                  <w:tcW w:w="695" w:type="dxa"/>
                  <w:vMerge w:val="restart"/>
                  <w:vAlign w:val="center"/>
                </w:tcPr>
                <w:p>
                  <w:pPr>
                    <w:adjustRightInd w:val="0"/>
                    <w:snapToGrid w:val="0"/>
                    <w:jc w:val="center"/>
                    <w:rPr>
                      <w:bCs/>
                      <w:kern w:val="24"/>
                    </w:rPr>
                  </w:pPr>
                  <w:r>
                    <w:rPr>
                      <w:bCs/>
                      <w:kern w:val="24"/>
                    </w:rPr>
                    <w:t>采样时间</w:t>
                  </w:r>
                </w:p>
              </w:tc>
              <w:tc>
                <w:tcPr>
                  <w:tcW w:w="7419" w:type="dxa"/>
                  <w:gridSpan w:val="7"/>
                  <w:vAlign w:val="center"/>
                </w:tcPr>
                <w:p>
                  <w:pPr>
                    <w:adjustRightInd w:val="0"/>
                    <w:snapToGrid w:val="0"/>
                    <w:jc w:val="center"/>
                    <w:rPr>
                      <w:bCs/>
                      <w:kern w:val="24"/>
                    </w:rPr>
                  </w:pPr>
                  <w:r>
                    <w:rPr>
                      <w:bCs/>
                      <w:kern w:val="24"/>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continue"/>
                  <w:vAlign w:val="center"/>
                </w:tcPr>
                <w:p>
                  <w:pPr>
                    <w:adjustRightInd w:val="0"/>
                    <w:snapToGrid w:val="0"/>
                    <w:jc w:val="center"/>
                    <w:rPr>
                      <w:bCs/>
                      <w:kern w:val="24"/>
                    </w:rPr>
                  </w:pPr>
                </w:p>
              </w:tc>
              <w:tc>
                <w:tcPr>
                  <w:tcW w:w="695" w:type="dxa"/>
                  <w:vMerge w:val="continue"/>
                  <w:vAlign w:val="center"/>
                </w:tcPr>
                <w:p>
                  <w:pPr>
                    <w:adjustRightInd w:val="0"/>
                    <w:snapToGrid w:val="0"/>
                    <w:jc w:val="center"/>
                    <w:rPr>
                      <w:bCs/>
                      <w:kern w:val="24"/>
                    </w:rPr>
                  </w:pPr>
                </w:p>
              </w:tc>
              <w:tc>
                <w:tcPr>
                  <w:tcW w:w="1056" w:type="dxa"/>
                  <w:vAlign w:val="center"/>
                </w:tcPr>
                <w:p>
                  <w:pPr>
                    <w:adjustRightInd w:val="0"/>
                    <w:snapToGrid w:val="0"/>
                    <w:jc w:val="center"/>
                    <w:rPr>
                      <w:bCs/>
                      <w:kern w:val="24"/>
                    </w:rPr>
                  </w:pPr>
                  <w:r>
                    <w:rPr>
                      <w:bCs/>
                      <w:kern w:val="24"/>
                    </w:rPr>
                    <w:t>2019.6.8</w:t>
                  </w:r>
                </w:p>
              </w:tc>
              <w:tc>
                <w:tcPr>
                  <w:tcW w:w="1056" w:type="dxa"/>
                  <w:vAlign w:val="center"/>
                </w:tcPr>
                <w:p>
                  <w:pPr>
                    <w:adjustRightInd w:val="0"/>
                    <w:snapToGrid w:val="0"/>
                    <w:jc w:val="center"/>
                    <w:rPr>
                      <w:bCs/>
                      <w:kern w:val="24"/>
                    </w:rPr>
                  </w:pPr>
                  <w:r>
                    <w:rPr>
                      <w:bCs/>
                      <w:kern w:val="24"/>
                    </w:rPr>
                    <w:t>2019.6.9</w:t>
                  </w:r>
                </w:p>
              </w:tc>
              <w:tc>
                <w:tcPr>
                  <w:tcW w:w="1079" w:type="dxa"/>
                  <w:vAlign w:val="center"/>
                </w:tcPr>
                <w:p>
                  <w:pPr>
                    <w:adjustRightInd w:val="0"/>
                    <w:snapToGrid w:val="0"/>
                    <w:jc w:val="center"/>
                    <w:rPr>
                      <w:bCs/>
                      <w:kern w:val="24"/>
                    </w:rPr>
                  </w:pPr>
                  <w:r>
                    <w:rPr>
                      <w:bCs/>
                      <w:kern w:val="24"/>
                    </w:rPr>
                    <w:t>2019.6.10</w:t>
                  </w:r>
                </w:p>
              </w:tc>
              <w:tc>
                <w:tcPr>
                  <w:tcW w:w="1057" w:type="dxa"/>
                  <w:vAlign w:val="center"/>
                </w:tcPr>
                <w:p>
                  <w:pPr>
                    <w:adjustRightInd w:val="0"/>
                    <w:snapToGrid w:val="0"/>
                    <w:jc w:val="center"/>
                    <w:rPr>
                      <w:bCs/>
                      <w:kern w:val="24"/>
                    </w:rPr>
                  </w:pPr>
                  <w:r>
                    <w:rPr>
                      <w:bCs/>
                      <w:kern w:val="24"/>
                    </w:rPr>
                    <w:t>2019.6.11</w:t>
                  </w:r>
                </w:p>
              </w:tc>
              <w:tc>
                <w:tcPr>
                  <w:tcW w:w="1057" w:type="dxa"/>
                  <w:vAlign w:val="center"/>
                </w:tcPr>
                <w:p>
                  <w:pPr>
                    <w:adjustRightInd w:val="0"/>
                    <w:snapToGrid w:val="0"/>
                    <w:jc w:val="center"/>
                    <w:rPr>
                      <w:bCs/>
                      <w:kern w:val="24"/>
                    </w:rPr>
                  </w:pPr>
                  <w:r>
                    <w:rPr>
                      <w:bCs/>
                      <w:kern w:val="24"/>
                    </w:rPr>
                    <w:t>2019.6.12</w:t>
                  </w:r>
                </w:p>
              </w:tc>
              <w:tc>
                <w:tcPr>
                  <w:tcW w:w="1057" w:type="dxa"/>
                  <w:vAlign w:val="center"/>
                </w:tcPr>
                <w:p>
                  <w:pPr>
                    <w:adjustRightInd w:val="0"/>
                    <w:snapToGrid w:val="0"/>
                    <w:jc w:val="center"/>
                    <w:rPr>
                      <w:bCs/>
                      <w:kern w:val="24"/>
                    </w:rPr>
                  </w:pPr>
                  <w:r>
                    <w:rPr>
                      <w:bCs/>
                      <w:kern w:val="24"/>
                    </w:rPr>
                    <w:t>2019.6.13</w:t>
                  </w:r>
                </w:p>
              </w:tc>
              <w:tc>
                <w:tcPr>
                  <w:tcW w:w="1057" w:type="dxa"/>
                  <w:vAlign w:val="center"/>
                </w:tcPr>
                <w:p>
                  <w:pPr>
                    <w:adjustRightInd w:val="0"/>
                    <w:snapToGrid w:val="0"/>
                    <w:jc w:val="center"/>
                    <w:rPr>
                      <w:bCs/>
                      <w:kern w:val="24"/>
                    </w:rPr>
                  </w:pPr>
                  <w:r>
                    <w:rPr>
                      <w:bCs/>
                      <w:kern w:val="24"/>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restart"/>
                  <w:vAlign w:val="center"/>
                </w:tcPr>
                <w:p>
                  <w:pPr>
                    <w:jc w:val="center"/>
                  </w:pPr>
                  <w:r>
                    <w:rPr>
                      <w:kern w:val="0"/>
                    </w:rPr>
                    <w:t>1#项目所在地</w:t>
                  </w:r>
                </w:p>
              </w:tc>
              <w:tc>
                <w:tcPr>
                  <w:tcW w:w="695" w:type="dxa"/>
                  <w:vAlign w:val="center"/>
                </w:tcPr>
                <w:p>
                  <w:pPr>
                    <w:jc w:val="center"/>
                  </w:pPr>
                  <w:r>
                    <w:rPr>
                      <w:bCs/>
                    </w:rPr>
                    <w:t>02:00</w:t>
                  </w:r>
                </w:p>
              </w:tc>
              <w:tc>
                <w:tcPr>
                  <w:tcW w:w="1056" w:type="dxa"/>
                  <w:vAlign w:val="center"/>
                </w:tcPr>
                <w:p>
                  <w:pPr>
                    <w:spacing w:line="0" w:lineRule="atLeast"/>
                    <w:jc w:val="center"/>
                    <w:rPr>
                      <w:rFonts w:eastAsia="DengXian"/>
                    </w:rPr>
                  </w:pPr>
                  <w:r>
                    <w:rPr>
                      <w:rFonts w:eastAsia="DengXian"/>
                    </w:rPr>
                    <w:t>0.74</w:t>
                  </w:r>
                </w:p>
              </w:tc>
              <w:tc>
                <w:tcPr>
                  <w:tcW w:w="1056" w:type="dxa"/>
                  <w:vAlign w:val="center"/>
                </w:tcPr>
                <w:p>
                  <w:pPr>
                    <w:spacing w:line="0" w:lineRule="atLeast"/>
                    <w:jc w:val="center"/>
                    <w:rPr>
                      <w:rFonts w:eastAsia="DengXian"/>
                    </w:rPr>
                  </w:pPr>
                  <w:r>
                    <w:rPr>
                      <w:rFonts w:eastAsia="DengXian"/>
                    </w:rPr>
                    <w:t>0.70</w:t>
                  </w:r>
                </w:p>
              </w:tc>
              <w:tc>
                <w:tcPr>
                  <w:tcW w:w="1079" w:type="dxa"/>
                  <w:vAlign w:val="center"/>
                </w:tcPr>
                <w:p>
                  <w:pPr>
                    <w:spacing w:line="0" w:lineRule="atLeast"/>
                    <w:jc w:val="center"/>
                  </w:pPr>
                  <w:r>
                    <w:t>0.62</w:t>
                  </w:r>
                </w:p>
              </w:tc>
              <w:tc>
                <w:tcPr>
                  <w:tcW w:w="1057" w:type="dxa"/>
                  <w:vAlign w:val="center"/>
                </w:tcPr>
                <w:p>
                  <w:pPr>
                    <w:spacing w:line="0" w:lineRule="atLeast"/>
                    <w:jc w:val="center"/>
                  </w:pPr>
                  <w:r>
                    <w:t>0.74</w:t>
                  </w:r>
                </w:p>
              </w:tc>
              <w:tc>
                <w:tcPr>
                  <w:tcW w:w="1057" w:type="dxa"/>
                  <w:vAlign w:val="center"/>
                </w:tcPr>
                <w:p>
                  <w:pPr>
                    <w:spacing w:line="0" w:lineRule="atLeast"/>
                    <w:jc w:val="center"/>
                  </w:pPr>
                  <w:r>
                    <w:t>0.60</w:t>
                  </w:r>
                </w:p>
              </w:tc>
              <w:tc>
                <w:tcPr>
                  <w:tcW w:w="1057" w:type="dxa"/>
                  <w:vAlign w:val="center"/>
                </w:tcPr>
                <w:p>
                  <w:pPr>
                    <w:spacing w:line="0" w:lineRule="atLeast"/>
                    <w:jc w:val="center"/>
                  </w:pPr>
                  <w:r>
                    <w:t>0.63</w:t>
                  </w:r>
                </w:p>
              </w:tc>
              <w:tc>
                <w:tcPr>
                  <w:tcW w:w="1057" w:type="dxa"/>
                  <w:vAlign w:val="center"/>
                </w:tcPr>
                <w:p>
                  <w:pPr>
                    <w:spacing w:line="0" w:lineRule="atLeast"/>
                    <w:jc w:val="center"/>
                  </w:pPr>
                  <w:r>
                    <w:t>0.60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continue"/>
                  <w:vAlign w:val="center"/>
                </w:tcPr>
                <w:p>
                  <w:pPr>
                    <w:jc w:val="center"/>
                    <w:rPr>
                      <w:bCs/>
                      <w:kern w:val="24"/>
                    </w:rPr>
                  </w:pPr>
                </w:p>
              </w:tc>
              <w:tc>
                <w:tcPr>
                  <w:tcW w:w="695" w:type="dxa"/>
                  <w:vAlign w:val="center"/>
                </w:tcPr>
                <w:p>
                  <w:pPr>
                    <w:jc w:val="center"/>
                  </w:pPr>
                  <w:r>
                    <w:rPr>
                      <w:bCs/>
                    </w:rPr>
                    <w:t>08:00</w:t>
                  </w:r>
                </w:p>
              </w:tc>
              <w:tc>
                <w:tcPr>
                  <w:tcW w:w="1056" w:type="dxa"/>
                  <w:vAlign w:val="center"/>
                </w:tcPr>
                <w:p>
                  <w:pPr>
                    <w:spacing w:line="0" w:lineRule="atLeast"/>
                    <w:jc w:val="center"/>
                    <w:rPr>
                      <w:rFonts w:eastAsia="DengXian"/>
                    </w:rPr>
                  </w:pPr>
                  <w:r>
                    <w:rPr>
                      <w:rFonts w:eastAsia="DengXian"/>
                    </w:rPr>
                    <w:t>0.83</w:t>
                  </w:r>
                </w:p>
              </w:tc>
              <w:tc>
                <w:tcPr>
                  <w:tcW w:w="1056" w:type="dxa"/>
                  <w:vAlign w:val="center"/>
                </w:tcPr>
                <w:p>
                  <w:pPr>
                    <w:spacing w:line="0" w:lineRule="atLeast"/>
                    <w:jc w:val="center"/>
                    <w:rPr>
                      <w:rFonts w:eastAsia="DengXian"/>
                    </w:rPr>
                  </w:pPr>
                  <w:r>
                    <w:rPr>
                      <w:rFonts w:eastAsia="DengXian"/>
                    </w:rPr>
                    <w:t>0.71</w:t>
                  </w:r>
                </w:p>
              </w:tc>
              <w:tc>
                <w:tcPr>
                  <w:tcW w:w="1079" w:type="dxa"/>
                  <w:vAlign w:val="center"/>
                </w:tcPr>
                <w:p>
                  <w:pPr>
                    <w:spacing w:line="0" w:lineRule="atLeast"/>
                    <w:jc w:val="center"/>
                  </w:pPr>
                  <w:r>
                    <w:t>0.69</w:t>
                  </w:r>
                </w:p>
              </w:tc>
              <w:tc>
                <w:tcPr>
                  <w:tcW w:w="1057" w:type="dxa"/>
                  <w:vAlign w:val="center"/>
                </w:tcPr>
                <w:p>
                  <w:pPr>
                    <w:spacing w:line="0" w:lineRule="atLeast"/>
                    <w:jc w:val="center"/>
                  </w:pPr>
                  <w:r>
                    <w:t>0.69</w:t>
                  </w:r>
                </w:p>
              </w:tc>
              <w:tc>
                <w:tcPr>
                  <w:tcW w:w="1057" w:type="dxa"/>
                  <w:vAlign w:val="center"/>
                </w:tcPr>
                <w:p>
                  <w:pPr>
                    <w:spacing w:line="0" w:lineRule="atLeast"/>
                    <w:jc w:val="center"/>
                  </w:pPr>
                  <w:r>
                    <w:t>0.65</w:t>
                  </w:r>
                </w:p>
              </w:tc>
              <w:tc>
                <w:tcPr>
                  <w:tcW w:w="1057" w:type="dxa"/>
                  <w:vAlign w:val="center"/>
                </w:tcPr>
                <w:p>
                  <w:pPr>
                    <w:spacing w:line="0" w:lineRule="atLeast"/>
                    <w:jc w:val="center"/>
                  </w:pPr>
                  <w:r>
                    <w:t>0.56</w:t>
                  </w:r>
                </w:p>
              </w:tc>
              <w:tc>
                <w:tcPr>
                  <w:tcW w:w="1057" w:type="dxa"/>
                  <w:vAlign w:val="center"/>
                </w:tcPr>
                <w:p>
                  <w:pPr>
                    <w:spacing w:line="0" w:lineRule="atLeast"/>
                    <w:jc w:val="center"/>
                  </w:pPr>
                  <w:r>
                    <w:t>0.61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705" w:type="dxa"/>
                  <w:vMerge w:val="continue"/>
                  <w:vAlign w:val="center"/>
                </w:tcPr>
                <w:p>
                  <w:pPr>
                    <w:jc w:val="center"/>
                    <w:rPr>
                      <w:bCs/>
                      <w:kern w:val="24"/>
                    </w:rPr>
                  </w:pPr>
                </w:p>
              </w:tc>
              <w:tc>
                <w:tcPr>
                  <w:tcW w:w="695" w:type="dxa"/>
                  <w:vAlign w:val="center"/>
                </w:tcPr>
                <w:p>
                  <w:pPr>
                    <w:jc w:val="center"/>
                  </w:pPr>
                  <w:r>
                    <w:rPr>
                      <w:bCs/>
                    </w:rPr>
                    <w:t>14:00</w:t>
                  </w:r>
                </w:p>
              </w:tc>
              <w:tc>
                <w:tcPr>
                  <w:tcW w:w="1056" w:type="dxa"/>
                  <w:vAlign w:val="center"/>
                </w:tcPr>
                <w:p>
                  <w:pPr>
                    <w:spacing w:line="0" w:lineRule="atLeast"/>
                    <w:jc w:val="center"/>
                    <w:rPr>
                      <w:rFonts w:eastAsia="DengXian"/>
                    </w:rPr>
                  </w:pPr>
                  <w:r>
                    <w:rPr>
                      <w:rFonts w:eastAsia="DengXian"/>
                    </w:rPr>
                    <w:t>0.71</w:t>
                  </w:r>
                </w:p>
              </w:tc>
              <w:tc>
                <w:tcPr>
                  <w:tcW w:w="1056" w:type="dxa"/>
                  <w:vAlign w:val="center"/>
                </w:tcPr>
                <w:p>
                  <w:pPr>
                    <w:spacing w:line="0" w:lineRule="atLeast"/>
                    <w:jc w:val="center"/>
                    <w:rPr>
                      <w:rFonts w:eastAsia="DengXian"/>
                    </w:rPr>
                  </w:pPr>
                  <w:r>
                    <w:rPr>
                      <w:rFonts w:eastAsia="DengXian"/>
                    </w:rPr>
                    <w:t>0.65</w:t>
                  </w:r>
                </w:p>
              </w:tc>
              <w:tc>
                <w:tcPr>
                  <w:tcW w:w="1079" w:type="dxa"/>
                  <w:vAlign w:val="center"/>
                </w:tcPr>
                <w:p>
                  <w:pPr>
                    <w:spacing w:line="0" w:lineRule="atLeast"/>
                    <w:jc w:val="center"/>
                  </w:pPr>
                  <w:r>
                    <w:t>0.67</w:t>
                  </w:r>
                </w:p>
              </w:tc>
              <w:tc>
                <w:tcPr>
                  <w:tcW w:w="1057" w:type="dxa"/>
                  <w:vAlign w:val="center"/>
                </w:tcPr>
                <w:p>
                  <w:pPr>
                    <w:spacing w:line="0" w:lineRule="atLeast"/>
                    <w:jc w:val="center"/>
                  </w:pPr>
                  <w:r>
                    <w:t>0.73</w:t>
                  </w:r>
                </w:p>
              </w:tc>
              <w:tc>
                <w:tcPr>
                  <w:tcW w:w="1057" w:type="dxa"/>
                  <w:vAlign w:val="center"/>
                </w:tcPr>
                <w:p>
                  <w:pPr>
                    <w:spacing w:line="0" w:lineRule="atLeast"/>
                    <w:jc w:val="center"/>
                  </w:pPr>
                  <w:r>
                    <w:t>0.63</w:t>
                  </w:r>
                </w:p>
              </w:tc>
              <w:tc>
                <w:tcPr>
                  <w:tcW w:w="1057" w:type="dxa"/>
                  <w:vAlign w:val="center"/>
                </w:tcPr>
                <w:p>
                  <w:pPr>
                    <w:spacing w:line="0" w:lineRule="atLeast"/>
                    <w:jc w:val="center"/>
                  </w:pPr>
                  <w:r>
                    <w:t>0.60</w:t>
                  </w:r>
                </w:p>
              </w:tc>
              <w:tc>
                <w:tcPr>
                  <w:tcW w:w="1057" w:type="dxa"/>
                  <w:vAlign w:val="center"/>
                </w:tcPr>
                <w:p>
                  <w:pPr>
                    <w:spacing w:line="0" w:lineRule="atLeast"/>
                    <w:jc w:val="center"/>
                  </w:pPr>
                  <w:r>
                    <w:t>0.67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705" w:type="dxa"/>
                  <w:vMerge w:val="continue"/>
                  <w:vAlign w:val="center"/>
                </w:tcPr>
                <w:p>
                  <w:pPr>
                    <w:jc w:val="center"/>
                    <w:rPr>
                      <w:bCs/>
                      <w:kern w:val="24"/>
                    </w:rPr>
                  </w:pPr>
                </w:p>
              </w:tc>
              <w:tc>
                <w:tcPr>
                  <w:tcW w:w="695" w:type="dxa"/>
                  <w:vAlign w:val="center"/>
                </w:tcPr>
                <w:p>
                  <w:pPr>
                    <w:jc w:val="center"/>
                    <w:rPr>
                      <w:b/>
                    </w:rPr>
                  </w:pPr>
                  <w:r>
                    <w:rPr>
                      <w:bCs/>
                    </w:rPr>
                    <w:t>20:00</w:t>
                  </w:r>
                </w:p>
              </w:tc>
              <w:tc>
                <w:tcPr>
                  <w:tcW w:w="1056" w:type="dxa"/>
                  <w:vAlign w:val="center"/>
                </w:tcPr>
                <w:p>
                  <w:pPr>
                    <w:spacing w:line="0" w:lineRule="atLeast"/>
                    <w:jc w:val="center"/>
                    <w:rPr>
                      <w:rFonts w:eastAsia="DengXian"/>
                    </w:rPr>
                  </w:pPr>
                  <w:r>
                    <w:rPr>
                      <w:rFonts w:eastAsia="DengXian"/>
                    </w:rPr>
                    <w:t>0.80</w:t>
                  </w:r>
                </w:p>
              </w:tc>
              <w:tc>
                <w:tcPr>
                  <w:tcW w:w="1056" w:type="dxa"/>
                  <w:vAlign w:val="center"/>
                </w:tcPr>
                <w:p>
                  <w:pPr>
                    <w:spacing w:line="0" w:lineRule="atLeast"/>
                    <w:jc w:val="center"/>
                    <w:rPr>
                      <w:rFonts w:eastAsia="DengXian"/>
                    </w:rPr>
                  </w:pPr>
                  <w:r>
                    <w:rPr>
                      <w:rFonts w:eastAsia="DengXian"/>
                    </w:rPr>
                    <w:t>0.70</w:t>
                  </w:r>
                </w:p>
              </w:tc>
              <w:tc>
                <w:tcPr>
                  <w:tcW w:w="1079" w:type="dxa"/>
                  <w:vAlign w:val="center"/>
                </w:tcPr>
                <w:p>
                  <w:pPr>
                    <w:spacing w:line="0" w:lineRule="atLeast"/>
                    <w:jc w:val="center"/>
                  </w:pPr>
                  <w:r>
                    <w:t>0.63</w:t>
                  </w:r>
                </w:p>
              </w:tc>
              <w:tc>
                <w:tcPr>
                  <w:tcW w:w="1057" w:type="dxa"/>
                  <w:vAlign w:val="center"/>
                </w:tcPr>
                <w:p>
                  <w:pPr>
                    <w:spacing w:line="0" w:lineRule="atLeast"/>
                    <w:jc w:val="center"/>
                  </w:pPr>
                  <w:r>
                    <w:t>0.68</w:t>
                  </w:r>
                </w:p>
              </w:tc>
              <w:tc>
                <w:tcPr>
                  <w:tcW w:w="1057" w:type="dxa"/>
                  <w:vAlign w:val="center"/>
                </w:tcPr>
                <w:p>
                  <w:pPr>
                    <w:spacing w:line="0" w:lineRule="atLeast"/>
                    <w:jc w:val="center"/>
                  </w:pPr>
                  <w:r>
                    <w:t>0.62</w:t>
                  </w:r>
                </w:p>
              </w:tc>
              <w:tc>
                <w:tcPr>
                  <w:tcW w:w="1057" w:type="dxa"/>
                  <w:vAlign w:val="center"/>
                </w:tcPr>
                <w:p>
                  <w:pPr>
                    <w:spacing w:line="0" w:lineRule="atLeast"/>
                    <w:jc w:val="center"/>
                  </w:pPr>
                  <w:r>
                    <w:t>0.66</w:t>
                  </w:r>
                </w:p>
              </w:tc>
              <w:tc>
                <w:tcPr>
                  <w:tcW w:w="1057" w:type="dxa"/>
                  <w:vAlign w:val="center"/>
                </w:tcPr>
                <w:p>
                  <w:pPr>
                    <w:spacing w:line="0" w:lineRule="atLeast"/>
                    <w:jc w:val="center"/>
                  </w:pPr>
                  <w:r>
                    <w:t>0.68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restart"/>
                  <w:vAlign w:val="center"/>
                </w:tcPr>
                <w:p>
                  <w:pPr>
                    <w:jc w:val="center"/>
                  </w:pPr>
                  <w:r>
                    <w:rPr>
                      <w:kern w:val="0"/>
                    </w:rPr>
                    <w:t>2#项目所在地下风向</w:t>
                  </w:r>
                </w:p>
              </w:tc>
              <w:tc>
                <w:tcPr>
                  <w:tcW w:w="695" w:type="dxa"/>
                  <w:vAlign w:val="center"/>
                </w:tcPr>
                <w:p>
                  <w:pPr>
                    <w:jc w:val="center"/>
                  </w:pPr>
                  <w:r>
                    <w:rPr>
                      <w:bCs/>
                    </w:rPr>
                    <w:t>02:00</w:t>
                  </w:r>
                </w:p>
              </w:tc>
              <w:tc>
                <w:tcPr>
                  <w:tcW w:w="1056" w:type="dxa"/>
                  <w:vAlign w:val="center"/>
                </w:tcPr>
                <w:p>
                  <w:pPr>
                    <w:spacing w:line="0" w:lineRule="atLeast"/>
                    <w:jc w:val="center"/>
                    <w:rPr>
                      <w:rFonts w:eastAsia="DengXian"/>
                    </w:rPr>
                  </w:pPr>
                  <w:r>
                    <w:rPr>
                      <w:rFonts w:eastAsia="DengXian"/>
                    </w:rPr>
                    <w:t>1.00</w:t>
                  </w:r>
                </w:p>
              </w:tc>
              <w:tc>
                <w:tcPr>
                  <w:tcW w:w="1056" w:type="dxa"/>
                  <w:vAlign w:val="center"/>
                </w:tcPr>
                <w:p>
                  <w:pPr>
                    <w:spacing w:line="0" w:lineRule="atLeast"/>
                    <w:jc w:val="center"/>
                  </w:pPr>
                  <w:r>
                    <w:t>0.86</w:t>
                  </w:r>
                </w:p>
              </w:tc>
              <w:tc>
                <w:tcPr>
                  <w:tcW w:w="1079" w:type="dxa"/>
                  <w:vAlign w:val="center"/>
                </w:tcPr>
                <w:p>
                  <w:pPr>
                    <w:spacing w:line="0" w:lineRule="atLeast"/>
                    <w:jc w:val="center"/>
                  </w:pPr>
                  <w:r>
                    <w:t>0.88</w:t>
                  </w:r>
                </w:p>
              </w:tc>
              <w:tc>
                <w:tcPr>
                  <w:tcW w:w="1057" w:type="dxa"/>
                  <w:vAlign w:val="center"/>
                </w:tcPr>
                <w:p>
                  <w:pPr>
                    <w:spacing w:line="0" w:lineRule="atLeast"/>
                    <w:jc w:val="center"/>
                  </w:pPr>
                  <w:r>
                    <w:t>0.92</w:t>
                  </w:r>
                </w:p>
              </w:tc>
              <w:tc>
                <w:tcPr>
                  <w:tcW w:w="1057" w:type="dxa"/>
                  <w:vAlign w:val="center"/>
                </w:tcPr>
                <w:p>
                  <w:pPr>
                    <w:spacing w:line="0" w:lineRule="atLeast"/>
                    <w:jc w:val="center"/>
                  </w:pPr>
                  <w:r>
                    <w:t>0.92</w:t>
                  </w:r>
                </w:p>
              </w:tc>
              <w:tc>
                <w:tcPr>
                  <w:tcW w:w="1057" w:type="dxa"/>
                  <w:vAlign w:val="center"/>
                </w:tcPr>
                <w:p>
                  <w:pPr>
                    <w:spacing w:line="0" w:lineRule="atLeast"/>
                    <w:jc w:val="center"/>
                  </w:pPr>
                  <w:r>
                    <w:t>0.73</w:t>
                  </w:r>
                </w:p>
              </w:tc>
              <w:tc>
                <w:tcPr>
                  <w:tcW w:w="1057" w:type="dxa"/>
                  <w:vAlign w:val="center"/>
                </w:tcPr>
                <w:p>
                  <w:pPr>
                    <w:spacing w:line="0" w:lineRule="atLeast"/>
                    <w:jc w:val="center"/>
                  </w:pPr>
                  <w:r>
                    <w:t>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continue"/>
                  <w:vAlign w:val="center"/>
                </w:tcPr>
                <w:p>
                  <w:pPr>
                    <w:jc w:val="center"/>
                  </w:pPr>
                </w:p>
              </w:tc>
              <w:tc>
                <w:tcPr>
                  <w:tcW w:w="695" w:type="dxa"/>
                  <w:vAlign w:val="center"/>
                </w:tcPr>
                <w:p>
                  <w:pPr>
                    <w:jc w:val="center"/>
                  </w:pPr>
                  <w:r>
                    <w:rPr>
                      <w:bCs/>
                    </w:rPr>
                    <w:t>08:00</w:t>
                  </w:r>
                </w:p>
              </w:tc>
              <w:tc>
                <w:tcPr>
                  <w:tcW w:w="1056" w:type="dxa"/>
                  <w:vAlign w:val="center"/>
                </w:tcPr>
                <w:p>
                  <w:pPr>
                    <w:spacing w:line="0" w:lineRule="atLeast"/>
                    <w:jc w:val="center"/>
                    <w:rPr>
                      <w:rFonts w:eastAsia="DengXian"/>
                    </w:rPr>
                  </w:pPr>
                  <w:r>
                    <w:rPr>
                      <w:rFonts w:eastAsia="DengXian"/>
                    </w:rPr>
                    <w:t>1.18</w:t>
                  </w:r>
                </w:p>
              </w:tc>
              <w:tc>
                <w:tcPr>
                  <w:tcW w:w="1056" w:type="dxa"/>
                  <w:vAlign w:val="center"/>
                </w:tcPr>
                <w:p>
                  <w:pPr>
                    <w:spacing w:line="0" w:lineRule="atLeast"/>
                    <w:jc w:val="center"/>
                  </w:pPr>
                  <w:r>
                    <w:t>0.79</w:t>
                  </w:r>
                </w:p>
              </w:tc>
              <w:tc>
                <w:tcPr>
                  <w:tcW w:w="1079" w:type="dxa"/>
                  <w:vAlign w:val="center"/>
                </w:tcPr>
                <w:p>
                  <w:pPr>
                    <w:spacing w:line="0" w:lineRule="atLeast"/>
                    <w:jc w:val="center"/>
                  </w:pPr>
                  <w:r>
                    <w:t>1.03</w:t>
                  </w:r>
                </w:p>
              </w:tc>
              <w:tc>
                <w:tcPr>
                  <w:tcW w:w="1057" w:type="dxa"/>
                  <w:vAlign w:val="center"/>
                </w:tcPr>
                <w:p>
                  <w:pPr>
                    <w:spacing w:line="0" w:lineRule="atLeast"/>
                    <w:jc w:val="center"/>
                  </w:pPr>
                  <w:r>
                    <w:t>0.86</w:t>
                  </w:r>
                </w:p>
              </w:tc>
              <w:tc>
                <w:tcPr>
                  <w:tcW w:w="1057" w:type="dxa"/>
                  <w:vAlign w:val="center"/>
                </w:tcPr>
                <w:p>
                  <w:pPr>
                    <w:spacing w:line="0" w:lineRule="atLeast"/>
                    <w:jc w:val="center"/>
                  </w:pPr>
                  <w:r>
                    <w:t>1.00</w:t>
                  </w:r>
                </w:p>
              </w:tc>
              <w:tc>
                <w:tcPr>
                  <w:tcW w:w="1057" w:type="dxa"/>
                  <w:vAlign w:val="center"/>
                </w:tcPr>
                <w:p>
                  <w:pPr>
                    <w:spacing w:line="0" w:lineRule="atLeast"/>
                    <w:jc w:val="center"/>
                  </w:pPr>
                  <w:r>
                    <w:t>0.76</w:t>
                  </w:r>
                </w:p>
              </w:tc>
              <w:tc>
                <w:tcPr>
                  <w:tcW w:w="1057" w:type="dxa"/>
                  <w:vAlign w:val="center"/>
                </w:tcPr>
                <w:p>
                  <w:pPr>
                    <w:spacing w:line="0" w:lineRule="atLeast"/>
                    <w:jc w:val="center"/>
                  </w:pPr>
                  <w:r>
                    <w:t>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continue"/>
                  <w:vAlign w:val="center"/>
                </w:tcPr>
                <w:p>
                  <w:pPr>
                    <w:jc w:val="center"/>
                  </w:pPr>
                </w:p>
              </w:tc>
              <w:tc>
                <w:tcPr>
                  <w:tcW w:w="695" w:type="dxa"/>
                  <w:vAlign w:val="center"/>
                </w:tcPr>
                <w:p>
                  <w:pPr>
                    <w:jc w:val="center"/>
                  </w:pPr>
                  <w:r>
                    <w:rPr>
                      <w:bCs/>
                    </w:rPr>
                    <w:t>14:00</w:t>
                  </w:r>
                </w:p>
              </w:tc>
              <w:tc>
                <w:tcPr>
                  <w:tcW w:w="1056" w:type="dxa"/>
                  <w:vAlign w:val="center"/>
                </w:tcPr>
                <w:p>
                  <w:pPr>
                    <w:spacing w:line="0" w:lineRule="atLeast"/>
                    <w:jc w:val="center"/>
                    <w:rPr>
                      <w:rFonts w:eastAsia="DengXian"/>
                    </w:rPr>
                  </w:pPr>
                  <w:r>
                    <w:rPr>
                      <w:rFonts w:eastAsia="DengXian"/>
                    </w:rPr>
                    <w:t>0.95</w:t>
                  </w:r>
                </w:p>
              </w:tc>
              <w:tc>
                <w:tcPr>
                  <w:tcW w:w="1056" w:type="dxa"/>
                  <w:vAlign w:val="center"/>
                </w:tcPr>
                <w:p>
                  <w:pPr>
                    <w:spacing w:line="0" w:lineRule="atLeast"/>
                    <w:jc w:val="center"/>
                  </w:pPr>
                  <w:r>
                    <w:t>0.82</w:t>
                  </w:r>
                </w:p>
              </w:tc>
              <w:tc>
                <w:tcPr>
                  <w:tcW w:w="1079" w:type="dxa"/>
                  <w:vAlign w:val="center"/>
                </w:tcPr>
                <w:p>
                  <w:pPr>
                    <w:spacing w:line="0" w:lineRule="atLeast"/>
                    <w:jc w:val="center"/>
                  </w:pPr>
                  <w:r>
                    <w:t>0.90</w:t>
                  </w:r>
                </w:p>
              </w:tc>
              <w:tc>
                <w:tcPr>
                  <w:tcW w:w="1057" w:type="dxa"/>
                  <w:vAlign w:val="center"/>
                </w:tcPr>
                <w:p>
                  <w:pPr>
                    <w:spacing w:line="0" w:lineRule="atLeast"/>
                    <w:jc w:val="center"/>
                  </w:pPr>
                  <w:r>
                    <w:t>0.97</w:t>
                  </w:r>
                </w:p>
              </w:tc>
              <w:tc>
                <w:tcPr>
                  <w:tcW w:w="1057" w:type="dxa"/>
                  <w:vAlign w:val="center"/>
                </w:tcPr>
                <w:p>
                  <w:pPr>
                    <w:spacing w:line="0" w:lineRule="atLeast"/>
                    <w:jc w:val="center"/>
                  </w:pPr>
                  <w:r>
                    <w:t>1.09</w:t>
                  </w:r>
                </w:p>
              </w:tc>
              <w:tc>
                <w:tcPr>
                  <w:tcW w:w="1057" w:type="dxa"/>
                  <w:vAlign w:val="center"/>
                </w:tcPr>
                <w:p>
                  <w:pPr>
                    <w:spacing w:line="0" w:lineRule="atLeast"/>
                    <w:jc w:val="center"/>
                  </w:pPr>
                  <w:r>
                    <w:t>0.76</w:t>
                  </w:r>
                </w:p>
              </w:tc>
              <w:tc>
                <w:tcPr>
                  <w:tcW w:w="1057" w:type="dxa"/>
                  <w:vAlign w:val="center"/>
                </w:tcPr>
                <w:p>
                  <w:pPr>
                    <w:spacing w:line="0" w:lineRule="atLeast"/>
                    <w:jc w:val="center"/>
                  </w:pPr>
                  <w:r>
                    <w:t>0.87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5" w:type="dxa"/>
                  <w:vMerge w:val="continue"/>
                  <w:vAlign w:val="center"/>
                </w:tcPr>
                <w:p>
                  <w:pPr>
                    <w:jc w:val="center"/>
                  </w:pPr>
                </w:p>
              </w:tc>
              <w:tc>
                <w:tcPr>
                  <w:tcW w:w="695" w:type="dxa"/>
                  <w:vAlign w:val="center"/>
                </w:tcPr>
                <w:p>
                  <w:pPr>
                    <w:jc w:val="center"/>
                    <w:rPr>
                      <w:b/>
                    </w:rPr>
                  </w:pPr>
                  <w:r>
                    <w:rPr>
                      <w:bCs/>
                    </w:rPr>
                    <w:t>20:00</w:t>
                  </w:r>
                </w:p>
              </w:tc>
              <w:tc>
                <w:tcPr>
                  <w:tcW w:w="1056" w:type="dxa"/>
                  <w:vAlign w:val="center"/>
                </w:tcPr>
                <w:p>
                  <w:pPr>
                    <w:spacing w:line="0" w:lineRule="atLeast"/>
                    <w:jc w:val="center"/>
                    <w:rPr>
                      <w:rFonts w:eastAsia="DengXian"/>
                    </w:rPr>
                  </w:pPr>
                  <w:r>
                    <w:rPr>
                      <w:rFonts w:eastAsia="DengXian"/>
                    </w:rPr>
                    <w:t>1.00</w:t>
                  </w:r>
                </w:p>
              </w:tc>
              <w:tc>
                <w:tcPr>
                  <w:tcW w:w="1056" w:type="dxa"/>
                  <w:vAlign w:val="center"/>
                </w:tcPr>
                <w:p>
                  <w:pPr>
                    <w:spacing w:line="0" w:lineRule="atLeast"/>
                    <w:jc w:val="center"/>
                  </w:pPr>
                  <w:r>
                    <w:t>0.87</w:t>
                  </w:r>
                </w:p>
              </w:tc>
              <w:tc>
                <w:tcPr>
                  <w:tcW w:w="1079" w:type="dxa"/>
                  <w:vAlign w:val="center"/>
                </w:tcPr>
                <w:p>
                  <w:pPr>
                    <w:spacing w:line="0" w:lineRule="atLeast"/>
                    <w:jc w:val="center"/>
                  </w:pPr>
                  <w:r>
                    <w:t>0.81</w:t>
                  </w:r>
                </w:p>
              </w:tc>
              <w:tc>
                <w:tcPr>
                  <w:tcW w:w="1057" w:type="dxa"/>
                  <w:vAlign w:val="center"/>
                </w:tcPr>
                <w:p>
                  <w:pPr>
                    <w:spacing w:line="0" w:lineRule="atLeast"/>
                    <w:jc w:val="center"/>
                  </w:pPr>
                  <w:r>
                    <w:t>0.98</w:t>
                  </w:r>
                </w:p>
              </w:tc>
              <w:tc>
                <w:tcPr>
                  <w:tcW w:w="1057" w:type="dxa"/>
                  <w:vAlign w:val="center"/>
                </w:tcPr>
                <w:p>
                  <w:pPr>
                    <w:spacing w:line="0" w:lineRule="atLeast"/>
                    <w:jc w:val="center"/>
                  </w:pPr>
                  <w:r>
                    <w:t>0.92</w:t>
                  </w:r>
                </w:p>
              </w:tc>
              <w:tc>
                <w:tcPr>
                  <w:tcW w:w="1057" w:type="dxa"/>
                  <w:vAlign w:val="center"/>
                </w:tcPr>
                <w:p>
                  <w:pPr>
                    <w:spacing w:line="0" w:lineRule="atLeast"/>
                    <w:jc w:val="center"/>
                  </w:pPr>
                  <w:r>
                    <w:t>0.82</w:t>
                  </w:r>
                </w:p>
              </w:tc>
              <w:tc>
                <w:tcPr>
                  <w:tcW w:w="1057" w:type="dxa"/>
                  <w:vAlign w:val="center"/>
                </w:tcPr>
                <w:p>
                  <w:pPr>
                    <w:spacing w:line="0" w:lineRule="atLeast"/>
                    <w:jc w:val="center"/>
                  </w:pPr>
                  <w:r>
                    <w:t>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705" w:type="dxa"/>
                  <w:vAlign w:val="center"/>
                </w:tcPr>
                <w:p>
                  <w:pPr>
                    <w:jc w:val="center"/>
                  </w:pPr>
                  <w:r>
                    <w:t>标准</w:t>
                  </w:r>
                </w:p>
              </w:tc>
              <w:tc>
                <w:tcPr>
                  <w:tcW w:w="8114" w:type="dxa"/>
                  <w:gridSpan w:val="8"/>
                  <w:vAlign w:val="center"/>
                </w:tcPr>
                <w:p>
                  <w:pPr>
                    <w:jc w:val="center"/>
                  </w:pPr>
                  <w:r>
                    <w:t>2.0</w:t>
                  </w:r>
                  <w:r>
                    <w:rPr>
                      <w:kern w:val="0"/>
                    </w:rPr>
                    <w:t>mg/m</w:t>
                  </w:r>
                  <w:r>
                    <w:rPr>
                      <w:kern w:val="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705" w:type="dxa"/>
                  <w:vAlign w:val="center"/>
                </w:tcPr>
                <w:p>
                  <w:pPr>
                    <w:jc w:val="center"/>
                  </w:pPr>
                  <w:r>
                    <w:rPr>
                      <w:kern w:val="0"/>
                    </w:rPr>
                    <w:t>达标情况</w:t>
                  </w:r>
                </w:p>
              </w:tc>
              <w:tc>
                <w:tcPr>
                  <w:tcW w:w="8114" w:type="dxa"/>
                  <w:gridSpan w:val="8"/>
                  <w:vAlign w:val="center"/>
                </w:tcPr>
                <w:p>
                  <w:pPr>
                    <w:jc w:val="center"/>
                  </w:pPr>
                  <w:r>
                    <w:rPr>
                      <w:kern w:val="0"/>
                    </w:rPr>
                    <w:t>达标</w:t>
                  </w:r>
                </w:p>
              </w:tc>
            </w:tr>
          </w:tbl>
          <w:p>
            <w:pPr>
              <w:pStyle w:val="17"/>
              <w:jc w:val="center"/>
              <w:rPr>
                <w:rFonts w:ascii="Times New Roman" w:hAnsi="Times New Roman" w:eastAsia="黑体" w:cs="Times New Roman"/>
                <w:sz w:val="24"/>
              </w:rPr>
            </w:pPr>
            <w:r>
              <w:rPr>
                <w:rFonts w:ascii="Times New Roman" w:hAnsi="Times New Roman" w:eastAsia="黑体" w:cs="Times New Roman"/>
                <w:sz w:val="24"/>
              </w:rPr>
              <w:t>表14   甲苯监测结果      单位：mg/m</w:t>
            </w:r>
            <w:r>
              <w:rPr>
                <w:rFonts w:ascii="Times New Roman" w:hAnsi="Times New Roman" w:eastAsia="黑体" w:cs="Times New Roman"/>
                <w:sz w:val="24"/>
                <w:vertAlign w:val="superscript"/>
              </w:rPr>
              <w:t>3</w:t>
            </w:r>
          </w:p>
          <w:tbl>
            <w:tblPr>
              <w:tblStyle w:val="38"/>
              <w:tblW w:w="873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6"/>
              <w:gridCol w:w="695"/>
              <w:gridCol w:w="1056"/>
              <w:gridCol w:w="1056"/>
              <w:gridCol w:w="1056"/>
              <w:gridCol w:w="1056"/>
              <w:gridCol w:w="1056"/>
              <w:gridCol w:w="1056"/>
              <w:gridCol w:w="10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restart"/>
                  <w:vAlign w:val="center"/>
                </w:tcPr>
                <w:p>
                  <w:pPr>
                    <w:adjustRightInd w:val="0"/>
                    <w:snapToGrid w:val="0"/>
                    <w:jc w:val="center"/>
                    <w:rPr>
                      <w:bCs/>
                      <w:kern w:val="24"/>
                    </w:rPr>
                  </w:pPr>
                  <w:r>
                    <w:rPr>
                      <w:bCs/>
                      <w:kern w:val="24"/>
                    </w:rPr>
                    <w:t>采样点位</w:t>
                  </w:r>
                </w:p>
              </w:tc>
              <w:tc>
                <w:tcPr>
                  <w:tcW w:w="695" w:type="dxa"/>
                  <w:vMerge w:val="restart"/>
                  <w:vAlign w:val="center"/>
                </w:tcPr>
                <w:p>
                  <w:pPr>
                    <w:adjustRightInd w:val="0"/>
                    <w:snapToGrid w:val="0"/>
                    <w:jc w:val="center"/>
                    <w:rPr>
                      <w:bCs/>
                      <w:kern w:val="24"/>
                    </w:rPr>
                  </w:pPr>
                  <w:r>
                    <w:rPr>
                      <w:bCs/>
                      <w:kern w:val="24"/>
                    </w:rPr>
                    <w:t>采样时间</w:t>
                  </w:r>
                </w:p>
              </w:tc>
              <w:tc>
                <w:tcPr>
                  <w:tcW w:w="7395" w:type="dxa"/>
                  <w:gridSpan w:val="7"/>
                  <w:vAlign w:val="center"/>
                </w:tcPr>
                <w:p>
                  <w:pPr>
                    <w:adjustRightInd w:val="0"/>
                    <w:snapToGrid w:val="0"/>
                    <w:jc w:val="center"/>
                    <w:rPr>
                      <w:bCs/>
                      <w:kern w:val="24"/>
                    </w:rPr>
                  </w:pPr>
                  <w:r>
                    <w:rPr>
                      <w:bCs/>
                      <w:kern w:val="24"/>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adjustRightInd w:val="0"/>
                    <w:snapToGrid w:val="0"/>
                    <w:jc w:val="center"/>
                    <w:rPr>
                      <w:bCs/>
                      <w:kern w:val="24"/>
                    </w:rPr>
                  </w:pPr>
                </w:p>
              </w:tc>
              <w:tc>
                <w:tcPr>
                  <w:tcW w:w="695" w:type="dxa"/>
                  <w:vMerge w:val="continue"/>
                  <w:vAlign w:val="center"/>
                </w:tcPr>
                <w:p>
                  <w:pPr>
                    <w:adjustRightInd w:val="0"/>
                    <w:snapToGrid w:val="0"/>
                    <w:jc w:val="center"/>
                    <w:rPr>
                      <w:bCs/>
                      <w:kern w:val="24"/>
                    </w:rPr>
                  </w:pPr>
                </w:p>
              </w:tc>
              <w:tc>
                <w:tcPr>
                  <w:tcW w:w="1056" w:type="dxa"/>
                  <w:vAlign w:val="center"/>
                </w:tcPr>
                <w:p>
                  <w:pPr>
                    <w:adjustRightInd w:val="0"/>
                    <w:snapToGrid w:val="0"/>
                    <w:jc w:val="center"/>
                    <w:rPr>
                      <w:bCs/>
                      <w:kern w:val="24"/>
                    </w:rPr>
                  </w:pPr>
                  <w:r>
                    <w:rPr>
                      <w:bCs/>
                      <w:kern w:val="24"/>
                    </w:rPr>
                    <w:t>2019.6.8</w:t>
                  </w:r>
                </w:p>
              </w:tc>
              <w:tc>
                <w:tcPr>
                  <w:tcW w:w="1056" w:type="dxa"/>
                  <w:vAlign w:val="center"/>
                </w:tcPr>
                <w:p>
                  <w:pPr>
                    <w:adjustRightInd w:val="0"/>
                    <w:snapToGrid w:val="0"/>
                    <w:jc w:val="center"/>
                    <w:rPr>
                      <w:bCs/>
                      <w:kern w:val="24"/>
                    </w:rPr>
                  </w:pPr>
                  <w:r>
                    <w:rPr>
                      <w:bCs/>
                      <w:kern w:val="24"/>
                    </w:rPr>
                    <w:t>2019.6.9</w:t>
                  </w:r>
                </w:p>
              </w:tc>
              <w:tc>
                <w:tcPr>
                  <w:tcW w:w="1056" w:type="dxa"/>
                  <w:vAlign w:val="center"/>
                </w:tcPr>
                <w:p>
                  <w:pPr>
                    <w:adjustRightInd w:val="0"/>
                    <w:snapToGrid w:val="0"/>
                    <w:jc w:val="center"/>
                    <w:rPr>
                      <w:bCs/>
                      <w:kern w:val="24"/>
                    </w:rPr>
                  </w:pPr>
                  <w:r>
                    <w:rPr>
                      <w:bCs/>
                      <w:kern w:val="24"/>
                    </w:rPr>
                    <w:t>2019.6.10</w:t>
                  </w:r>
                </w:p>
              </w:tc>
              <w:tc>
                <w:tcPr>
                  <w:tcW w:w="1056" w:type="dxa"/>
                  <w:vAlign w:val="center"/>
                </w:tcPr>
                <w:p>
                  <w:pPr>
                    <w:adjustRightInd w:val="0"/>
                    <w:snapToGrid w:val="0"/>
                    <w:jc w:val="center"/>
                    <w:rPr>
                      <w:bCs/>
                      <w:kern w:val="24"/>
                    </w:rPr>
                  </w:pPr>
                  <w:r>
                    <w:rPr>
                      <w:bCs/>
                      <w:kern w:val="24"/>
                    </w:rPr>
                    <w:t>2019.6.11</w:t>
                  </w:r>
                </w:p>
              </w:tc>
              <w:tc>
                <w:tcPr>
                  <w:tcW w:w="1056" w:type="dxa"/>
                  <w:vAlign w:val="center"/>
                </w:tcPr>
                <w:p>
                  <w:pPr>
                    <w:adjustRightInd w:val="0"/>
                    <w:snapToGrid w:val="0"/>
                    <w:jc w:val="center"/>
                    <w:rPr>
                      <w:bCs/>
                      <w:kern w:val="24"/>
                    </w:rPr>
                  </w:pPr>
                  <w:r>
                    <w:rPr>
                      <w:bCs/>
                      <w:kern w:val="24"/>
                    </w:rPr>
                    <w:t>2019.6.12</w:t>
                  </w:r>
                </w:p>
              </w:tc>
              <w:tc>
                <w:tcPr>
                  <w:tcW w:w="1056" w:type="dxa"/>
                  <w:vAlign w:val="center"/>
                </w:tcPr>
                <w:p>
                  <w:pPr>
                    <w:adjustRightInd w:val="0"/>
                    <w:snapToGrid w:val="0"/>
                    <w:jc w:val="center"/>
                    <w:rPr>
                      <w:bCs/>
                      <w:kern w:val="24"/>
                    </w:rPr>
                  </w:pPr>
                  <w:r>
                    <w:rPr>
                      <w:bCs/>
                      <w:kern w:val="24"/>
                    </w:rPr>
                    <w:t>2019.6.13</w:t>
                  </w:r>
                </w:p>
              </w:tc>
              <w:tc>
                <w:tcPr>
                  <w:tcW w:w="1059" w:type="dxa"/>
                  <w:vAlign w:val="center"/>
                </w:tcPr>
                <w:p>
                  <w:pPr>
                    <w:adjustRightInd w:val="0"/>
                    <w:snapToGrid w:val="0"/>
                    <w:jc w:val="center"/>
                    <w:rPr>
                      <w:bCs/>
                      <w:kern w:val="24"/>
                    </w:rPr>
                  </w:pPr>
                  <w:r>
                    <w:rPr>
                      <w:bCs/>
                      <w:kern w:val="24"/>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restart"/>
                  <w:vAlign w:val="center"/>
                </w:tcPr>
                <w:p>
                  <w:pPr>
                    <w:jc w:val="center"/>
                  </w:pPr>
                  <w:r>
                    <w:rPr>
                      <w:kern w:val="0"/>
                    </w:rPr>
                    <w:t>1#项目所在地</w:t>
                  </w:r>
                </w:p>
              </w:tc>
              <w:tc>
                <w:tcPr>
                  <w:tcW w:w="695" w:type="dxa"/>
                  <w:vAlign w:val="center"/>
                </w:tcPr>
                <w:p>
                  <w:pPr>
                    <w:jc w:val="center"/>
                  </w:pPr>
                  <w:r>
                    <w:rPr>
                      <w:bCs/>
                    </w:rPr>
                    <w:t>02:00</w:t>
                  </w:r>
                </w:p>
              </w:tc>
              <w:tc>
                <w:tcPr>
                  <w:tcW w:w="1056" w:type="dxa"/>
                  <w:vAlign w:val="center"/>
                </w:tcPr>
                <w:p>
                  <w:pPr>
                    <w:spacing w:line="0" w:lineRule="atLeast"/>
                    <w:jc w:val="center"/>
                    <w:rPr>
                      <w:rFonts w:eastAsia="DengXian"/>
                    </w:rPr>
                  </w:pPr>
                  <w:r>
                    <w:rPr>
                      <w:rFonts w:eastAsia="DengXian"/>
                    </w:rPr>
                    <w:t>0.0040</w:t>
                  </w:r>
                </w:p>
              </w:tc>
              <w:tc>
                <w:tcPr>
                  <w:tcW w:w="1056" w:type="dxa"/>
                  <w:vAlign w:val="center"/>
                </w:tcPr>
                <w:p>
                  <w:pPr>
                    <w:spacing w:line="0" w:lineRule="atLeast"/>
                    <w:jc w:val="center"/>
                    <w:rPr>
                      <w:rFonts w:eastAsia="DengXian"/>
                    </w:rPr>
                  </w:pPr>
                  <w:r>
                    <w:rPr>
                      <w:rFonts w:eastAsia="DengXian"/>
                    </w:rPr>
                    <w:t>0.0052</w:t>
                  </w:r>
                </w:p>
              </w:tc>
              <w:tc>
                <w:tcPr>
                  <w:tcW w:w="1056" w:type="dxa"/>
                  <w:vAlign w:val="center"/>
                </w:tcPr>
                <w:p>
                  <w:pPr>
                    <w:spacing w:line="0" w:lineRule="atLeast"/>
                    <w:jc w:val="center"/>
                  </w:pPr>
                  <w:r>
                    <w:t>0.0039</w:t>
                  </w:r>
                </w:p>
              </w:tc>
              <w:tc>
                <w:tcPr>
                  <w:tcW w:w="1056" w:type="dxa"/>
                  <w:vAlign w:val="center"/>
                </w:tcPr>
                <w:p>
                  <w:pPr>
                    <w:spacing w:line="0" w:lineRule="atLeast"/>
                    <w:jc w:val="center"/>
                  </w:pPr>
                  <w:r>
                    <w:t>0.0034</w:t>
                  </w:r>
                </w:p>
              </w:tc>
              <w:tc>
                <w:tcPr>
                  <w:tcW w:w="1056" w:type="dxa"/>
                  <w:vAlign w:val="center"/>
                </w:tcPr>
                <w:p>
                  <w:pPr>
                    <w:spacing w:line="0" w:lineRule="atLeast"/>
                    <w:jc w:val="center"/>
                  </w:pPr>
                  <w:r>
                    <w:t>0.0020</w:t>
                  </w:r>
                </w:p>
              </w:tc>
              <w:tc>
                <w:tcPr>
                  <w:tcW w:w="1056" w:type="dxa"/>
                  <w:vAlign w:val="center"/>
                </w:tcPr>
                <w:p>
                  <w:pPr>
                    <w:spacing w:line="0" w:lineRule="atLeast"/>
                    <w:jc w:val="center"/>
                  </w:pPr>
                  <w:r>
                    <w:t>0.0038</w:t>
                  </w:r>
                </w:p>
              </w:tc>
              <w:tc>
                <w:tcPr>
                  <w:tcW w:w="1059" w:type="dxa"/>
                  <w:vAlign w:val="center"/>
                </w:tcPr>
                <w:p>
                  <w:pPr>
                    <w:spacing w:line="0" w:lineRule="atLeast"/>
                    <w:jc w:val="center"/>
                  </w:pPr>
                  <w:r>
                    <w:t>0.0027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646" w:type="dxa"/>
                  <w:vMerge w:val="continue"/>
                  <w:vAlign w:val="center"/>
                </w:tcPr>
                <w:p>
                  <w:pPr>
                    <w:jc w:val="center"/>
                    <w:rPr>
                      <w:bCs/>
                      <w:kern w:val="24"/>
                    </w:rPr>
                  </w:pPr>
                </w:p>
              </w:tc>
              <w:tc>
                <w:tcPr>
                  <w:tcW w:w="695" w:type="dxa"/>
                  <w:vAlign w:val="center"/>
                </w:tcPr>
                <w:p>
                  <w:pPr>
                    <w:jc w:val="center"/>
                  </w:pPr>
                  <w:r>
                    <w:rPr>
                      <w:bCs/>
                    </w:rPr>
                    <w:t>08:00</w:t>
                  </w:r>
                </w:p>
              </w:tc>
              <w:tc>
                <w:tcPr>
                  <w:tcW w:w="1056" w:type="dxa"/>
                  <w:vAlign w:val="center"/>
                </w:tcPr>
                <w:p>
                  <w:pPr>
                    <w:spacing w:line="0" w:lineRule="atLeast"/>
                    <w:jc w:val="center"/>
                    <w:rPr>
                      <w:rFonts w:eastAsia="DengXian"/>
                    </w:rPr>
                  </w:pPr>
                  <w:r>
                    <w:rPr>
                      <w:rFonts w:eastAsia="DengXian"/>
                    </w:rPr>
                    <w:t>0.0036</w:t>
                  </w:r>
                </w:p>
              </w:tc>
              <w:tc>
                <w:tcPr>
                  <w:tcW w:w="1056" w:type="dxa"/>
                  <w:vAlign w:val="center"/>
                </w:tcPr>
                <w:p>
                  <w:pPr>
                    <w:spacing w:line="0" w:lineRule="atLeast"/>
                    <w:jc w:val="center"/>
                    <w:rPr>
                      <w:rFonts w:eastAsia="DengXian"/>
                    </w:rPr>
                  </w:pPr>
                  <w:r>
                    <w:rPr>
                      <w:rFonts w:eastAsia="DengXian"/>
                    </w:rPr>
                    <w:t>0.0034</w:t>
                  </w:r>
                </w:p>
              </w:tc>
              <w:tc>
                <w:tcPr>
                  <w:tcW w:w="1056" w:type="dxa"/>
                  <w:vAlign w:val="center"/>
                </w:tcPr>
                <w:p>
                  <w:pPr>
                    <w:spacing w:line="0" w:lineRule="atLeast"/>
                    <w:jc w:val="center"/>
                  </w:pPr>
                  <w:r>
                    <w:t>0.0022</w:t>
                  </w:r>
                </w:p>
              </w:tc>
              <w:tc>
                <w:tcPr>
                  <w:tcW w:w="1056" w:type="dxa"/>
                  <w:vAlign w:val="center"/>
                </w:tcPr>
                <w:p>
                  <w:pPr>
                    <w:spacing w:line="0" w:lineRule="atLeast"/>
                    <w:jc w:val="center"/>
                  </w:pPr>
                  <w:r>
                    <w:t>0.0035</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rPr>
                      <w:bCs/>
                      <w:kern w:val="24"/>
                    </w:rPr>
                  </w:pPr>
                </w:p>
              </w:tc>
              <w:tc>
                <w:tcPr>
                  <w:tcW w:w="695" w:type="dxa"/>
                  <w:vAlign w:val="center"/>
                </w:tcPr>
                <w:p>
                  <w:pPr>
                    <w:jc w:val="center"/>
                  </w:pPr>
                  <w:r>
                    <w:rPr>
                      <w:bCs/>
                    </w:rPr>
                    <w:t>14:00</w:t>
                  </w:r>
                </w:p>
              </w:tc>
              <w:tc>
                <w:tcPr>
                  <w:tcW w:w="1056" w:type="dxa"/>
                  <w:vAlign w:val="center"/>
                </w:tcPr>
                <w:p>
                  <w:pPr>
                    <w:spacing w:line="0" w:lineRule="atLeast"/>
                    <w:jc w:val="center"/>
                    <w:rPr>
                      <w:rFonts w:eastAsia="DengXian"/>
                    </w:rP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rPr>
                      <w:rFonts w:eastAsia="DengXian"/>
                    </w:rPr>
                  </w:pPr>
                  <w:r>
                    <w:rPr>
                      <w:rFonts w:eastAsia="DengXian"/>
                    </w:rPr>
                    <w:t>0.0023</w:t>
                  </w:r>
                </w:p>
              </w:tc>
              <w:tc>
                <w:tcPr>
                  <w:tcW w:w="1056" w:type="dxa"/>
                  <w:vAlign w:val="center"/>
                </w:tcPr>
                <w:p>
                  <w:pPr>
                    <w:spacing w:line="0" w:lineRule="atLeast"/>
                    <w:jc w:val="center"/>
                  </w:pPr>
                  <w:r>
                    <w:t>0.0031</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t>0.0021</w:t>
                  </w:r>
                </w:p>
              </w:tc>
              <w:tc>
                <w:tcPr>
                  <w:tcW w:w="1056" w:type="dxa"/>
                  <w:vAlign w:val="center"/>
                </w:tcPr>
                <w:p>
                  <w:pPr>
                    <w:spacing w:line="0" w:lineRule="atLeast"/>
                    <w:jc w:val="center"/>
                  </w:pPr>
                  <w:r>
                    <w:t>0.0014</w:t>
                  </w:r>
                </w:p>
              </w:tc>
              <w:tc>
                <w:tcPr>
                  <w:tcW w:w="1059" w:type="dxa"/>
                  <w:vAlign w:val="center"/>
                </w:tcPr>
                <w:p>
                  <w:pPr>
                    <w:spacing w:line="0" w:lineRule="atLeast"/>
                    <w:jc w:val="center"/>
                  </w:pPr>
                  <w:r>
                    <w:t>0.0033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646" w:type="dxa"/>
                  <w:vMerge w:val="continue"/>
                  <w:vAlign w:val="center"/>
                </w:tcPr>
                <w:p>
                  <w:pPr>
                    <w:jc w:val="center"/>
                    <w:rPr>
                      <w:bCs/>
                      <w:kern w:val="24"/>
                    </w:rPr>
                  </w:pPr>
                </w:p>
              </w:tc>
              <w:tc>
                <w:tcPr>
                  <w:tcW w:w="695" w:type="dxa"/>
                  <w:vAlign w:val="center"/>
                </w:tcPr>
                <w:p>
                  <w:pPr>
                    <w:jc w:val="center"/>
                    <w:rPr>
                      <w:b/>
                    </w:rPr>
                  </w:pPr>
                  <w:r>
                    <w:rPr>
                      <w:bCs/>
                    </w:rPr>
                    <w:t>20:00</w:t>
                  </w:r>
                </w:p>
              </w:tc>
              <w:tc>
                <w:tcPr>
                  <w:tcW w:w="1056" w:type="dxa"/>
                  <w:vAlign w:val="center"/>
                </w:tcPr>
                <w:p>
                  <w:pPr>
                    <w:spacing w:line="0" w:lineRule="atLeast"/>
                    <w:jc w:val="center"/>
                    <w:rPr>
                      <w:rFonts w:eastAsia="DengXian"/>
                    </w:rPr>
                  </w:pPr>
                  <w:r>
                    <w:rPr>
                      <w:rFonts w:eastAsia="DengXian"/>
                    </w:rPr>
                    <w:t>0.0044</w:t>
                  </w:r>
                </w:p>
              </w:tc>
              <w:tc>
                <w:tcPr>
                  <w:tcW w:w="1056" w:type="dxa"/>
                  <w:vAlign w:val="center"/>
                </w:tcPr>
                <w:p>
                  <w:pPr>
                    <w:spacing w:line="0" w:lineRule="atLeast"/>
                    <w:jc w:val="center"/>
                    <w:rPr>
                      <w:rFonts w:eastAsia="DengXian"/>
                    </w:rPr>
                  </w:pPr>
                  <w:r>
                    <w:rPr>
                      <w:rFonts w:eastAsia="DengXian"/>
                    </w:rPr>
                    <w:t>0.0042</w:t>
                  </w:r>
                </w:p>
              </w:tc>
              <w:tc>
                <w:tcPr>
                  <w:tcW w:w="1056" w:type="dxa"/>
                  <w:vAlign w:val="center"/>
                </w:tcPr>
                <w:p>
                  <w:pPr>
                    <w:spacing w:line="0" w:lineRule="atLeast"/>
                    <w:jc w:val="center"/>
                  </w:pPr>
                  <w:r>
                    <w:t>0.0061</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t>0.0040</w:t>
                  </w:r>
                </w:p>
              </w:tc>
              <w:tc>
                <w:tcPr>
                  <w:tcW w:w="1056" w:type="dxa"/>
                  <w:vAlign w:val="center"/>
                </w:tcPr>
                <w:p>
                  <w:pPr>
                    <w:spacing w:line="0" w:lineRule="atLeast"/>
                    <w:jc w:val="center"/>
                  </w:pPr>
                  <w:r>
                    <w:t>0.0052</w:t>
                  </w:r>
                </w:p>
              </w:tc>
              <w:tc>
                <w:tcPr>
                  <w:tcW w:w="1059" w:type="dxa"/>
                  <w:vAlign w:val="center"/>
                </w:tcPr>
                <w:p>
                  <w:pPr>
                    <w:spacing w:line="0" w:lineRule="atLeast"/>
                    <w:jc w:val="center"/>
                  </w:pPr>
                  <w:r>
                    <w:t>0.0051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646" w:type="dxa"/>
                  <w:vMerge w:val="restart"/>
                  <w:vAlign w:val="center"/>
                </w:tcPr>
                <w:p>
                  <w:pPr>
                    <w:jc w:val="center"/>
                  </w:pPr>
                  <w:r>
                    <w:rPr>
                      <w:kern w:val="0"/>
                    </w:rPr>
                    <w:t>2#项目所在地下风向</w:t>
                  </w:r>
                </w:p>
              </w:tc>
              <w:tc>
                <w:tcPr>
                  <w:tcW w:w="695" w:type="dxa"/>
                  <w:vAlign w:val="center"/>
                </w:tcPr>
                <w:p>
                  <w:pPr>
                    <w:jc w:val="center"/>
                  </w:pPr>
                  <w:r>
                    <w:rPr>
                      <w:bCs/>
                    </w:rPr>
                    <w:t>02:00</w:t>
                  </w:r>
                </w:p>
              </w:tc>
              <w:tc>
                <w:tcPr>
                  <w:tcW w:w="1056" w:type="dxa"/>
                  <w:vAlign w:val="center"/>
                </w:tcPr>
                <w:p>
                  <w:pPr>
                    <w:spacing w:line="0" w:lineRule="atLeast"/>
                    <w:jc w:val="center"/>
                    <w:rPr>
                      <w:rFonts w:eastAsia="DengXian"/>
                    </w:rPr>
                  </w:pPr>
                  <w:r>
                    <w:rPr>
                      <w:rFonts w:eastAsia="DengXian"/>
                    </w:rPr>
                    <w:t>0.0034</w:t>
                  </w:r>
                </w:p>
              </w:tc>
              <w:tc>
                <w:tcPr>
                  <w:tcW w:w="1056" w:type="dxa"/>
                  <w:vAlign w:val="center"/>
                </w:tcPr>
                <w:p>
                  <w:pPr>
                    <w:spacing w:line="0" w:lineRule="atLeast"/>
                    <w:jc w:val="center"/>
                  </w:pPr>
                  <w:r>
                    <w:t>0.0059</w:t>
                  </w:r>
                </w:p>
              </w:tc>
              <w:tc>
                <w:tcPr>
                  <w:tcW w:w="1056" w:type="dxa"/>
                  <w:vAlign w:val="center"/>
                </w:tcPr>
                <w:p>
                  <w:pPr>
                    <w:spacing w:line="0" w:lineRule="atLeast"/>
                    <w:jc w:val="center"/>
                  </w:pPr>
                  <w:r>
                    <w:t>0.0039</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t>0.0049</w:t>
                  </w:r>
                </w:p>
              </w:tc>
              <w:tc>
                <w:tcPr>
                  <w:tcW w:w="1056" w:type="dxa"/>
                  <w:vAlign w:val="center"/>
                </w:tcPr>
                <w:p>
                  <w:pPr>
                    <w:spacing w:line="0" w:lineRule="atLeast"/>
                    <w:jc w:val="center"/>
                  </w:pPr>
                  <w:r>
                    <w:t>0.0048</w:t>
                  </w:r>
                </w:p>
              </w:tc>
              <w:tc>
                <w:tcPr>
                  <w:tcW w:w="1059" w:type="dxa"/>
                  <w:vAlign w:val="center"/>
                </w:tcPr>
                <w:p>
                  <w:pPr>
                    <w:spacing w:line="0" w:lineRule="atLeast"/>
                    <w:jc w:val="center"/>
                  </w:pPr>
                  <w:r>
                    <w:t>0.0038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pPr>
                  <w:r>
                    <w:rPr>
                      <w:bCs/>
                    </w:rPr>
                    <w:t>08:00</w:t>
                  </w:r>
                </w:p>
              </w:tc>
              <w:tc>
                <w:tcPr>
                  <w:tcW w:w="1056" w:type="dxa"/>
                  <w:vAlign w:val="center"/>
                </w:tcPr>
                <w:p>
                  <w:pPr>
                    <w:spacing w:line="0" w:lineRule="atLeast"/>
                    <w:jc w:val="center"/>
                    <w:rPr>
                      <w:rFonts w:eastAsia="DengXian"/>
                    </w:rPr>
                  </w:pPr>
                  <w:r>
                    <w:rPr>
                      <w:rFonts w:eastAsia="DengXian"/>
                    </w:rPr>
                    <w:t>0.0034</w:t>
                  </w:r>
                </w:p>
              </w:tc>
              <w:tc>
                <w:tcPr>
                  <w:tcW w:w="1056" w:type="dxa"/>
                  <w:vAlign w:val="center"/>
                </w:tcPr>
                <w:p>
                  <w:pPr>
                    <w:spacing w:line="0" w:lineRule="atLeast"/>
                    <w:jc w:val="center"/>
                  </w:pPr>
                  <w:r>
                    <w:t>0.0042</w:t>
                  </w:r>
                </w:p>
              </w:tc>
              <w:tc>
                <w:tcPr>
                  <w:tcW w:w="1056" w:type="dxa"/>
                  <w:vAlign w:val="center"/>
                </w:tcPr>
                <w:p>
                  <w:pPr>
                    <w:spacing w:line="0" w:lineRule="atLeast"/>
                    <w:jc w:val="center"/>
                  </w:pPr>
                  <w:r>
                    <w:t>0.0042</w:t>
                  </w:r>
                </w:p>
              </w:tc>
              <w:tc>
                <w:tcPr>
                  <w:tcW w:w="1056" w:type="dxa"/>
                  <w:vAlign w:val="center"/>
                </w:tcPr>
                <w:p>
                  <w:pPr>
                    <w:spacing w:line="0" w:lineRule="atLeast"/>
                    <w:jc w:val="center"/>
                  </w:pPr>
                  <w:r>
                    <w:t>0.0033</w:t>
                  </w:r>
                </w:p>
              </w:tc>
              <w:tc>
                <w:tcPr>
                  <w:tcW w:w="1056" w:type="dxa"/>
                  <w:vAlign w:val="center"/>
                </w:tcPr>
                <w:p>
                  <w:pPr>
                    <w:spacing w:line="0" w:lineRule="atLeast"/>
                    <w:jc w:val="center"/>
                  </w:pPr>
                  <w:r>
                    <w:t>0.0031</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t>0.0025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pPr>
                  <w:r>
                    <w:rPr>
                      <w:bCs/>
                    </w:rPr>
                    <w:t>14:00</w:t>
                  </w:r>
                </w:p>
              </w:tc>
              <w:tc>
                <w:tcPr>
                  <w:tcW w:w="1056" w:type="dxa"/>
                  <w:vAlign w:val="center"/>
                </w:tcPr>
                <w:p>
                  <w:pPr>
                    <w:spacing w:line="0" w:lineRule="atLeast"/>
                    <w:jc w:val="center"/>
                    <w:rPr>
                      <w:rFonts w:eastAsia="DengXian"/>
                    </w:rPr>
                  </w:pPr>
                  <w:r>
                    <w:rPr>
                      <w:rFonts w:eastAsia="DengXian"/>
                    </w:rPr>
                    <w:t>0.0060</w:t>
                  </w:r>
                </w:p>
              </w:tc>
              <w:tc>
                <w:tcPr>
                  <w:tcW w:w="1056" w:type="dxa"/>
                  <w:vAlign w:val="center"/>
                </w:tcPr>
                <w:p>
                  <w:pPr>
                    <w:spacing w:line="0" w:lineRule="atLeast"/>
                    <w:jc w:val="center"/>
                  </w:pPr>
                  <w:r>
                    <w:t>0.0049</w:t>
                  </w:r>
                </w:p>
              </w:tc>
              <w:tc>
                <w:tcPr>
                  <w:tcW w:w="1056" w:type="dxa"/>
                  <w:vAlign w:val="center"/>
                </w:tcPr>
                <w:p>
                  <w:pPr>
                    <w:spacing w:line="0" w:lineRule="atLeast"/>
                    <w:jc w:val="center"/>
                  </w:pPr>
                  <w:r>
                    <w:t>0.0043</w:t>
                  </w:r>
                </w:p>
              </w:tc>
              <w:tc>
                <w:tcPr>
                  <w:tcW w:w="1056" w:type="dxa"/>
                  <w:vAlign w:val="center"/>
                </w:tcPr>
                <w:p>
                  <w:pPr>
                    <w:spacing w:line="0" w:lineRule="atLeast"/>
                    <w:jc w:val="center"/>
                  </w:pPr>
                  <w:r>
                    <w:t>0.0040</w:t>
                  </w:r>
                </w:p>
              </w:tc>
              <w:tc>
                <w:tcPr>
                  <w:tcW w:w="1056" w:type="dxa"/>
                  <w:vAlign w:val="center"/>
                </w:tcPr>
                <w:p>
                  <w:pPr>
                    <w:spacing w:line="0" w:lineRule="atLeast"/>
                    <w:jc w:val="center"/>
                  </w:pPr>
                  <w:r>
                    <w:t>0.0049</w:t>
                  </w:r>
                </w:p>
              </w:tc>
              <w:tc>
                <w:tcPr>
                  <w:tcW w:w="1056" w:type="dxa"/>
                  <w:vAlign w:val="center"/>
                </w:tcPr>
                <w:p>
                  <w:pPr>
                    <w:spacing w:line="0" w:lineRule="atLeast"/>
                    <w:jc w:val="center"/>
                  </w:pPr>
                  <w:r>
                    <w:t>0.0047</w:t>
                  </w:r>
                </w:p>
              </w:tc>
              <w:tc>
                <w:tcPr>
                  <w:tcW w:w="1059" w:type="dxa"/>
                  <w:vAlign w:val="center"/>
                </w:tcPr>
                <w:p>
                  <w:pPr>
                    <w:spacing w:line="0" w:lineRule="atLeast"/>
                    <w:jc w:val="center"/>
                  </w:pPr>
                  <w:r>
                    <w:t>0.0059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rPr>
                      <w:b/>
                    </w:rPr>
                  </w:pPr>
                  <w:r>
                    <w:rPr>
                      <w:bCs/>
                    </w:rPr>
                    <w:t>20:00</w:t>
                  </w:r>
                </w:p>
              </w:tc>
              <w:tc>
                <w:tcPr>
                  <w:tcW w:w="1056" w:type="dxa"/>
                  <w:vAlign w:val="center"/>
                </w:tcPr>
                <w:p>
                  <w:pPr>
                    <w:spacing w:line="0" w:lineRule="atLeast"/>
                    <w:jc w:val="center"/>
                    <w:rPr>
                      <w:rFonts w:eastAsia="DengXian"/>
                    </w:rPr>
                  </w:pPr>
                  <w:r>
                    <w:rPr>
                      <w:rFonts w:eastAsia="DengXian"/>
                    </w:rPr>
                    <w:t>0.0041</w:t>
                  </w:r>
                </w:p>
              </w:tc>
              <w:tc>
                <w:tcPr>
                  <w:tcW w:w="1056" w:type="dxa"/>
                  <w:vAlign w:val="center"/>
                </w:tcPr>
                <w:p>
                  <w:pPr>
                    <w:spacing w:line="0" w:lineRule="atLeast"/>
                    <w:jc w:val="center"/>
                  </w:pPr>
                  <w:r>
                    <w:t>0.0043</w:t>
                  </w:r>
                </w:p>
              </w:tc>
              <w:tc>
                <w:tcPr>
                  <w:tcW w:w="1056" w:type="dxa"/>
                  <w:vAlign w:val="center"/>
                </w:tcPr>
                <w:p>
                  <w:pPr>
                    <w:spacing w:line="0" w:lineRule="atLeast"/>
                    <w:jc w:val="center"/>
                  </w:pPr>
                  <w:r>
                    <w:t>0.0041</w:t>
                  </w:r>
                </w:p>
              </w:tc>
              <w:tc>
                <w:tcPr>
                  <w:tcW w:w="1056" w:type="dxa"/>
                  <w:vAlign w:val="center"/>
                </w:tcPr>
                <w:p>
                  <w:pPr>
                    <w:spacing w:line="0" w:lineRule="atLeast"/>
                    <w:jc w:val="center"/>
                  </w:pPr>
                  <w:r>
                    <w:t>0.0030</w:t>
                  </w:r>
                </w:p>
              </w:tc>
              <w:tc>
                <w:tcPr>
                  <w:tcW w:w="1056" w:type="dxa"/>
                  <w:vAlign w:val="center"/>
                </w:tcPr>
                <w:p>
                  <w:pPr>
                    <w:spacing w:line="0" w:lineRule="atLeast"/>
                    <w:jc w:val="center"/>
                  </w:pPr>
                  <w:r>
                    <w:t>0.0016</w:t>
                  </w:r>
                </w:p>
              </w:tc>
              <w:tc>
                <w:tcPr>
                  <w:tcW w:w="1056" w:type="dxa"/>
                  <w:vAlign w:val="center"/>
                </w:tcPr>
                <w:p>
                  <w:pPr>
                    <w:spacing w:line="0" w:lineRule="atLeast"/>
                    <w:jc w:val="center"/>
                  </w:pPr>
                  <w:r>
                    <w:t>0.0047</w:t>
                  </w:r>
                </w:p>
              </w:tc>
              <w:tc>
                <w:tcPr>
                  <w:tcW w:w="1059" w:type="dxa"/>
                  <w:vAlign w:val="center"/>
                </w:tcPr>
                <w:p>
                  <w:pPr>
                    <w:spacing w:line="0" w:lineRule="atLeast"/>
                    <w:jc w:val="center"/>
                  </w:pPr>
                  <w:r>
                    <w:t>0.0038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646" w:type="dxa"/>
                  <w:vAlign w:val="center"/>
                </w:tcPr>
                <w:p>
                  <w:pPr>
                    <w:jc w:val="center"/>
                  </w:pPr>
                  <w:r>
                    <w:t>标准</w:t>
                  </w:r>
                </w:p>
              </w:tc>
              <w:tc>
                <w:tcPr>
                  <w:tcW w:w="8090" w:type="dxa"/>
                  <w:gridSpan w:val="8"/>
                  <w:vAlign w:val="center"/>
                </w:tcPr>
                <w:p>
                  <w:pPr>
                    <w:jc w:val="center"/>
                  </w:pPr>
                  <w:r>
                    <w:t>0.11</w:t>
                  </w:r>
                  <w:r>
                    <w:rPr>
                      <w:kern w:val="0"/>
                    </w:rPr>
                    <w:t>mg/m</w:t>
                  </w:r>
                  <w:r>
                    <w:rPr>
                      <w:kern w:val="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646" w:type="dxa"/>
                  <w:vAlign w:val="center"/>
                </w:tcPr>
                <w:p>
                  <w:pPr>
                    <w:jc w:val="center"/>
                  </w:pPr>
                  <w:r>
                    <w:rPr>
                      <w:kern w:val="0"/>
                    </w:rPr>
                    <w:t>达标情况</w:t>
                  </w:r>
                </w:p>
              </w:tc>
              <w:tc>
                <w:tcPr>
                  <w:tcW w:w="8090" w:type="dxa"/>
                  <w:gridSpan w:val="8"/>
                  <w:vAlign w:val="center"/>
                </w:tcPr>
                <w:p>
                  <w:pPr>
                    <w:jc w:val="center"/>
                  </w:pPr>
                  <w:r>
                    <w:rPr>
                      <w:kern w:val="0"/>
                    </w:rPr>
                    <w:t>达标</w:t>
                  </w:r>
                </w:p>
              </w:tc>
            </w:tr>
          </w:tbl>
          <w:p>
            <w:pPr>
              <w:pStyle w:val="17"/>
              <w:jc w:val="center"/>
              <w:rPr>
                <w:rFonts w:ascii="Times New Roman" w:hAnsi="Times New Roman" w:eastAsia="黑体" w:cs="Times New Roman"/>
                <w:sz w:val="24"/>
              </w:rPr>
            </w:pPr>
            <w:r>
              <w:rPr>
                <w:rFonts w:ascii="Times New Roman" w:hAnsi="Times New Roman" w:eastAsia="黑体" w:cs="Times New Roman"/>
                <w:sz w:val="24"/>
              </w:rPr>
              <w:t>表15   二甲苯监测结果      单位：mg/m</w:t>
            </w:r>
            <w:r>
              <w:rPr>
                <w:rFonts w:ascii="Times New Roman" w:hAnsi="Times New Roman" w:eastAsia="黑体" w:cs="Times New Roman"/>
                <w:sz w:val="24"/>
                <w:vertAlign w:val="superscript"/>
              </w:rPr>
              <w:t>3</w:t>
            </w:r>
          </w:p>
          <w:tbl>
            <w:tblPr>
              <w:tblStyle w:val="38"/>
              <w:tblW w:w="873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695"/>
              <w:gridCol w:w="1056"/>
              <w:gridCol w:w="1056"/>
              <w:gridCol w:w="1056"/>
              <w:gridCol w:w="1056"/>
              <w:gridCol w:w="1056"/>
              <w:gridCol w:w="1056"/>
              <w:gridCol w:w="10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restart"/>
                  <w:vAlign w:val="center"/>
                </w:tcPr>
                <w:p>
                  <w:pPr>
                    <w:adjustRightInd w:val="0"/>
                    <w:snapToGrid w:val="0"/>
                    <w:jc w:val="center"/>
                    <w:rPr>
                      <w:bCs/>
                      <w:kern w:val="24"/>
                    </w:rPr>
                  </w:pPr>
                  <w:r>
                    <w:rPr>
                      <w:bCs/>
                      <w:kern w:val="24"/>
                    </w:rPr>
                    <w:t>采样点位</w:t>
                  </w:r>
                </w:p>
              </w:tc>
              <w:tc>
                <w:tcPr>
                  <w:tcW w:w="695" w:type="dxa"/>
                  <w:vMerge w:val="restart"/>
                  <w:vAlign w:val="center"/>
                </w:tcPr>
                <w:p>
                  <w:pPr>
                    <w:adjustRightInd w:val="0"/>
                    <w:snapToGrid w:val="0"/>
                    <w:jc w:val="center"/>
                    <w:rPr>
                      <w:bCs/>
                      <w:kern w:val="24"/>
                    </w:rPr>
                  </w:pPr>
                  <w:r>
                    <w:rPr>
                      <w:bCs/>
                      <w:kern w:val="24"/>
                    </w:rPr>
                    <w:t>采样时间</w:t>
                  </w:r>
                </w:p>
              </w:tc>
              <w:tc>
                <w:tcPr>
                  <w:tcW w:w="7398" w:type="dxa"/>
                  <w:gridSpan w:val="7"/>
                  <w:vAlign w:val="center"/>
                </w:tcPr>
                <w:p>
                  <w:pPr>
                    <w:adjustRightInd w:val="0"/>
                    <w:snapToGrid w:val="0"/>
                    <w:jc w:val="center"/>
                    <w:rPr>
                      <w:bCs/>
                      <w:kern w:val="24"/>
                    </w:rPr>
                  </w:pPr>
                  <w:r>
                    <w:rPr>
                      <w:bCs/>
                      <w:kern w:val="24"/>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continue"/>
                  <w:vAlign w:val="center"/>
                </w:tcPr>
                <w:p>
                  <w:pPr>
                    <w:adjustRightInd w:val="0"/>
                    <w:snapToGrid w:val="0"/>
                    <w:jc w:val="center"/>
                    <w:rPr>
                      <w:bCs/>
                      <w:kern w:val="24"/>
                    </w:rPr>
                  </w:pPr>
                </w:p>
              </w:tc>
              <w:tc>
                <w:tcPr>
                  <w:tcW w:w="695" w:type="dxa"/>
                  <w:vMerge w:val="continue"/>
                  <w:vAlign w:val="center"/>
                </w:tcPr>
                <w:p>
                  <w:pPr>
                    <w:adjustRightInd w:val="0"/>
                    <w:snapToGrid w:val="0"/>
                    <w:jc w:val="center"/>
                    <w:rPr>
                      <w:bCs/>
                      <w:kern w:val="24"/>
                    </w:rPr>
                  </w:pPr>
                </w:p>
              </w:tc>
              <w:tc>
                <w:tcPr>
                  <w:tcW w:w="1056" w:type="dxa"/>
                  <w:vAlign w:val="center"/>
                </w:tcPr>
                <w:p>
                  <w:pPr>
                    <w:adjustRightInd w:val="0"/>
                    <w:snapToGrid w:val="0"/>
                    <w:jc w:val="center"/>
                    <w:rPr>
                      <w:bCs/>
                      <w:kern w:val="24"/>
                    </w:rPr>
                  </w:pPr>
                  <w:r>
                    <w:rPr>
                      <w:bCs/>
                      <w:kern w:val="24"/>
                    </w:rPr>
                    <w:t>2019.6.8</w:t>
                  </w:r>
                </w:p>
              </w:tc>
              <w:tc>
                <w:tcPr>
                  <w:tcW w:w="1056" w:type="dxa"/>
                  <w:vAlign w:val="center"/>
                </w:tcPr>
                <w:p>
                  <w:pPr>
                    <w:adjustRightInd w:val="0"/>
                    <w:snapToGrid w:val="0"/>
                    <w:jc w:val="center"/>
                    <w:rPr>
                      <w:bCs/>
                      <w:kern w:val="24"/>
                    </w:rPr>
                  </w:pPr>
                  <w:r>
                    <w:rPr>
                      <w:bCs/>
                      <w:kern w:val="24"/>
                    </w:rPr>
                    <w:t>2019.6.9</w:t>
                  </w:r>
                </w:p>
              </w:tc>
              <w:tc>
                <w:tcPr>
                  <w:tcW w:w="1056" w:type="dxa"/>
                  <w:vAlign w:val="center"/>
                </w:tcPr>
                <w:p>
                  <w:pPr>
                    <w:adjustRightInd w:val="0"/>
                    <w:snapToGrid w:val="0"/>
                    <w:jc w:val="center"/>
                    <w:rPr>
                      <w:bCs/>
                      <w:kern w:val="24"/>
                    </w:rPr>
                  </w:pPr>
                  <w:r>
                    <w:rPr>
                      <w:bCs/>
                      <w:kern w:val="24"/>
                    </w:rPr>
                    <w:t>2019.6.10</w:t>
                  </w:r>
                </w:p>
              </w:tc>
              <w:tc>
                <w:tcPr>
                  <w:tcW w:w="1056" w:type="dxa"/>
                  <w:vAlign w:val="center"/>
                </w:tcPr>
                <w:p>
                  <w:pPr>
                    <w:adjustRightInd w:val="0"/>
                    <w:snapToGrid w:val="0"/>
                    <w:jc w:val="center"/>
                    <w:rPr>
                      <w:bCs/>
                      <w:kern w:val="24"/>
                    </w:rPr>
                  </w:pPr>
                  <w:r>
                    <w:rPr>
                      <w:bCs/>
                      <w:kern w:val="24"/>
                    </w:rPr>
                    <w:t>2019.6.11</w:t>
                  </w:r>
                </w:p>
              </w:tc>
              <w:tc>
                <w:tcPr>
                  <w:tcW w:w="1056" w:type="dxa"/>
                  <w:vAlign w:val="center"/>
                </w:tcPr>
                <w:p>
                  <w:pPr>
                    <w:adjustRightInd w:val="0"/>
                    <w:snapToGrid w:val="0"/>
                    <w:jc w:val="center"/>
                    <w:rPr>
                      <w:bCs/>
                      <w:kern w:val="24"/>
                    </w:rPr>
                  </w:pPr>
                  <w:r>
                    <w:rPr>
                      <w:bCs/>
                      <w:kern w:val="24"/>
                    </w:rPr>
                    <w:t>2019.6.12</w:t>
                  </w:r>
                </w:p>
              </w:tc>
              <w:tc>
                <w:tcPr>
                  <w:tcW w:w="1056" w:type="dxa"/>
                  <w:vAlign w:val="center"/>
                </w:tcPr>
                <w:p>
                  <w:pPr>
                    <w:adjustRightInd w:val="0"/>
                    <w:snapToGrid w:val="0"/>
                    <w:jc w:val="center"/>
                    <w:rPr>
                      <w:bCs/>
                      <w:kern w:val="24"/>
                    </w:rPr>
                  </w:pPr>
                  <w:r>
                    <w:rPr>
                      <w:bCs/>
                      <w:kern w:val="24"/>
                    </w:rPr>
                    <w:t>2019.6.13</w:t>
                  </w:r>
                </w:p>
              </w:tc>
              <w:tc>
                <w:tcPr>
                  <w:tcW w:w="1062" w:type="dxa"/>
                  <w:vAlign w:val="center"/>
                </w:tcPr>
                <w:p>
                  <w:pPr>
                    <w:adjustRightInd w:val="0"/>
                    <w:snapToGrid w:val="0"/>
                    <w:jc w:val="center"/>
                    <w:rPr>
                      <w:bCs/>
                      <w:kern w:val="24"/>
                    </w:rPr>
                  </w:pPr>
                  <w:r>
                    <w:rPr>
                      <w:bCs/>
                      <w:kern w:val="24"/>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restart"/>
                  <w:vAlign w:val="center"/>
                </w:tcPr>
                <w:p>
                  <w:pPr>
                    <w:jc w:val="center"/>
                  </w:pPr>
                  <w:r>
                    <w:rPr>
                      <w:kern w:val="0"/>
                    </w:rPr>
                    <w:t>1#项目所在地</w:t>
                  </w:r>
                </w:p>
              </w:tc>
              <w:tc>
                <w:tcPr>
                  <w:tcW w:w="695" w:type="dxa"/>
                  <w:vAlign w:val="center"/>
                </w:tcPr>
                <w:p>
                  <w:pPr>
                    <w:jc w:val="center"/>
                  </w:pPr>
                  <w:r>
                    <w:rPr>
                      <w:bCs/>
                    </w:rPr>
                    <w:t>02:00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643" w:type="dxa"/>
                  <w:vMerge w:val="continue"/>
                  <w:vAlign w:val="center"/>
                </w:tcPr>
                <w:p>
                  <w:pPr>
                    <w:jc w:val="center"/>
                    <w:rPr>
                      <w:bCs/>
                      <w:kern w:val="24"/>
                    </w:rPr>
                  </w:pPr>
                </w:p>
              </w:tc>
              <w:tc>
                <w:tcPr>
                  <w:tcW w:w="695" w:type="dxa"/>
                  <w:vAlign w:val="center"/>
                </w:tcPr>
                <w:p>
                  <w:pPr>
                    <w:jc w:val="center"/>
                  </w:pPr>
                  <w:r>
                    <w:rPr>
                      <w:bCs/>
                    </w:rPr>
                    <w:t>08:00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continue"/>
                  <w:vAlign w:val="center"/>
                </w:tcPr>
                <w:p>
                  <w:pPr>
                    <w:jc w:val="center"/>
                    <w:rPr>
                      <w:bCs/>
                      <w:kern w:val="24"/>
                    </w:rPr>
                  </w:pPr>
                </w:p>
              </w:tc>
              <w:tc>
                <w:tcPr>
                  <w:tcW w:w="695" w:type="dxa"/>
                  <w:vAlign w:val="center"/>
                </w:tcPr>
                <w:p>
                  <w:pPr>
                    <w:jc w:val="center"/>
                  </w:pPr>
                  <w:r>
                    <w:rPr>
                      <w:bCs/>
                    </w:rPr>
                    <w:t>14:00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643" w:type="dxa"/>
                  <w:vMerge w:val="continue"/>
                  <w:vAlign w:val="center"/>
                </w:tcPr>
                <w:p>
                  <w:pPr>
                    <w:jc w:val="center"/>
                    <w:rPr>
                      <w:bCs/>
                      <w:kern w:val="24"/>
                    </w:rPr>
                  </w:pPr>
                </w:p>
              </w:tc>
              <w:tc>
                <w:tcPr>
                  <w:tcW w:w="695" w:type="dxa"/>
                  <w:vAlign w:val="center"/>
                </w:tcPr>
                <w:p>
                  <w:pPr>
                    <w:jc w:val="center"/>
                    <w:rPr>
                      <w:b/>
                    </w:rPr>
                  </w:pPr>
                  <w:r>
                    <w:rPr>
                      <w:bCs/>
                    </w:rPr>
                    <w:t>20:00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643" w:type="dxa"/>
                  <w:vMerge w:val="restart"/>
                  <w:vAlign w:val="center"/>
                </w:tcPr>
                <w:p>
                  <w:pPr>
                    <w:jc w:val="center"/>
                  </w:pPr>
                  <w:r>
                    <w:rPr>
                      <w:kern w:val="0"/>
                    </w:rPr>
                    <w:t>2#项目所在地下风向</w:t>
                  </w:r>
                </w:p>
              </w:tc>
              <w:tc>
                <w:tcPr>
                  <w:tcW w:w="695" w:type="dxa"/>
                  <w:vAlign w:val="center"/>
                </w:tcPr>
                <w:p>
                  <w:pPr>
                    <w:jc w:val="center"/>
                  </w:pPr>
                  <w:r>
                    <w:rPr>
                      <w:bCs/>
                    </w:rPr>
                    <w:t>02:00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continue"/>
                  <w:vAlign w:val="center"/>
                </w:tcPr>
                <w:p>
                  <w:pPr>
                    <w:jc w:val="center"/>
                  </w:pPr>
                </w:p>
              </w:tc>
              <w:tc>
                <w:tcPr>
                  <w:tcW w:w="695" w:type="dxa"/>
                  <w:vAlign w:val="center"/>
                </w:tcPr>
                <w:p>
                  <w:pPr>
                    <w:jc w:val="center"/>
                  </w:pPr>
                  <w:r>
                    <w:rPr>
                      <w:bCs/>
                    </w:rPr>
                    <w:t>08:00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continue"/>
                  <w:vAlign w:val="center"/>
                </w:tcPr>
                <w:p>
                  <w:pPr>
                    <w:jc w:val="center"/>
                  </w:pPr>
                </w:p>
              </w:tc>
              <w:tc>
                <w:tcPr>
                  <w:tcW w:w="695" w:type="dxa"/>
                  <w:vAlign w:val="center"/>
                </w:tcPr>
                <w:p>
                  <w:pPr>
                    <w:jc w:val="center"/>
                  </w:pPr>
                  <w:r>
                    <w:rPr>
                      <w:bCs/>
                    </w:rPr>
                    <w:t>14:00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3" w:type="dxa"/>
                  <w:vMerge w:val="continue"/>
                  <w:vAlign w:val="center"/>
                </w:tcPr>
                <w:p>
                  <w:pPr>
                    <w:jc w:val="center"/>
                  </w:pPr>
                </w:p>
              </w:tc>
              <w:tc>
                <w:tcPr>
                  <w:tcW w:w="695" w:type="dxa"/>
                  <w:vAlign w:val="center"/>
                </w:tcPr>
                <w:p>
                  <w:pPr>
                    <w:jc w:val="center"/>
                    <w:rPr>
                      <w:b/>
                    </w:rPr>
                  </w:pPr>
                  <w:r>
                    <w:rPr>
                      <w:bCs/>
                    </w:rPr>
                    <w:t>20:00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62"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643" w:type="dxa"/>
                  <w:vAlign w:val="center"/>
                </w:tcPr>
                <w:p>
                  <w:pPr>
                    <w:jc w:val="center"/>
                  </w:pPr>
                  <w:r>
                    <w:t>标准</w:t>
                  </w:r>
                </w:p>
              </w:tc>
              <w:tc>
                <w:tcPr>
                  <w:tcW w:w="8093" w:type="dxa"/>
                  <w:gridSpan w:val="8"/>
                  <w:vAlign w:val="center"/>
                </w:tcPr>
                <w:p>
                  <w:pPr>
                    <w:jc w:val="center"/>
                  </w:pPr>
                  <w:r>
                    <w:t>0.2</w:t>
                  </w:r>
                  <w:r>
                    <w:rPr>
                      <w:kern w:val="0"/>
                    </w:rPr>
                    <w:t>mg/m</w:t>
                  </w:r>
                  <w:r>
                    <w:rPr>
                      <w:kern w:val="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643" w:type="dxa"/>
                  <w:vAlign w:val="center"/>
                </w:tcPr>
                <w:p>
                  <w:pPr>
                    <w:jc w:val="center"/>
                  </w:pPr>
                  <w:r>
                    <w:rPr>
                      <w:kern w:val="0"/>
                    </w:rPr>
                    <w:t>达标情况</w:t>
                  </w:r>
                </w:p>
              </w:tc>
              <w:tc>
                <w:tcPr>
                  <w:tcW w:w="8093" w:type="dxa"/>
                  <w:gridSpan w:val="8"/>
                  <w:vAlign w:val="center"/>
                </w:tcPr>
                <w:p>
                  <w:pPr>
                    <w:jc w:val="center"/>
                  </w:pPr>
                  <w:r>
                    <w:rPr>
                      <w:kern w:val="0"/>
                    </w:rPr>
                    <w:t>达标</w:t>
                  </w:r>
                </w:p>
              </w:tc>
            </w:tr>
          </w:tbl>
          <w:p>
            <w:pPr>
              <w:pStyle w:val="17"/>
              <w:jc w:val="center"/>
              <w:rPr>
                <w:rFonts w:ascii="Times New Roman" w:hAnsi="Times New Roman" w:eastAsia="黑体" w:cs="Times New Roman"/>
                <w:sz w:val="24"/>
              </w:rPr>
            </w:pPr>
            <w:r>
              <w:rPr>
                <w:rFonts w:ascii="Times New Roman" w:hAnsi="Times New Roman" w:eastAsia="黑体" w:cs="Times New Roman"/>
                <w:sz w:val="24"/>
              </w:rPr>
              <w:t>表16    乙苯监测结果      单位：mg/m</w:t>
            </w:r>
            <w:r>
              <w:rPr>
                <w:rFonts w:ascii="Times New Roman" w:hAnsi="Times New Roman" w:eastAsia="黑体" w:cs="Times New Roman"/>
                <w:sz w:val="24"/>
                <w:vertAlign w:val="superscript"/>
              </w:rPr>
              <w:t>3</w:t>
            </w:r>
          </w:p>
          <w:tbl>
            <w:tblPr>
              <w:tblStyle w:val="38"/>
              <w:tblW w:w="873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6"/>
              <w:gridCol w:w="695"/>
              <w:gridCol w:w="1056"/>
              <w:gridCol w:w="1056"/>
              <w:gridCol w:w="1056"/>
              <w:gridCol w:w="1056"/>
              <w:gridCol w:w="1056"/>
              <w:gridCol w:w="1056"/>
              <w:gridCol w:w="10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restart"/>
                  <w:vAlign w:val="center"/>
                </w:tcPr>
                <w:p>
                  <w:pPr>
                    <w:adjustRightInd w:val="0"/>
                    <w:snapToGrid w:val="0"/>
                    <w:jc w:val="center"/>
                    <w:rPr>
                      <w:bCs/>
                      <w:kern w:val="24"/>
                    </w:rPr>
                  </w:pPr>
                  <w:r>
                    <w:rPr>
                      <w:bCs/>
                      <w:kern w:val="24"/>
                    </w:rPr>
                    <w:t>采样点位</w:t>
                  </w:r>
                </w:p>
              </w:tc>
              <w:tc>
                <w:tcPr>
                  <w:tcW w:w="695" w:type="dxa"/>
                  <w:vMerge w:val="restart"/>
                  <w:vAlign w:val="center"/>
                </w:tcPr>
                <w:p>
                  <w:pPr>
                    <w:adjustRightInd w:val="0"/>
                    <w:snapToGrid w:val="0"/>
                    <w:jc w:val="center"/>
                    <w:rPr>
                      <w:bCs/>
                      <w:kern w:val="24"/>
                    </w:rPr>
                  </w:pPr>
                  <w:r>
                    <w:rPr>
                      <w:bCs/>
                      <w:kern w:val="24"/>
                    </w:rPr>
                    <w:t>采样时间</w:t>
                  </w:r>
                </w:p>
              </w:tc>
              <w:tc>
                <w:tcPr>
                  <w:tcW w:w="7395" w:type="dxa"/>
                  <w:gridSpan w:val="7"/>
                  <w:vAlign w:val="center"/>
                </w:tcPr>
                <w:p>
                  <w:pPr>
                    <w:adjustRightInd w:val="0"/>
                    <w:snapToGrid w:val="0"/>
                    <w:jc w:val="center"/>
                    <w:rPr>
                      <w:bCs/>
                      <w:kern w:val="24"/>
                    </w:rPr>
                  </w:pPr>
                  <w:r>
                    <w:rPr>
                      <w:bCs/>
                      <w:kern w:val="24"/>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adjustRightInd w:val="0"/>
                    <w:snapToGrid w:val="0"/>
                    <w:jc w:val="center"/>
                    <w:rPr>
                      <w:bCs/>
                      <w:kern w:val="24"/>
                    </w:rPr>
                  </w:pPr>
                </w:p>
              </w:tc>
              <w:tc>
                <w:tcPr>
                  <w:tcW w:w="695" w:type="dxa"/>
                  <w:vMerge w:val="continue"/>
                  <w:vAlign w:val="center"/>
                </w:tcPr>
                <w:p>
                  <w:pPr>
                    <w:adjustRightInd w:val="0"/>
                    <w:snapToGrid w:val="0"/>
                    <w:jc w:val="center"/>
                    <w:rPr>
                      <w:bCs/>
                      <w:kern w:val="24"/>
                    </w:rPr>
                  </w:pPr>
                </w:p>
              </w:tc>
              <w:tc>
                <w:tcPr>
                  <w:tcW w:w="1056" w:type="dxa"/>
                  <w:vAlign w:val="center"/>
                </w:tcPr>
                <w:p>
                  <w:pPr>
                    <w:adjustRightInd w:val="0"/>
                    <w:snapToGrid w:val="0"/>
                    <w:jc w:val="center"/>
                    <w:rPr>
                      <w:bCs/>
                      <w:kern w:val="24"/>
                    </w:rPr>
                  </w:pPr>
                  <w:r>
                    <w:rPr>
                      <w:bCs/>
                      <w:kern w:val="24"/>
                    </w:rPr>
                    <w:t>2019.6.8</w:t>
                  </w:r>
                </w:p>
              </w:tc>
              <w:tc>
                <w:tcPr>
                  <w:tcW w:w="1056" w:type="dxa"/>
                  <w:vAlign w:val="center"/>
                </w:tcPr>
                <w:p>
                  <w:pPr>
                    <w:adjustRightInd w:val="0"/>
                    <w:snapToGrid w:val="0"/>
                    <w:jc w:val="center"/>
                    <w:rPr>
                      <w:bCs/>
                      <w:kern w:val="24"/>
                    </w:rPr>
                  </w:pPr>
                  <w:r>
                    <w:rPr>
                      <w:bCs/>
                      <w:kern w:val="24"/>
                    </w:rPr>
                    <w:t>2019.6.9</w:t>
                  </w:r>
                </w:p>
              </w:tc>
              <w:tc>
                <w:tcPr>
                  <w:tcW w:w="1056" w:type="dxa"/>
                  <w:vAlign w:val="center"/>
                </w:tcPr>
                <w:p>
                  <w:pPr>
                    <w:adjustRightInd w:val="0"/>
                    <w:snapToGrid w:val="0"/>
                    <w:jc w:val="center"/>
                    <w:rPr>
                      <w:bCs/>
                      <w:kern w:val="24"/>
                    </w:rPr>
                  </w:pPr>
                  <w:r>
                    <w:rPr>
                      <w:bCs/>
                      <w:kern w:val="24"/>
                    </w:rPr>
                    <w:t>2019.6.10</w:t>
                  </w:r>
                </w:p>
              </w:tc>
              <w:tc>
                <w:tcPr>
                  <w:tcW w:w="1056" w:type="dxa"/>
                  <w:vAlign w:val="center"/>
                </w:tcPr>
                <w:p>
                  <w:pPr>
                    <w:adjustRightInd w:val="0"/>
                    <w:snapToGrid w:val="0"/>
                    <w:jc w:val="center"/>
                    <w:rPr>
                      <w:bCs/>
                      <w:kern w:val="24"/>
                    </w:rPr>
                  </w:pPr>
                  <w:r>
                    <w:rPr>
                      <w:bCs/>
                      <w:kern w:val="24"/>
                    </w:rPr>
                    <w:t>2019.6.11</w:t>
                  </w:r>
                </w:p>
              </w:tc>
              <w:tc>
                <w:tcPr>
                  <w:tcW w:w="1056" w:type="dxa"/>
                  <w:vAlign w:val="center"/>
                </w:tcPr>
                <w:p>
                  <w:pPr>
                    <w:adjustRightInd w:val="0"/>
                    <w:snapToGrid w:val="0"/>
                    <w:jc w:val="center"/>
                    <w:rPr>
                      <w:bCs/>
                      <w:kern w:val="24"/>
                    </w:rPr>
                  </w:pPr>
                  <w:r>
                    <w:rPr>
                      <w:bCs/>
                      <w:kern w:val="24"/>
                    </w:rPr>
                    <w:t>2019.6.12</w:t>
                  </w:r>
                </w:p>
              </w:tc>
              <w:tc>
                <w:tcPr>
                  <w:tcW w:w="1056" w:type="dxa"/>
                  <w:vAlign w:val="center"/>
                </w:tcPr>
                <w:p>
                  <w:pPr>
                    <w:adjustRightInd w:val="0"/>
                    <w:snapToGrid w:val="0"/>
                    <w:jc w:val="center"/>
                    <w:rPr>
                      <w:bCs/>
                      <w:kern w:val="24"/>
                    </w:rPr>
                  </w:pPr>
                  <w:r>
                    <w:rPr>
                      <w:bCs/>
                      <w:kern w:val="24"/>
                    </w:rPr>
                    <w:t>2019.6.13</w:t>
                  </w:r>
                </w:p>
              </w:tc>
              <w:tc>
                <w:tcPr>
                  <w:tcW w:w="1059" w:type="dxa"/>
                  <w:vAlign w:val="center"/>
                </w:tcPr>
                <w:p>
                  <w:pPr>
                    <w:adjustRightInd w:val="0"/>
                    <w:snapToGrid w:val="0"/>
                    <w:jc w:val="center"/>
                    <w:rPr>
                      <w:bCs/>
                      <w:kern w:val="24"/>
                    </w:rPr>
                  </w:pPr>
                  <w:r>
                    <w:rPr>
                      <w:bCs/>
                      <w:kern w:val="24"/>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restart"/>
                  <w:vAlign w:val="center"/>
                </w:tcPr>
                <w:p>
                  <w:pPr>
                    <w:jc w:val="center"/>
                  </w:pPr>
                  <w:r>
                    <w:rPr>
                      <w:kern w:val="0"/>
                    </w:rPr>
                    <w:t>1#项目所在地</w:t>
                  </w:r>
                </w:p>
              </w:tc>
              <w:tc>
                <w:tcPr>
                  <w:tcW w:w="695" w:type="dxa"/>
                  <w:vAlign w:val="center"/>
                </w:tcPr>
                <w:p>
                  <w:pPr>
                    <w:jc w:val="center"/>
                  </w:pPr>
                  <w:r>
                    <w:rPr>
                      <w:bCs/>
                    </w:rPr>
                    <w:t>02:00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646" w:type="dxa"/>
                  <w:vMerge w:val="continue"/>
                  <w:vAlign w:val="center"/>
                </w:tcPr>
                <w:p>
                  <w:pPr>
                    <w:jc w:val="center"/>
                    <w:rPr>
                      <w:bCs/>
                      <w:kern w:val="24"/>
                    </w:rPr>
                  </w:pPr>
                </w:p>
              </w:tc>
              <w:tc>
                <w:tcPr>
                  <w:tcW w:w="695" w:type="dxa"/>
                  <w:vAlign w:val="center"/>
                </w:tcPr>
                <w:p>
                  <w:pPr>
                    <w:jc w:val="center"/>
                  </w:pPr>
                  <w:r>
                    <w:rPr>
                      <w:bCs/>
                    </w:rPr>
                    <w:t>08:00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rPr>
                      <w:bCs/>
                      <w:kern w:val="24"/>
                    </w:rPr>
                  </w:pPr>
                </w:p>
              </w:tc>
              <w:tc>
                <w:tcPr>
                  <w:tcW w:w="695" w:type="dxa"/>
                  <w:vAlign w:val="center"/>
                </w:tcPr>
                <w:p>
                  <w:pPr>
                    <w:jc w:val="center"/>
                  </w:pPr>
                  <w:r>
                    <w:rPr>
                      <w:bCs/>
                    </w:rPr>
                    <w:t>14:00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646" w:type="dxa"/>
                  <w:vMerge w:val="continue"/>
                  <w:vAlign w:val="center"/>
                </w:tcPr>
                <w:p>
                  <w:pPr>
                    <w:jc w:val="center"/>
                    <w:rPr>
                      <w:bCs/>
                      <w:kern w:val="24"/>
                    </w:rPr>
                  </w:pPr>
                </w:p>
              </w:tc>
              <w:tc>
                <w:tcPr>
                  <w:tcW w:w="695" w:type="dxa"/>
                  <w:vAlign w:val="center"/>
                </w:tcPr>
                <w:p>
                  <w:pPr>
                    <w:jc w:val="center"/>
                    <w:rPr>
                      <w:b/>
                    </w:rPr>
                  </w:pPr>
                  <w:r>
                    <w:rPr>
                      <w:bCs/>
                    </w:rPr>
                    <w:t>20:00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646" w:type="dxa"/>
                  <w:vMerge w:val="restart"/>
                  <w:vAlign w:val="center"/>
                </w:tcPr>
                <w:p>
                  <w:pPr>
                    <w:jc w:val="center"/>
                  </w:pPr>
                  <w:r>
                    <w:rPr>
                      <w:kern w:val="0"/>
                    </w:rPr>
                    <w:t>2#项目所在地下风向</w:t>
                  </w:r>
                </w:p>
              </w:tc>
              <w:tc>
                <w:tcPr>
                  <w:tcW w:w="695" w:type="dxa"/>
                  <w:vAlign w:val="center"/>
                </w:tcPr>
                <w:p>
                  <w:pPr>
                    <w:jc w:val="center"/>
                  </w:pPr>
                  <w:r>
                    <w:rPr>
                      <w:bCs/>
                    </w:rPr>
                    <w:t>02:00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pPr>
                  <w:r>
                    <w:rPr>
                      <w:bCs/>
                    </w:rPr>
                    <w:t>08:00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pPr>
                  <w:r>
                    <w:rPr>
                      <w:bCs/>
                    </w:rPr>
                    <w:t>14:00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6" w:type="dxa"/>
                  <w:vMerge w:val="continue"/>
                  <w:vAlign w:val="center"/>
                </w:tcPr>
                <w:p>
                  <w:pPr>
                    <w:jc w:val="center"/>
                  </w:pPr>
                </w:p>
              </w:tc>
              <w:tc>
                <w:tcPr>
                  <w:tcW w:w="695" w:type="dxa"/>
                  <w:vAlign w:val="center"/>
                </w:tcPr>
                <w:p>
                  <w:pPr>
                    <w:jc w:val="center"/>
                    <w:rPr>
                      <w:b/>
                    </w:rPr>
                  </w:pPr>
                  <w:r>
                    <w:rPr>
                      <w:bCs/>
                    </w:rPr>
                    <w:t>20:00</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6"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c>
                <w:tcPr>
                  <w:tcW w:w="1059" w:type="dxa"/>
                  <w:vAlign w:val="center"/>
                </w:tcPr>
                <w:p>
                  <w:pPr>
                    <w:spacing w:line="0" w:lineRule="atLeast"/>
                    <w:jc w:val="center"/>
                  </w:pPr>
                  <w:r>
                    <w:rPr>
                      <w:rFonts w:eastAsia="DengXian"/>
                    </w:rPr>
                    <w:t>1.5</w:t>
                  </w:r>
                  <w:r>
                    <w:t>×</w:t>
                  </w:r>
                  <w:r>
                    <w:rPr>
                      <w:rFonts w:eastAsia="DengXian"/>
                    </w:rPr>
                    <w:t>10</w:t>
                  </w:r>
                  <w:r>
                    <w:rPr>
                      <w:rFonts w:eastAsia="DengXian"/>
                      <w:vertAlign w:val="superscript"/>
                    </w:rPr>
                    <w:t>-3</w:t>
                  </w:r>
                  <w:r>
                    <w:rPr>
                      <w:rFonts w:eastAsia="DengXian"/>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646" w:type="dxa"/>
                  <w:vAlign w:val="center"/>
                </w:tcPr>
                <w:p>
                  <w:pPr>
                    <w:jc w:val="center"/>
                  </w:pPr>
                  <w:r>
                    <w:t>标准</w:t>
                  </w:r>
                </w:p>
              </w:tc>
              <w:tc>
                <w:tcPr>
                  <w:tcW w:w="8090" w:type="dxa"/>
                  <w:gridSpan w:val="8"/>
                  <w:vAlign w:val="center"/>
                </w:tcPr>
                <w:p>
                  <w:pPr>
                    <w:jc w:val="center"/>
                  </w:pPr>
                  <w:r>
                    <w:t>0.02</w:t>
                  </w:r>
                  <w:r>
                    <w:rPr>
                      <w:kern w:val="0"/>
                    </w:rPr>
                    <w:t>mg/m</w:t>
                  </w:r>
                  <w:r>
                    <w:rPr>
                      <w:kern w:val="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646" w:type="dxa"/>
                  <w:vAlign w:val="center"/>
                </w:tcPr>
                <w:p>
                  <w:pPr>
                    <w:jc w:val="center"/>
                  </w:pPr>
                  <w:r>
                    <w:rPr>
                      <w:kern w:val="0"/>
                    </w:rPr>
                    <w:t>达标情况</w:t>
                  </w:r>
                </w:p>
              </w:tc>
              <w:tc>
                <w:tcPr>
                  <w:tcW w:w="8090" w:type="dxa"/>
                  <w:gridSpan w:val="8"/>
                  <w:vAlign w:val="center"/>
                </w:tcPr>
                <w:p>
                  <w:pPr>
                    <w:jc w:val="center"/>
                  </w:pPr>
                  <w:r>
                    <w:rPr>
                      <w:kern w:val="0"/>
                    </w:rPr>
                    <w:t>达标</w:t>
                  </w:r>
                </w:p>
              </w:tc>
            </w:tr>
          </w:tbl>
          <w:p>
            <w:pPr>
              <w:autoSpaceDN w:val="0"/>
              <w:spacing w:line="520" w:lineRule="exact"/>
              <w:ind w:firstLine="480" w:firstLineChars="200"/>
              <w:rPr>
                <w:sz w:val="24"/>
              </w:rPr>
            </w:pPr>
            <w:r>
              <w:rPr>
                <w:bCs/>
                <w:sz w:val="24"/>
              </w:rPr>
              <w:t>监测结果表明，评价区</w:t>
            </w:r>
            <w:r>
              <w:rPr>
                <w:sz w:val="24"/>
              </w:rPr>
              <w:t>环境空气中非甲烷总烃满足《大气污染物综合排放标准详解》中限值；甲苯、二甲苯满足《环境影响评价技术导则 大气环境》（HJ2.2-2018）附录D限值；乙苯满足《前苏联居民大气有害物质的最大允许浓度》中浓度限值。</w:t>
            </w:r>
          </w:p>
          <w:p>
            <w:pPr>
              <w:tabs>
                <w:tab w:val="left" w:pos="3870"/>
              </w:tabs>
              <w:adjustRightInd w:val="0"/>
              <w:snapToGrid w:val="0"/>
              <w:spacing w:line="520" w:lineRule="exact"/>
              <w:ind w:firstLine="482" w:firstLineChars="200"/>
              <w:jc w:val="left"/>
              <w:rPr>
                <w:b/>
                <w:sz w:val="24"/>
                <w:szCs w:val="24"/>
              </w:rPr>
            </w:pPr>
            <w:r>
              <w:rPr>
                <w:b/>
                <w:sz w:val="24"/>
                <w:szCs w:val="24"/>
              </w:rPr>
              <w:t>2、声环境质量现状</w:t>
            </w:r>
          </w:p>
          <w:p>
            <w:pPr>
              <w:pStyle w:val="17"/>
              <w:spacing w:line="520" w:lineRule="exact"/>
              <w:ind w:firstLine="480" w:firstLineChars="200"/>
              <w:rPr>
                <w:rFonts w:ascii="Times New Roman" w:hAnsi="Times New Roman" w:cs="Times New Roman"/>
                <w:sz w:val="24"/>
                <w:szCs w:val="24"/>
              </w:rPr>
            </w:pPr>
            <w:r>
              <w:rPr>
                <w:rFonts w:ascii="Times New Roman" w:hAnsi="Times New Roman" w:cs="Times New Roman"/>
                <w:sz w:val="24"/>
                <w:szCs w:val="24"/>
              </w:rPr>
              <w:t>本次声环境现状委托</w:t>
            </w:r>
            <w:r>
              <w:rPr>
                <w:rFonts w:ascii="Times New Roman" w:hAnsi="Times New Roman" w:cs="Times New Roman"/>
                <w:sz w:val="24"/>
              </w:rPr>
              <w:t>陕西汇捷维研检测技术有限公司</w:t>
            </w:r>
            <w:r>
              <w:rPr>
                <w:rFonts w:ascii="Times New Roman" w:hAnsi="Times New Roman" w:cs="Times New Roman"/>
                <w:sz w:val="24"/>
                <w:szCs w:val="24"/>
              </w:rPr>
              <w:t>于2019年6月12日至6月13日进行了监测，监测点位为厂界四周</w:t>
            </w:r>
            <w:r>
              <w:rPr>
                <w:rFonts w:hint="eastAsia" w:ascii="Times New Roman" w:hAnsi="Times New Roman" w:cs="Times New Roman"/>
                <w:sz w:val="24"/>
                <w:szCs w:val="24"/>
              </w:rPr>
              <w:t>，监测期间项目未运行</w:t>
            </w:r>
            <w:r>
              <w:rPr>
                <w:rFonts w:ascii="Times New Roman" w:hAnsi="Times New Roman" w:cs="Times New Roman"/>
                <w:sz w:val="24"/>
                <w:szCs w:val="24"/>
              </w:rPr>
              <w:t>。监测结果见下表。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表17    环境噪声监测结果统计表    单位dB(A)</w:t>
            </w:r>
          </w:p>
          <w:tbl>
            <w:tblPr>
              <w:tblStyle w:val="38"/>
              <w:tblW w:w="8791"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138"/>
              <w:gridCol w:w="1432"/>
              <w:gridCol w:w="1496"/>
              <w:gridCol w:w="1275"/>
              <w:gridCol w:w="145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57" w:hRule="atLeast"/>
                <w:jc w:val="center"/>
              </w:trPr>
              <w:tc>
                <w:tcPr>
                  <w:tcW w:w="3138" w:type="dxa"/>
                  <w:vMerge w:val="restart"/>
                  <w:vAlign w:val="center"/>
                </w:tcPr>
                <w:p>
                  <w:pPr>
                    <w:jc w:val="center"/>
                  </w:pPr>
                  <w:r>
                    <w:t>监测地点</w:t>
                  </w:r>
                </w:p>
              </w:tc>
              <w:tc>
                <w:tcPr>
                  <w:tcW w:w="2928" w:type="dxa"/>
                  <w:gridSpan w:val="2"/>
                  <w:vAlign w:val="center"/>
                </w:tcPr>
                <w:p>
                  <w:pPr>
                    <w:jc w:val="center"/>
                  </w:pPr>
                  <w:r>
                    <w:t>2019年6月12日</w:t>
                  </w:r>
                </w:p>
              </w:tc>
              <w:tc>
                <w:tcPr>
                  <w:tcW w:w="2725" w:type="dxa"/>
                  <w:gridSpan w:val="2"/>
                  <w:vAlign w:val="center"/>
                </w:tcPr>
                <w:p>
                  <w:pPr>
                    <w:jc w:val="center"/>
                  </w:pPr>
                  <w:r>
                    <w:t>2019年6月13日</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190" w:hRule="atLeast"/>
                <w:jc w:val="center"/>
              </w:trPr>
              <w:tc>
                <w:tcPr>
                  <w:tcW w:w="3138" w:type="dxa"/>
                  <w:vMerge w:val="continue"/>
                  <w:vAlign w:val="center"/>
                </w:tcPr>
                <w:p/>
              </w:tc>
              <w:tc>
                <w:tcPr>
                  <w:tcW w:w="1432" w:type="dxa"/>
                  <w:vAlign w:val="center"/>
                </w:tcPr>
                <w:p>
                  <w:pPr>
                    <w:jc w:val="center"/>
                  </w:pPr>
                  <w:r>
                    <w:t>昼间</w:t>
                  </w:r>
                </w:p>
              </w:tc>
              <w:tc>
                <w:tcPr>
                  <w:tcW w:w="1496" w:type="dxa"/>
                  <w:vAlign w:val="center"/>
                </w:tcPr>
                <w:p>
                  <w:pPr>
                    <w:jc w:val="center"/>
                  </w:pPr>
                  <w:r>
                    <w:t>夜间</w:t>
                  </w:r>
                </w:p>
              </w:tc>
              <w:tc>
                <w:tcPr>
                  <w:tcW w:w="1275" w:type="dxa"/>
                  <w:vAlign w:val="center"/>
                </w:tcPr>
                <w:p>
                  <w:pPr>
                    <w:jc w:val="center"/>
                  </w:pPr>
                  <w:r>
                    <w:t>昼间</w:t>
                  </w:r>
                </w:p>
              </w:tc>
              <w:tc>
                <w:tcPr>
                  <w:tcW w:w="1450" w:type="dxa"/>
                  <w:vAlign w:val="center"/>
                </w:tcPr>
                <w:p>
                  <w:pPr>
                    <w:jc w:val="center"/>
                  </w:pPr>
                  <w:r>
                    <w:t>夜间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90" w:hRule="atLeast"/>
                <w:jc w:val="center"/>
              </w:trPr>
              <w:tc>
                <w:tcPr>
                  <w:tcW w:w="3138" w:type="dxa"/>
                  <w:vAlign w:val="center"/>
                </w:tcPr>
                <w:p>
                  <w:pPr>
                    <w:jc w:val="center"/>
                  </w:pPr>
                  <w:r>
                    <w:t>厂界东（1#）</w:t>
                  </w:r>
                </w:p>
              </w:tc>
              <w:tc>
                <w:tcPr>
                  <w:tcW w:w="1432" w:type="dxa"/>
                  <w:vAlign w:val="center"/>
                </w:tcPr>
                <w:p>
                  <w:pPr>
                    <w:spacing w:line="0" w:lineRule="atLeast"/>
                    <w:jc w:val="center"/>
                  </w:pPr>
                  <w:r>
                    <w:t>57.6</w:t>
                  </w:r>
                </w:p>
              </w:tc>
              <w:tc>
                <w:tcPr>
                  <w:tcW w:w="1496" w:type="dxa"/>
                  <w:vAlign w:val="center"/>
                </w:tcPr>
                <w:p>
                  <w:pPr>
                    <w:spacing w:line="0" w:lineRule="atLeast"/>
                    <w:jc w:val="center"/>
                  </w:pPr>
                  <w:r>
                    <w:t>51.5</w:t>
                  </w:r>
                </w:p>
              </w:tc>
              <w:tc>
                <w:tcPr>
                  <w:tcW w:w="1275" w:type="dxa"/>
                  <w:vAlign w:val="center"/>
                </w:tcPr>
                <w:p>
                  <w:pPr>
                    <w:spacing w:line="0" w:lineRule="atLeast"/>
                    <w:jc w:val="center"/>
                  </w:pPr>
                  <w:r>
                    <w:t>56.8</w:t>
                  </w:r>
                </w:p>
              </w:tc>
              <w:tc>
                <w:tcPr>
                  <w:tcW w:w="1450" w:type="dxa"/>
                  <w:vAlign w:val="center"/>
                </w:tcPr>
                <w:p>
                  <w:pPr>
                    <w:spacing w:line="0" w:lineRule="atLeast"/>
                    <w:jc w:val="center"/>
                  </w:pPr>
                  <w:r>
                    <w:t>52.6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06" w:hRule="atLeast"/>
                <w:jc w:val="center"/>
              </w:trPr>
              <w:tc>
                <w:tcPr>
                  <w:tcW w:w="3138" w:type="dxa"/>
                  <w:vAlign w:val="center"/>
                </w:tcPr>
                <w:p>
                  <w:pPr>
                    <w:jc w:val="center"/>
                  </w:pPr>
                  <w:r>
                    <w:t>厂界南（2#）</w:t>
                  </w:r>
                </w:p>
              </w:tc>
              <w:tc>
                <w:tcPr>
                  <w:tcW w:w="1432" w:type="dxa"/>
                  <w:vAlign w:val="center"/>
                </w:tcPr>
                <w:p>
                  <w:pPr>
                    <w:spacing w:line="0" w:lineRule="atLeast"/>
                    <w:jc w:val="center"/>
                    <w:rPr>
                      <w:color w:val="000000"/>
                    </w:rPr>
                  </w:pPr>
                  <w:r>
                    <w:rPr>
                      <w:color w:val="000000"/>
                    </w:rPr>
                    <w:t>61.6</w:t>
                  </w:r>
                </w:p>
              </w:tc>
              <w:tc>
                <w:tcPr>
                  <w:tcW w:w="1496" w:type="dxa"/>
                  <w:vAlign w:val="center"/>
                </w:tcPr>
                <w:p>
                  <w:pPr>
                    <w:spacing w:line="0" w:lineRule="atLeast"/>
                    <w:jc w:val="center"/>
                    <w:rPr>
                      <w:color w:val="000000"/>
                    </w:rPr>
                  </w:pPr>
                  <w:r>
                    <w:rPr>
                      <w:color w:val="000000"/>
                    </w:rPr>
                    <w:t>52.6</w:t>
                  </w:r>
                </w:p>
              </w:tc>
              <w:tc>
                <w:tcPr>
                  <w:tcW w:w="1275" w:type="dxa"/>
                  <w:vAlign w:val="center"/>
                </w:tcPr>
                <w:p>
                  <w:pPr>
                    <w:spacing w:line="0" w:lineRule="atLeast"/>
                    <w:jc w:val="center"/>
                    <w:rPr>
                      <w:color w:val="000000"/>
                    </w:rPr>
                  </w:pPr>
                  <w:r>
                    <w:rPr>
                      <w:color w:val="000000"/>
                    </w:rPr>
                    <w:t>61.8</w:t>
                  </w:r>
                </w:p>
              </w:tc>
              <w:tc>
                <w:tcPr>
                  <w:tcW w:w="1450" w:type="dxa"/>
                  <w:vAlign w:val="center"/>
                </w:tcPr>
                <w:p>
                  <w:pPr>
                    <w:spacing w:line="0" w:lineRule="atLeast"/>
                    <w:jc w:val="center"/>
                    <w:rPr>
                      <w:color w:val="000000"/>
                    </w:rPr>
                  </w:pPr>
                  <w:r>
                    <w:rPr>
                      <w:color w:val="000000"/>
                    </w:rPr>
                    <w:t>52.8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90" w:hRule="atLeast"/>
                <w:jc w:val="center"/>
              </w:trPr>
              <w:tc>
                <w:tcPr>
                  <w:tcW w:w="3138" w:type="dxa"/>
                  <w:vAlign w:val="center"/>
                </w:tcPr>
                <w:p>
                  <w:pPr>
                    <w:jc w:val="center"/>
                  </w:pPr>
                  <w:r>
                    <w:t>厂界西（3#）</w:t>
                  </w:r>
                </w:p>
              </w:tc>
              <w:tc>
                <w:tcPr>
                  <w:tcW w:w="1432" w:type="dxa"/>
                  <w:vAlign w:val="center"/>
                </w:tcPr>
                <w:p>
                  <w:pPr>
                    <w:spacing w:line="0" w:lineRule="atLeast"/>
                    <w:jc w:val="center"/>
                    <w:rPr>
                      <w:color w:val="000000"/>
                    </w:rPr>
                  </w:pPr>
                  <w:r>
                    <w:rPr>
                      <w:color w:val="000000"/>
                    </w:rPr>
                    <w:t>62.0</w:t>
                  </w:r>
                </w:p>
              </w:tc>
              <w:tc>
                <w:tcPr>
                  <w:tcW w:w="1496" w:type="dxa"/>
                  <w:vAlign w:val="center"/>
                </w:tcPr>
                <w:p>
                  <w:pPr>
                    <w:spacing w:line="0" w:lineRule="atLeast"/>
                    <w:jc w:val="center"/>
                    <w:rPr>
                      <w:color w:val="000000"/>
                    </w:rPr>
                  </w:pPr>
                  <w:r>
                    <w:rPr>
                      <w:color w:val="000000"/>
                    </w:rPr>
                    <w:t>53.2</w:t>
                  </w:r>
                </w:p>
              </w:tc>
              <w:tc>
                <w:tcPr>
                  <w:tcW w:w="1275" w:type="dxa"/>
                  <w:vAlign w:val="center"/>
                </w:tcPr>
                <w:p>
                  <w:pPr>
                    <w:spacing w:line="0" w:lineRule="atLeast"/>
                    <w:jc w:val="center"/>
                    <w:rPr>
                      <w:color w:val="000000"/>
                    </w:rPr>
                  </w:pPr>
                  <w:r>
                    <w:rPr>
                      <w:color w:val="000000"/>
                    </w:rPr>
                    <w:t>62.3</w:t>
                  </w:r>
                </w:p>
              </w:tc>
              <w:tc>
                <w:tcPr>
                  <w:tcW w:w="1450" w:type="dxa"/>
                  <w:vAlign w:val="center"/>
                </w:tcPr>
                <w:p>
                  <w:pPr>
                    <w:spacing w:line="0" w:lineRule="atLeast"/>
                    <w:jc w:val="center"/>
                    <w:rPr>
                      <w:color w:val="000000"/>
                    </w:rPr>
                  </w:pPr>
                  <w:r>
                    <w:rPr>
                      <w:color w:val="000000"/>
                    </w:rPr>
                    <w:t>53.6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7" w:hRule="atLeast"/>
                <w:jc w:val="center"/>
              </w:trPr>
              <w:tc>
                <w:tcPr>
                  <w:tcW w:w="3138" w:type="dxa"/>
                  <w:vAlign w:val="center"/>
                </w:tcPr>
                <w:p>
                  <w:pPr>
                    <w:jc w:val="center"/>
                  </w:pPr>
                  <w:r>
                    <w:t>厂界北（4#）</w:t>
                  </w:r>
                </w:p>
              </w:tc>
              <w:tc>
                <w:tcPr>
                  <w:tcW w:w="1432" w:type="dxa"/>
                  <w:vAlign w:val="center"/>
                </w:tcPr>
                <w:p>
                  <w:pPr>
                    <w:spacing w:line="0" w:lineRule="atLeast"/>
                    <w:jc w:val="center"/>
                    <w:rPr>
                      <w:color w:val="000000"/>
                    </w:rPr>
                  </w:pPr>
                  <w:r>
                    <w:rPr>
                      <w:color w:val="000000"/>
                    </w:rPr>
                    <w:t>63.2</w:t>
                  </w:r>
                </w:p>
              </w:tc>
              <w:tc>
                <w:tcPr>
                  <w:tcW w:w="1496" w:type="dxa"/>
                  <w:vAlign w:val="center"/>
                </w:tcPr>
                <w:p>
                  <w:pPr>
                    <w:spacing w:line="0" w:lineRule="atLeast"/>
                    <w:jc w:val="center"/>
                    <w:rPr>
                      <w:color w:val="000000"/>
                    </w:rPr>
                  </w:pPr>
                  <w:r>
                    <w:rPr>
                      <w:color w:val="000000"/>
                    </w:rPr>
                    <w:t>53.8</w:t>
                  </w:r>
                </w:p>
              </w:tc>
              <w:tc>
                <w:tcPr>
                  <w:tcW w:w="1275" w:type="dxa"/>
                  <w:vAlign w:val="center"/>
                </w:tcPr>
                <w:p>
                  <w:pPr>
                    <w:spacing w:line="0" w:lineRule="atLeast"/>
                    <w:jc w:val="center"/>
                    <w:rPr>
                      <w:color w:val="000000"/>
                    </w:rPr>
                  </w:pPr>
                  <w:r>
                    <w:rPr>
                      <w:color w:val="000000"/>
                    </w:rPr>
                    <w:t>63.4</w:t>
                  </w:r>
                </w:p>
              </w:tc>
              <w:tc>
                <w:tcPr>
                  <w:tcW w:w="1450" w:type="dxa"/>
                  <w:vAlign w:val="center"/>
                </w:tcPr>
                <w:p>
                  <w:pPr>
                    <w:spacing w:line="0" w:lineRule="atLeast"/>
                    <w:jc w:val="center"/>
                    <w:rPr>
                      <w:color w:val="000000"/>
                    </w:rPr>
                  </w:pPr>
                  <w:r>
                    <w:rPr>
                      <w:color w:val="000000"/>
                    </w:rPr>
                    <w:t>53.8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32" w:hRule="atLeast"/>
                <w:jc w:val="center"/>
              </w:trPr>
              <w:tc>
                <w:tcPr>
                  <w:tcW w:w="3138" w:type="dxa"/>
                  <w:vAlign w:val="center"/>
                </w:tcPr>
                <w:p>
                  <w:pPr>
                    <w:jc w:val="center"/>
                  </w:pPr>
                  <w:r>
                    <w:t>GB3096-2008中2类区标准</w:t>
                  </w:r>
                </w:p>
              </w:tc>
              <w:tc>
                <w:tcPr>
                  <w:tcW w:w="5653" w:type="dxa"/>
                  <w:gridSpan w:val="4"/>
                  <w:vAlign w:val="center"/>
                </w:tcPr>
                <w:p>
                  <w:pPr>
                    <w:autoSpaceDN w:val="0"/>
                    <w:adjustRightInd w:val="0"/>
                    <w:snapToGrid w:val="0"/>
                    <w:jc w:val="center"/>
                  </w:pPr>
                  <w:r>
                    <w:t xml:space="preserve">昼间：60    夜间：50 </w:t>
                  </w:r>
                </w:p>
              </w:tc>
            </w:tr>
          </w:tbl>
          <w:p>
            <w:pPr>
              <w:adjustRightInd w:val="0"/>
              <w:snapToGrid w:val="0"/>
              <w:spacing w:before="156" w:beforeLines="50" w:line="520" w:lineRule="exact"/>
              <w:ind w:firstLine="480" w:firstLineChars="200"/>
              <w:rPr>
                <w:sz w:val="24"/>
              </w:rPr>
            </w:pPr>
            <w:r>
              <w:rPr>
                <w:sz w:val="24"/>
              </w:rPr>
              <w:t>从上表中监测结果可知，项目所在区域声环境质量现状监测值均不符合《声环境质量标准》（GB3096-2008）2类区标准要求，原因是1号机库位置靠近机场停机坪，飞机运行噪声较大引起的。</w:t>
            </w:r>
          </w:p>
          <w:p>
            <w:pPr>
              <w:tabs>
                <w:tab w:val="left" w:pos="3870"/>
              </w:tabs>
              <w:adjustRightInd w:val="0"/>
              <w:snapToGrid w:val="0"/>
              <w:spacing w:line="520" w:lineRule="exact"/>
              <w:ind w:firstLine="482" w:firstLineChars="200"/>
              <w:jc w:val="left"/>
              <w:rPr>
                <w:b/>
                <w:sz w:val="24"/>
                <w:szCs w:val="24"/>
              </w:rPr>
            </w:pPr>
            <w:r>
              <w:rPr>
                <w:b/>
                <w:sz w:val="24"/>
                <w:szCs w:val="24"/>
              </w:rPr>
              <w:t>3、土壤环境质量现状</w:t>
            </w:r>
          </w:p>
          <w:p>
            <w:pPr>
              <w:widowControl/>
              <w:autoSpaceDN w:val="0"/>
              <w:spacing w:before="50" w:line="520" w:lineRule="exact"/>
              <w:ind w:firstLine="480" w:firstLineChars="200"/>
              <w:rPr>
                <w:kern w:val="0"/>
                <w:sz w:val="24"/>
              </w:rPr>
            </w:pPr>
            <w:r>
              <w:rPr>
                <w:kern w:val="0"/>
                <w:sz w:val="24"/>
              </w:rPr>
              <w:t>根据工程分析，项目在运营期将产生废水、废气、噪声和固体废物，属于污染影响型项目。根据附录A，本项目属于使用有机涂层，为I类项目。项目占地面积4790m</w:t>
            </w:r>
            <w:r>
              <w:rPr>
                <w:kern w:val="0"/>
                <w:sz w:val="24"/>
                <w:vertAlign w:val="superscript"/>
              </w:rPr>
              <w:t>2</w:t>
            </w:r>
            <w:r>
              <w:rPr>
                <w:kern w:val="0"/>
                <w:sz w:val="24"/>
              </w:rPr>
              <w:t>，为小型占地。本项目产生的污染主要为喷漆及烘干废气经排气筒排放后可通过大气沉降到土壤。根据估算模型计算结果，排气筒最大落地浓度对应下风向距离为115m。根据土地利用规划图，项目下风向范围内用地类型为建设用地，项目敏感程度可判定为不敏感。项目土壤环境影响评价等级为二级。</w:t>
            </w:r>
          </w:p>
          <w:p>
            <w:pPr>
              <w:widowControl/>
              <w:autoSpaceDN w:val="0"/>
              <w:spacing w:before="50" w:line="520" w:lineRule="exact"/>
              <w:ind w:firstLine="480" w:firstLineChars="200"/>
              <w:rPr>
                <w:kern w:val="0"/>
                <w:sz w:val="24"/>
              </w:rPr>
            </w:pPr>
            <w:r>
              <w:rPr>
                <w:kern w:val="0"/>
                <w:sz w:val="24"/>
              </w:rPr>
              <w:t>（1）监测点位</w:t>
            </w:r>
          </w:p>
          <w:p>
            <w:pPr>
              <w:widowControl/>
              <w:autoSpaceDN w:val="0"/>
              <w:spacing w:before="50" w:line="520" w:lineRule="exact"/>
              <w:ind w:firstLine="480" w:firstLineChars="200"/>
              <w:rPr>
                <w:kern w:val="0"/>
                <w:sz w:val="24"/>
              </w:rPr>
            </w:pPr>
            <w:r>
              <w:rPr>
                <w:kern w:val="0"/>
                <w:sz w:val="24"/>
              </w:rPr>
              <w:t>根据《环境影响评价技术导则 土壤环境》，评价等级为二级污染影响型，需在占地范围内设3个柱状样点，1个表层样点，占地范围外设2个表层样点。根据现场勘查，项目占地范围内为1号机库，且地面均已硬化，故本次取样仅在占地范围外，设表层样3个。本项目土壤监测委托中认英泰检测技术有限公司对项目区土壤进行现状监测。具体点位图见附图6。</w:t>
            </w:r>
          </w:p>
          <w:p>
            <w:pPr>
              <w:widowControl/>
              <w:autoSpaceDN w:val="0"/>
              <w:spacing w:before="50" w:line="520" w:lineRule="exact"/>
              <w:ind w:firstLine="480" w:firstLineChars="200"/>
              <w:rPr>
                <w:kern w:val="0"/>
                <w:sz w:val="24"/>
              </w:rPr>
            </w:pPr>
            <w:r>
              <w:rPr>
                <w:kern w:val="0"/>
                <w:sz w:val="24"/>
              </w:rPr>
              <w:t>（2）</w:t>
            </w:r>
            <w:r>
              <w:rPr>
                <w:kern w:val="0"/>
                <w:sz w:val="24"/>
                <w:highlight w:val="none"/>
              </w:rPr>
              <w:t>监测</w:t>
            </w:r>
            <w:r>
              <w:rPr>
                <w:kern w:val="0"/>
                <w:sz w:val="24"/>
              </w:rPr>
              <w:t>项目</w:t>
            </w:r>
          </w:p>
          <w:p>
            <w:pPr>
              <w:widowControl/>
              <w:autoSpaceDN w:val="0"/>
              <w:spacing w:before="50" w:line="520" w:lineRule="exact"/>
              <w:ind w:firstLine="480" w:firstLineChars="200"/>
              <w:rPr>
                <w:kern w:val="0"/>
                <w:sz w:val="24"/>
              </w:rPr>
            </w:pPr>
            <w:r>
              <w:rPr>
                <w:kern w:val="0"/>
                <w:sz w:val="24"/>
              </w:rPr>
              <w:t>监测项目：砷、镉、六价铬、铜、铅、汞、镍、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硝基苯、苯胺、2-氯酚、苯并［a］蒽、苯并［a］芘、苯并［b］荧蒽、苯并［k］荧蒽、䓛、二苯并［a，h］蒽、茚并［1,2,3-cd］芘、萘。</w:t>
            </w:r>
          </w:p>
          <w:p>
            <w:pPr>
              <w:widowControl/>
              <w:autoSpaceDN w:val="0"/>
              <w:spacing w:before="50" w:line="520" w:lineRule="exact"/>
              <w:ind w:firstLine="480" w:firstLineChars="200"/>
              <w:rPr>
                <w:kern w:val="0"/>
                <w:sz w:val="24"/>
              </w:rPr>
            </w:pPr>
            <w:r>
              <w:rPr>
                <w:kern w:val="0"/>
                <w:sz w:val="24"/>
              </w:rPr>
              <w:t>（3）</w:t>
            </w:r>
            <w:r>
              <w:rPr>
                <w:kern w:val="0"/>
                <w:sz w:val="24"/>
                <w:highlight w:val="none"/>
              </w:rPr>
              <w:t>监测</w:t>
            </w:r>
            <w:r>
              <w:rPr>
                <w:kern w:val="0"/>
                <w:sz w:val="24"/>
              </w:rPr>
              <w:t>结果统计</w:t>
            </w:r>
          </w:p>
          <w:p>
            <w:pPr>
              <w:pStyle w:val="17"/>
              <w:jc w:val="center"/>
              <w:rPr>
                <w:rFonts w:ascii="Times New Roman" w:hAnsi="Times New Roman" w:eastAsia="黑体" w:cs="Times New Roman"/>
                <w:sz w:val="24"/>
              </w:rPr>
            </w:pPr>
          </w:p>
          <w:p>
            <w:pPr>
              <w:pStyle w:val="17"/>
              <w:jc w:val="center"/>
              <w:rPr>
                <w:rFonts w:ascii="Times New Roman" w:hAnsi="Times New Roman" w:eastAsia="黑体" w:cs="Times New Roman"/>
                <w:sz w:val="24"/>
              </w:rPr>
            </w:pPr>
            <w:r>
              <w:rPr>
                <w:rFonts w:ascii="Times New Roman" w:hAnsi="Times New Roman" w:eastAsia="黑体" w:cs="Times New Roman"/>
                <w:sz w:val="24"/>
              </w:rPr>
              <w:t>表18  项目区厂界外土壤表层样环境监测数据及统计结果表</w:t>
            </w:r>
          </w:p>
          <w:tbl>
            <w:tblPr>
              <w:tblStyle w:val="38"/>
              <w:tblW w:w="881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9"/>
              <w:gridCol w:w="1240"/>
              <w:gridCol w:w="1415"/>
              <w:gridCol w:w="982"/>
              <w:gridCol w:w="1136"/>
              <w:gridCol w:w="1251"/>
              <w:gridCol w:w="9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tcBorders>
                    <w:top w:val="single" w:color="auto" w:sz="12" w:space="0"/>
                    <w:left w:val="nil"/>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监测点位</w:t>
                  </w:r>
                </w:p>
              </w:tc>
              <w:tc>
                <w:tcPr>
                  <w:tcW w:w="1240" w:type="dxa"/>
                  <w:tcBorders>
                    <w:top w:val="single" w:color="auto" w:sz="12"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采样日期</w:t>
                  </w:r>
                </w:p>
              </w:tc>
              <w:tc>
                <w:tcPr>
                  <w:tcW w:w="1415" w:type="dxa"/>
                  <w:tcBorders>
                    <w:top w:val="single" w:color="auto" w:sz="12"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监测项目</w:t>
                  </w:r>
                </w:p>
              </w:tc>
              <w:tc>
                <w:tcPr>
                  <w:tcW w:w="982" w:type="dxa"/>
                  <w:tcBorders>
                    <w:top w:val="single" w:color="auto" w:sz="12" w:space="0"/>
                    <w:left w:val="single" w:color="auto" w:sz="6" w:space="0"/>
                    <w:bottom w:val="single" w:color="auto" w:sz="6" w:space="0"/>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监测结果（0.2m土样）</w:t>
                  </w:r>
                </w:p>
              </w:tc>
              <w:tc>
                <w:tcPr>
                  <w:tcW w:w="1136" w:type="dxa"/>
                  <w:tcBorders>
                    <w:top w:val="single" w:color="auto" w:sz="12" w:space="0"/>
                    <w:left w:val="single" w:color="auto" w:sz="6" w:space="0"/>
                    <w:bottom w:val="single" w:color="auto" w:sz="6" w:space="0"/>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单位</w:t>
                  </w:r>
                </w:p>
              </w:tc>
              <w:tc>
                <w:tcPr>
                  <w:tcW w:w="1251" w:type="dxa"/>
                  <w:tcBorders>
                    <w:top w:val="single" w:color="auto" w:sz="12" w:space="0"/>
                    <w:left w:val="single" w:color="auto" w:sz="6" w:space="0"/>
                    <w:bottom w:val="single" w:color="auto" w:sz="6" w:space="0"/>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评价标准</w:t>
                  </w:r>
                </w:p>
                <w:p>
                  <w:pPr>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926" w:type="dxa"/>
                  <w:tcBorders>
                    <w:top w:val="single" w:color="auto" w:sz="12" w:space="0"/>
                    <w:left w:val="single" w:color="auto" w:sz="6" w:space="0"/>
                    <w:bottom w:val="single" w:color="auto" w:sz="6" w:space="0"/>
                    <w:right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restart"/>
                  <w:tcBorders>
                    <w:top w:val="single" w:color="auto" w:sz="6" w:space="0"/>
                    <w:left w:val="nil"/>
                    <w:bottom w:val="single" w:color="auto" w:sz="6" w:space="0"/>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1#厂界外上风向 E108°46′11.11″</w:t>
                  </w:r>
                </w:p>
                <w:p>
                  <w:pPr>
                    <w:jc w:val="center"/>
                    <w:rPr>
                      <w:color w:val="000000" w:themeColor="text1"/>
                      <w14:textFill>
                        <w14:solidFill>
                          <w14:schemeClr w14:val="tx1"/>
                        </w14:solidFill>
                      </w14:textFill>
                    </w:rPr>
                  </w:pPr>
                  <w:r>
                    <w:rPr>
                      <w:color w:val="000000" w:themeColor="text1"/>
                      <w14:textFill>
                        <w14:solidFill>
                          <w14:schemeClr w14:val="tx1"/>
                        </w14:solidFill>
                      </w14:textFill>
                    </w:rPr>
                    <w:t>N34°26′55.40″</w:t>
                  </w:r>
                </w:p>
              </w:tc>
              <w:tc>
                <w:tcPr>
                  <w:tcW w:w="1240" w:type="dxa"/>
                  <w:vMerge w:val="restart"/>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2019.12.16</w:t>
                  </w: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18.5</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镉</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0.37</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六价铬</w:t>
                  </w:r>
                </w:p>
              </w:tc>
              <w:tc>
                <w:tcPr>
                  <w:tcW w:w="982" w:type="dxa"/>
                  <w:tcBorders>
                    <w:top w:val="single" w:color="auto" w:sz="6" w:space="0"/>
                    <w:left w:val="single" w:color="auto" w:sz="6" w:space="0"/>
                    <w:bottom w:val="single" w:color="auto" w:sz="6" w:space="0"/>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0.90</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5.7</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铜</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26</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18000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铅</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34.8</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800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汞</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0.095</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38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镍</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900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四氯化碳</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bCs/>
                      <w:color w:val="000000" w:themeColor="text1"/>
                      <w14:textFill>
                        <w14:solidFill>
                          <w14:schemeClr w14:val="tx1"/>
                        </w14:solidFill>
                      </w14:textFill>
                    </w:rPr>
                  </w:pPr>
                  <w:r>
                    <w:rPr>
                      <w:color w:val="000000" w:themeColor="text1"/>
                      <w14:textFill>
                        <w14:solidFill>
                          <w14:schemeClr w14:val="tx1"/>
                        </w14:solidFill>
                      </w14:textFill>
                    </w:rPr>
                    <w:t>氯仿</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0.9</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氯甲烷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37</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1,1-二氯乙烷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9</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1,2-二氯乙烷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1,1-二氯乙烯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顺-1,2-二氯乙烯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596</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反-1,2-二氯乙烯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54</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二氯甲烷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616</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1,2-二氯丙烷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1,1,1,2-四氯乙烷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1,1,2,2-四氯乙烷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四氯乙烯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1,1,1-三氯乙烷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840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1,1,2-三氯乙烷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三氯乙烯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1,2,3-三氯丙烷</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0.43</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氯苯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270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1,2-二氯苯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560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1,4-二氯苯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苯乙烯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1290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1200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highlight w:val="yellow"/>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硝基苯*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76</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苯胺*</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260</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2-氯酚*</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2256</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highlight w:val="none"/>
                      <w14:textFill>
                        <w14:solidFill>
                          <w14:schemeClr w14:val="tx1"/>
                        </w14:solidFill>
                      </w14:textFill>
                    </w:rPr>
                    <w:t>苯并</w:t>
                  </w:r>
                  <w:r>
                    <w:rPr>
                      <w:color w:val="000000" w:themeColor="text1"/>
                      <w14:textFill>
                        <w14:solidFill>
                          <w14:schemeClr w14:val="tx1"/>
                        </w14:solidFill>
                      </w14:textFill>
                    </w:rPr>
                    <w:t>［a］蒽</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highlight w:val="none"/>
                      <w14:textFill>
                        <w14:solidFill>
                          <w14:schemeClr w14:val="tx1"/>
                        </w14:solidFill>
                      </w14:textFill>
                    </w:rPr>
                    <w:t>苯并</w:t>
                  </w:r>
                  <w:r>
                    <w:rPr>
                      <w:color w:val="000000" w:themeColor="text1"/>
                      <w14:textFill>
                        <w14:solidFill>
                          <w14:schemeClr w14:val="tx1"/>
                        </w14:solidFill>
                      </w14:textFill>
                    </w:rPr>
                    <w:t>［a］芘</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苯并［b］荧蒽</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苯并［k］荧蒽</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151</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䓛</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1293</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二苯并［a，h］蒽</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茚并［1,2,3-cd］芘</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snapToGrid w:val="0"/>
                    <w:spacing w:line="360" w:lineRule="exact"/>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rPr>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萘</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restart"/>
                  <w:tcBorders>
                    <w:top w:val="single" w:color="auto" w:sz="4" w:space="0"/>
                    <w:left w:val="nil"/>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2#厂界外下风向E108°46′8.12″</w:t>
                  </w:r>
                </w:p>
                <w:p>
                  <w:pPr>
                    <w:spacing w:line="360" w:lineRule="auto"/>
                    <w:jc w:val="center"/>
                    <w:rPr>
                      <w:b/>
                      <w:bCs/>
                      <w:color w:val="000000" w:themeColor="text1"/>
                      <w14:textFill>
                        <w14:solidFill>
                          <w14:schemeClr w14:val="tx1"/>
                        </w14:solidFill>
                      </w14:textFill>
                    </w:rPr>
                  </w:pPr>
                  <w:r>
                    <w:rPr>
                      <w:color w:val="000000" w:themeColor="text1"/>
                      <w14:textFill>
                        <w14:solidFill>
                          <w14:schemeClr w14:val="tx1"/>
                        </w14:solidFill>
                      </w14:textFill>
                    </w:rPr>
                    <w:t>N34°26′51.10″</w:t>
                  </w:r>
                </w:p>
              </w:tc>
              <w:tc>
                <w:tcPr>
                  <w:tcW w:w="1240" w:type="dxa"/>
                  <w:vMerge w:val="continue"/>
                  <w:tcBorders>
                    <w:top w:val="single" w:color="auto" w:sz="4" w:space="0"/>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4"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982" w:type="dxa"/>
                  <w:tcBorders>
                    <w:top w:val="single" w:color="auto" w:sz="4"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4"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4"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1200</w:t>
                  </w:r>
                </w:p>
              </w:tc>
              <w:tc>
                <w:tcPr>
                  <w:tcW w:w="926" w:type="dxa"/>
                  <w:tcBorders>
                    <w:top w:val="single" w:color="auto" w:sz="4"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jc w:val="center"/>
                    <w:rPr>
                      <w:color w:val="000000" w:themeColor="text1"/>
                      <w14:textFill>
                        <w14:solidFill>
                          <w14:schemeClr w14:val="tx1"/>
                        </w14:solidFill>
                      </w14:textFill>
                    </w:rPr>
                  </w:pPr>
                </w:p>
              </w:tc>
              <w:tc>
                <w:tcPr>
                  <w:tcW w:w="1240" w:type="dxa"/>
                  <w:vMerge w:val="restart"/>
                  <w:tcBorders>
                    <w:top w:val="single" w:color="auto" w:sz="6" w:space="0"/>
                    <w:left w:val="single" w:color="auto" w:sz="6" w:space="0"/>
                    <w:right w:val="single" w:color="auto" w:sz="6" w:space="0"/>
                  </w:tcBorders>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2019.12.16</w:t>
                  </w: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jc w:val="center"/>
                    <w:rPr>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jc w:val="center"/>
                    <w:rPr>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restart"/>
                  <w:tcBorders>
                    <w:left w:val="nil"/>
                    <w:right w:val="single" w:color="auto" w:sz="6"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3厂界外下风向E108°46′8.57″</w:t>
                  </w:r>
                </w:p>
                <w:p>
                  <w:pPr>
                    <w:jc w:val="center"/>
                    <w:rPr>
                      <w:color w:val="000000" w:themeColor="text1"/>
                      <w14:textFill>
                        <w14:solidFill>
                          <w14:schemeClr w14:val="tx1"/>
                        </w14:solidFill>
                      </w14:textFill>
                    </w:rPr>
                  </w:pPr>
                  <w:r>
                    <w:rPr>
                      <w:color w:val="000000" w:themeColor="text1"/>
                      <w14:textFill>
                        <w14:solidFill>
                          <w14:schemeClr w14:val="tx1"/>
                        </w14:solidFill>
                      </w14:textFill>
                    </w:rPr>
                    <w:t>N34°26′50.34″</w:t>
                  </w:r>
                </w:p>
              </w:tc>
              <w:tc>
                <w:tcPr>
                  <w:tcW w:w="1240" w:type="dxa"/>
                  <w:vMerge w:val="continue"/>
                  <w:tcBorders>
                    <w:left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1200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jc w:val="center"/>
                    <w:rPr>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jc w:val="center"/>
                    <w:rPr>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869" w:type="dxa"/>
                  <w:vMerge w:val="continue"/>
                  <w:tcBorders>
                    <w:left w:val="nil"/>
                    <w:bottom w:val="single" w:color="auto" w:sz="12" w:space="0"/>
                    <w:right w:val="single" w:color="auto" w:sz="6" w:space="0"/>
                  </w:tcBorders>
                  <w:vAlign w:val="center"/>
                </w:tcPr>
                <w:p>
                  <w:pPr>
                    <w:jc w:val="center"/>
                    <w:rPr>
                      <w:color w:val="000000" w:themeColor="text1"/>
                      <w14:textFill>
                        <w14:solidFill>
                          <w14:schemeClr w14:val="tx1"/>
                        </w14:solidFill>
                      </w14:textFill>
                    </w:rPr>
                  </w:pPr>
                </w:p>
              </w:tc>
              <w:tc>
                <w:tcPr>
                  <w:tcW w:w="1240" w:type="dxa"/>
                  <w:vMerge w:val="continue"/>
                  <w:tcBorders>
                    <w:left w:val="single" w:color="auto" w:sz="6" w:space="0"/>
                    <w:bottom w:val="single" w:color="auto" w:sz="6" w:space="0"/>
                    <w:right w:val="single" w:color="auto" w:sz="6" w:space="0"/>
                  </w:tcBorders>
                  <w:vAlign w:val="center"/>
                </w:tcPr>
                <w:p>
                  <w:pPr>
                    <w:rPr>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12" w:space="0"/>
                    <w:right w:val="single" w:color="auto" w:sz="6" w:space="0"/>
                  </w:tcBorders>
                  <w:vAlign w:val="center"/>
                </w:tcPr>
                <w:p>
                  <w:pPr>
                    <w:spacing w:line="400" w:lineRule="exact"/>
                    <w:jc w:val="center"/>
                    <w:rPr>
                      <w:color w:val="000000" w:themeColor="text1"/>
                      <w14:textFill>
                        <w14:solidFill>
                          <w14:schemeClr w14:val="tx1"/>
                        </w14:solidFill>
                      </w14:textFill>
                    </w:rPr>
                  </w:pPr>
                  <w:r>
                    <w:rPr>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12"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12"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12" w:space="0"/>
                    <w:right w:val="single" w:color="auto" w:sz="6" w:space="0"/>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12" w:space="0"/>
                    <w:right w:val="nil"/>
                  </w:tcBorders>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bl>
          <w:p>
            <w:pPr>
              <w:pStyle w:val="2"/>
              <w:spacing w:after="0" w:line="520" w:lineRule="exact"/>
              <w:ind w:left="0" w:leftChars="0" w:firstLine="480"/>
              <w:rPr>
                <w:rFonts w:ascii="Times New Roman" w:hAnsi="Times New Roman"/>
                <w:kern w:val="0"/>
                <w:sz w:val="24"/>
                <w:szCs w:val="20"/>
              </w:rPr>
            </w:pPr>
            <w:r>
              <w:rPr>
                <w:rFonts w:ascii="Times New Roman" w:hAnsi="Times New Roman"/>
                <w:kern w:val="0"/>
                <w:sz w:val="24"/>
                <w:szCs w:val="20"/>
              </w:rPr>
              <w:t>由监测数据统计结果可以看出，项目区周边各个监测点位的监测结果均满足《土壤环境质量 建设用地土壤污染风险管控标准》（GB36600-2018）中第二类用地筛选值标准要求。</w:t>
            </w:r>
          </w:p>
          <w:p>
            <w:pPr>
              <w:pStyle w:val="2"/>
              <w:ind w:firstLine="560"/>
              <w:rPr>
                <w:rFonts w:ascii="Times New Roman" w:hAnsi="Times New Roman"/>
              </w:rPr>
            </w:pPr>
          </w:p>
          <w:p>
            <w:pPr>
              <w:widowControl/>
              <w:autoSpaceDN w:val="0"/>
              <w:spacing w:before="50" w:line="520" w:lineRule="exact"/>
              <w:ind w:firstLine="480" w:firstLineChars="200"/>
              <w:rPr>
                <w:kern w:val="0"/>
                <w:sz w:val="24"/>
              </w:rPr>
            </w:pPr>
          </w:p>
          <w:p>
            <w:pPr>
              <w:widowControl/>
              <w:autoSpaceDN w:val="0"/>
              <w:spacing w:before="50" w:line="520" w:lineRule="exact"/>
              <w:ind w:firstLine="480" w:firstLineChars="200"/>
              <w:rPr>
                <w:kern w:val="0"/>
                <w:sz w:val="24"/>
              </w:rPr>
            </w:pPr>
          </w:p>
          <w:p>
            <w:pPr>
              <w:widowControl/>
              <w:autoSpaceDN w:val="0"/>
              <w:spacing w:before="50" w:line="520" w:lineRule="exact"/>
              <w:ind w:firstLine="480" w:firstLineChars="200"/>
              <w:rPr>
                <w:kern w:val="0"/>
                <w:sz w:val="24"/>
              </w:rPr>
            </w:pPr>
          </w:p>
          <w:p>
            <w:pPr>
              <w:widowControl/>
              <w:autoSpaceDN w:val="0"/>
              <w:spacing w:before="50" w:line="520" w:lineRule="exact"/>
              <w:ind w:firstLine="480" w:firstLineChars="200"/>
              <w:rPr>
                <w:kern w:val="0"/>
                <w:sz w:val="24"/>
              </w:rPr>
            </w:pPr>
          </w:p>
          <w:p>
            <w:pPr>
              <w:widowControl/>
              <w:autoSpaceDN w:val="0"/>
              <w:spacing w:before="50" w:line="520" w:lineRule="exact"/>
              <w:ind w:firstLine="480" w:firstLineChars="200"/>
              <w:rPr>
                <w:kern w:val="0"/>
                <w:sz w:val="24"/>
              </w:rPr>
            </w:pPr>
          </w:p>
          <w:p>
            <w:pPr>
              <w:widowControl/>
              <w:autoSpaceDN w:val="0"/>
              <w:spacing w:before="50" w:line="520" w:lineRule="exact"/>
              <w:rPr>
                <w:kern w:val="0"/>
                <w:sz w:val="24"/>
              </w:rPr>
            </w:pPr>
          </w:p>
          <w:p>
            <w:pPr>
              <w:widowControl/>
              <w:autoSpaceDN w:val="0"/>
              <w:spacing w:before="50" w:line="520" w:lineRule="exact"/>
              <w:rPr>
                <w:kern w:val="0"/>
                <w:sz w:val="24"/>
              </w:rPr>
            </w:pPr>
          </w:p>
          <w:p>
            <w:pPr>
              <w:widowControl/>
              <w:autoSpaceDN w:val="0"/>
              <w:spacing w:before="50" w:line="520" w:lineRule="exact"/>
              <w:rPr>
                <w:kern w:val="0"/>
                <w:sz w:val="24"/>
              </w:rPr>
            </w:pPr>
          </w:p>
          <w:p>
            <w:pPr>
              <w:widowControl/>
              <w:autoSpaceDN w:val="0"/>
              <w:spacing w:before="50" w:line="520" w:lineRule="exact"/>
              <w:rPr>
                <w:kern w:val="0"/>
                <w:sz w:val="18"/>
                <w:szCs w:val="18"/>
              </w:rPr>
            </w:pPr>
          </w:p>
          <w:p>
            <w:pPr>
              <w:widowControl/>
              <w:autoSpaceDN w:val="0"/>
              <w:spacing w:before="50" w:line="520" w:lineRule="exact"/>
              <w:rPr>
                <w:kern w:val="0"/>
                <w:sz w:val="18"/>
                <w:szCs w:val="18"/>
              </w:rPr>
            </w:pPr>
          </w:p>
          <w:p>
            <w:pPr>
              <w:widowControl/>
              <w:autoSpaceDN w:val="0"/>
              <w:spacing w:before="50" w:line="520" w:lineRule="exact"/>
              <w:rPr>
                <w:kern w:val="0"/>
                <w:sz w:val="18"/>
                <w:szCs w:val="18"/>
              </w:rPr>
            </w:pPr>
          </w:p>
          <w:p>
            <w:pPr>
              <w:widowControl/>
              <w:autoSpaceDN w:val="0"/>
              <w:spacing w:before="50" w:line="520" w:lineRule="exact"/>
              <w:rPr>
                <w:kern w:val="0"/>
                <w:sz w:val="18"/>
                <w:szCs w:val="18"/>
              </w:rPr>
            </w:pPr>
          </w:p>
          <w:p>
            <w:pPr>
              <w:pStyle w:val="2"/>
              <w:ind w:firstLine="56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6" w:hRule="atLeast"/>
        </w:trPr>
        <w:tc>
          <w:tcPr>
            <w:tcW w:w="9035" w:type="dxa"/>
          </w:tcPr>
          <w:p>
            <w:pPr>
              <w:adjustRightInd w:val="0"/>
              <w:snapToGrid w:val="0"/>
              <w:spacing w:before="156" w:beforeLines="50" w:line="520" w:lineRule="exact"/>
              <w:jc w:val="left"/>
              <w:rPr>
                <w:b/>
                <w:bCs/>
                <w:szCs w:val="28"/>
              </w:rPr>
            </w:pPr>
            <w:r>
              <w:rPr>
                <w:b/>
                <w:bCs/>
                <w:szCs w:val="28"/>
              </w:rPr>
              <w:t>主要环境保护目标（列出名单及保护级别）:</w:t>
            </w:r>
          </w:p>
          <w:p>
            <w:pPr>
              <w:pStyle w:val="17"/>
              <w:spacing w:before="50" w:line="520" w:lineRule="exact"/>
              <w:ind w:firstLine="482"/>
              <w:outlineLvl w:val="0"/>
              <w:rPr>
                <w:rFonts w:ascii="Times New Roman" w:hAnsi="Times New Roman" w:cs="Times New Roman"/>
                <w:sz w:val="24"/>
                <w:szCs w:val="24"/>
                <w:highlight w:val="yellow"/>
              </w:rPr>
            </w:pPr>
            <w:r>
              <w:rPr>
                <w:rFonts w:ascii="Times New Roman" w:hAnsi="Times New Roman" w:cs="Times New Roman"/>
                <w:sz w:val="24"/>
                <w:szCs w:val="24"/>
              </w:rPr>
              <w:t>项目主要环境保护目标及保护级别见下表。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表19    项目周围主要环境保护目标</w:t>
            </w:r>
          </w:p>
          <w:tbl>
            <w:tblPr>
              <w:tblStyle w:val="38"/>
              <w:tblW w:w="8819"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34"/>
              <w:gridCol w:w="1134"/>
              <w:gridCol w:w="1259"/>
              <w:gridCol w:w="1169"/>
              <w:gridCol w:w="1028"/>
              <w:gridCol w:w="905"/>
              <w:gridCol w:w="11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828" w:type="dxa"/>
                  <w:vMerge w:val="restart"/>
                  <w:vAlign w:val="center"/>
                </w:tcPr>
                <w:p>
                  <w:pPr>
                    <w:adjustRightInd w:val="0"/>
                    <w:snapToGrid w:val="0"/>
                    <w:spacing w:before="62" w:beforeLines="20" w:after="31" w:afterLines="10"/>
                    <w:jc w:val="center"/>
                    <w:rPr>
                      <w:b/>
                      <w:bCs/>
                    </w:rPr>
                  </w:pPr>
                  <w:r>
                    <w:rPr>
                      <w:b/>
                      <w:bCs/>
                    </w:rPr>
                    <w:t>名称</w:t>
                  </w:r>
                </w:p>
              </w:tc>
              <w:tc>
                <w:tcPr>
                  <w:tcW w:w="2468" w:type="dxa"/>
                  <w:gridSpan w:val="2"/>
                  <w:vAlign w:val="center"/>
                </w:tcPr>
                <w:p>
                  <w:pPr>
                    <w:adjustRightInd w:val="0"/>
                    <w:snapToGrid w:val="0"/>
                    <w:spacing w:before="62" w:beforeLines="20" w:after="31" w:afterLines="10"/>
                    <w:jc w:val="center"/>
                    <w:rPr>
                      <w:b/>
                      <w:bCs/>
                    </w:rPr>
                  </w:pPr>
                  <w:r>
                    <w:rPr>
                      <w:b/>
                      <w:bCs/>
                    </w:rPr>
                    <w:t>坐标</w:t>
                  </w:r>
                </w:p>
              </w:tc>
              <w:tc>
                <w:tcPr>
                  <w:tcW w:w="1259" w:type="dxa"/>
                  <w:vMerge w:val="restart"/>
                  <w:vAlign w:val="center"/>
                </w:tcPr>
                <w:p>
                  <w:pPr>
                    <w:adjustRightInd w:val="0"/>
                    <w:snapToGrid w:val="0"/>
                    <w:spacing w:before="62" w:beforeLines="20" w:after="31" w:afterLines="10"/>
                    <w:jc w:val="center"/>
                    <w:rPr>
                      <w:b/>
                      <w:bCs/>
                    </w:rPr>
                  </w:pPr>
                  <w:r>
                    <w:rPr>
                      <w:b/>
                      <w:bCs/>
                    </w:rPr>
                    <w:t>保护</w:t>
                  </w:r>
                </w:p>
                <w:p>
                  <w:pPr>
                    <w:adjustRightInd w:val="0"/>
                    <w:snapToGrid w:val="0"/>
                    <w:spacing w:before="62" w:beforeLines="20" w:after="31" w:afterLines="10"/>
                    <w:jc w:val="center"/>
                    <w:rPr>
                      <w:b/>
                      <w:bCs/>
                    </w:rPr>
                  </w:pPr>
                  <w:r>
                    <w:rPr>
                      <w:b/>
                      <w:bCs/>
                    </w:rPr>
                    <w:t>对象</w:t>
                  </w:r>
                </w:p>
              </w:tc>
              <w:tc>
                <w:tcPr>
                  <w:tcW w:w="1169" w:type="dxa"/>
                  <w:vMerge w:val="restart"/>
                  <w:vAlign w:val="center"/>
                </w:tcPr>
                <w:p>
                  <w:pPr>
                    <w:adjustRightInd w:val="0"/>
                    <w:snapToGrid w:val="0"/>
                    <w:spacing w:before="62" w:beforeLines="20" w:after="31" w:afterLines="10"/>
                    <w:jc w:val="center"/>
                    <w:rPr>
                      <w:b/>
                      <w:bCs/>
                    </w:rPr>
                  </w:pPr>
                  <w:r>
                    <w:rPr>
                      <w:b/>
                      <w:bCs/>
                    </w:rPr>
                    <w:t>保护</w:t>
                  </w:r>
                </w:p>
                <w:p>
                  <w:pPr>
                    <w:adjustRightInd w:val="0"/>
                    <w:snapToGrid w:val="0"/>
                    <w:spacing w:before="62" w:beforeLines="20" w:after="31" w:afterLines="10"/>
                    <w:jc w:val="center"/>
                    <w:rPr>
                      <w:b/>
                      <w:bCs/>
                    </w:rPr>
                  </w:pPr>
                  <w:r>
                    <w:rPr>
                      <w:b/>
                      <w:bCs/>
                    </w:rPr>
                    <w:t>内容</w:t>
                  </w:r>
                </w:p>
              </w:tc>
              <w:tc>
                <w:tcPr>
                  <w:tcW w:w="1028" w:type="dxa"/>
                  <w:vMerge w:val="restart"/>
                  <w:vAlign w:val="center"/>
                </w:tcPr>
                <w:p>
                  <w:pPr>
                    <w:adjustRightInd w:val="0"/>
                    <w:snapToGrid w:val="0"/>
                    <w:spacing w:before="62" w:beforeLines="20" w:after="31" w:afterLines="10"/>
                    <w:jc w:val="center"/>
                    <w:rPr>
                      <w:b/>
                      <w:bCs/>
                    </w:rPr>
                  </w:pPr>
                  <w:r>
                    <w:rPr>
                      <w:b/>
                      <w:bCs/>
                    </w:rPr>
                    <w:t>环境功能区</w:t>
                  </w:r>
                </w:p>
              </w:tc>
              <w:tc>
                <w:tcPr>
                  <w:tcW w:w="905" w:type="dxa"/>
                  <w:vMerge w:val="restart"/>
                  <w:vAlign w:val="center"/>
                </w:tcPr>
                <w:p>
                  <w:pPr>
                    <w:adjustRightInd w:val="0"/>
                    <w:snapToGrid w:val="0"/>
                    <w:spacing w:before="62" w:beforeLines="20" w:after="31" w:afterLines="10"/>
                    <w:jc w:val="center"/>
                    <w:rPr>
                      <w:b/>
                      <w:bCs/>
                    </w:rPr>
                  </w:pPr>
                  <w:r>
                    <w:rPr>
                      <w:b/>
                      <w:bCs/>
                    </w:rPr>
                    <w:t>相对厂址方位</w:t>
                  </w:r>
                </w:p>
              </w:tc>
              <w:tc>
                <w:tcPr>
                  <w:tcW w:w="1162" w:type="dxa"/>
                  <w:vMerge w:val="restart"/>
                  <w:vAlign w:val="center"/>
                </w:tcPr>
                <w:p>
                  <w:pPr>
                    <w:adjustRightInd w:val="0"/>
                    <w:snapToGrid w:val="0"/>
                    <w:spacing w:before="62" w:beforeLines="20" w:after="31" w:afterLines="10"/>
                    <w:jc w:val="center"/>
                    <w:rPr>
                      <w:b/>
                      <w:bCs/>
                    </w:rPr>
                  </w:pPr>
                  <w:r>
                    <w:rPr>
                      <w:b/>
                      <w:bCs/>
                    </w:rPr>
                    <w:t>相对厂界</w:t>
                  </w:r>
                </w:p>
                <w:p>
                  <w:pPr>
                    <w:adjustRightInd w:val="0"/>
                    <w:snapToGrid w:val="0"/>
                    <w:spacing w:before="62" w:beforeLines="20" w:after="31" w:afterLines="10"/>
                    <w:jc w:val="center"/>
                    <w:rPr>
                      <w:b/>
                      <w:bCs/>
                    </w:rPr>
                  </w:pPr>
                  <w:r>
                    <w:rPr>
                      <w:b/>
                      <w:bCs/>
                    </w:rPr>
                    <w:t>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8" w:type="dxa"/>
                  <w:vMerge w:val="continue"/>
                  <w:vAlign w:val="center"/>
                </w:tcPr>
                <w:p>
                  <w:pPr>
                    <w:adjustRightInd w:val="0"/>
                    <w:snapToGrid w:val="0"/>
                    <w:spacing w:before="62" w:beforeLines="20" w:after="31" w:afterLines="10"/>
                    <w:jc w:val="center"/>
                    <w:rPr>
                      <w:b/>
                      <w:bCs/>
                    </w:rPr>
                  </w:pPr>
                </w:p>
              </w:tc>
              <w:tc>
                <w:tcPr>
                  <w:tcW w:w="1334" w:type="dxa"/>
                  <w:vAlign w:val="center"/>
                </w:tcPr>
                <w:p>
                  <w:pPr>
                    <w:adjustRightInd w:val="0"/>
                    <w:snapToGrid w:val="0"/>
                    <w:spacing w:before="62" w:beforeLines="20" w:after="31" w:afterLines="10"/>
                    <w:jc w:val="center"/>
                    <w:rPr>
                      <w:b/>
                      <w:bCs/>
                    </w:rPr>
                  </w:pPr>
                  <w:r>
                    <w:rPr>
                      <w:b/>
                      <w:bCs/>
                    </w:rPr>
                    <w:t>X</w:t>
                  </w:r>
                </w:p>
              </w:tc>
              <w:tc>
                <w:tcPr>
                  <w:tcW w:w="1134" w:type="dxa"/>
                  <w:vAlign w:val="center"/>
                </w:tcPr>
                <w:p>
                  <w:pPr>
                    <w:adjustRightInd w:val="0"/>
                    <w:snapToGrid w:val="0"/>
                    <w:spacing w:before="62" w:beforeLines="20" w:after="31" w:afterLines="10"/>
                    <w:jc w:val="center"/>
                    <w:rPr>
                      <w:b/>
                      <w:bCs/>
                    </w:rPr>
                  </w:pPr>
                  <w:r>
                    <w:rPr>
                      <w:b/>
                      <w:bCs/>
                    </w:rPr>
                    <w:t>Y</w:t>
                  </w:r>
                </w:p>
              </w:tc>
              <w:tc>
                <w:tcPr>
                  <w:tcW w:w="1259" w:type="dxa"/>
                  <w:vMerge w:val="continue"/>
                  <w:vAlign w:val="center"/>
                </w:tcPr>
                <w:p>
                  <w:pPr>
                    <w:adjustRightInd w:val="0"/>
                    <w:snapToGrid w:val="0"/>
                    <w:spacing w:before="62" w:beforeLines="20" w:after="31" w:afterLines="10"/>
                    <w:jc w:val="center"/>
                    <w:rPr>
                      <w:b/>
                      <w:bCs/>
                    </w:rPr>
                  </w:pPr>
                </w:p>
              </w:tc>
              <w:tc>
                <w:tcPr>
                  <w:tcW w:w="1169" w:type="dxa"/>
                  <w:vMerge w:val="continue"/>
                  <w:vAlign w:val="center"/>
                </w:tcPr>
                <w:p>
                  <w:pPr>
                    <w:adjustRightInd w:val="0"/>
                    <w:snapToGrid w:val="0"/>
                    <w:spacing w:before="62" w:beforeLines="20" w:after="31" w:afterLines="10"/>
                    <w:jc w:val="center"/>
                    <w:rPr>
                      <w:b/>
                      <w:bCs/>
                    </w:rPr>
                  </w:pPr>
                </w:p>
              </w:tc>
              <w:tc>
                <w:tcPr>
                  <w:tcW w:w="1028" w:type="dxa"/>
                  <w:vMerge w:val="continue"/>
                  <w:vAlign w:val="center"/>
                </w:tcPr>
                <w:p>
                  <w:pPr>
                    <w:adjustRightInd w:val="0"/>
                    <w:snapToGrid w:val="0"/>
                    <w:spacing w:before="62" w:beforeLines="20" w:after="31" w:afterLines="10"/>
                    <w:jc w:val="center"/>
                    <w:rPr>
                      <w:b/>
                      <w:bCs/>
                    </w:rPr>
                  </w:pPr>
                </w:p>
              </w:tc>
              <w:tc>
                <w:tcPr>
                  <w:tcW w:w="905" w:type="dxa"/>
                  <w:vMerge w:val="continue"/>
                  <w:vAlign w:val="center"/>
                </w:tcPr>
                <w:p>
                  <w:pPr>
                    <w:adjustRightInd w:val="0"/>
                    <w:snapToGrid w:val="0"/>
                    <w:spacing w:before="62" w:beforeLines="20" w:after="31" w:afterLines="10"/>
                    <w:jc w:val="center"/>
                    <w:rPr>
                      <w:b/>
                      <w:bCs/>
                    </w:rPr>
                  </w:pPr>
                </w:p>
              </w:tc>
              <w:tc>
                <w:tcPr>
                  <w:tcW w:w="1162" w:type="dxa"/>
                  <w:vMerge w:val="continue"/>
                  <w:vAlign w:val="center"/>
                </w:tcPr>
                <w:p>
                  <w:pPr>
                    <w:adjustRightInd w:val="0"/>
                    <w:snapToGrid w:val="0"/>
                    <w:spacing w:before="62" w:beforeLines="20" w:after="31" w:afterLines="10"/>
                    <w:jc w:val="center"/>
                    <w:rPr>
                      <w:b/>
                      <w:bC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restart"/>
                  <w:vAlign w:val="center"/>
                </w:tcPr>
                <w:p>
                  <w:pPr>
                    <w:adjustRightInd w:val="0"/>
                    <w:snapToGrid w:val="0"/>
                    <w:spacing w:before="62" w:beforeLines="20" w:after="31" w:afterLines="10"/>
                    <w:jc w:val="center"/>
                  </w:pPr>
                  <w:r>
                    <w:t>环境</w:t>
                  </w:r>
                </w:p>
                <w:p>
                  <w:pPr>
                    <w:adjustRightInd w:val="0"/>
                    <w:snapToGrid w:val="0"/>
                    <w:spacing w:before="62" w:beforeLines="20" w:after="31" w:afterLines="10"/>
                    <w:jc w:val="center"/>
                  </w:pPr>
                  <w:r>
                    <w:t>空气保护目标</w:t>
                  </w:r>
                </w:p>
              </w:tc>
              <w:tc>
                <w:tcPr>
                  <w:tcW w:w="1334" w:type="dxa"/>
                  <w:vAlign w:val="center"/>
                </w:tcPr>
                <w:p>
                  <w:pPr>
                    <w:adjustRightInd w:val="0"/>
                    <w:snapToGrid w:val="0"/>
                    <w:spacing w:before="62" w:beforeLines="20" w:after="31" w:afterLines="10"/>
                    <w:jc w:val="center"/>
                    <w:rPr>
                      <w:bCs/>
                    </w:rPr>
                  </w:pPr>
                  <w:r>
                    <w:rPr>
                      <w:bCs/>
                    </w:rPr>
                    <w:t>108.796363</w:t>
                  </w:r>
                </w:p>
              </w:tc>
              <w:tc>
                <w:tcPr>
                  <w:tcW w:w="1134" w:type="dxa"/>
                  <w:vAlign w:val="center"/>
                </w:tcPr>
                <w:p>
                  <w:pPr>
                    <w:adjustRightInd w:val="0"/>
                    <w:snapToGrid w:val="0"/>
                    <w:spacing w:before="62" w:beforeLines="20" w:after="31" w:afterLines="10"/>
                    <w:jc w:val="center"/>
                    <w:rPr>
                      <w:bCs/>
                    </w:rPr>
                  </w:pPr>
                  <w:r>
                    <w:rPr>
                      <w:bCs/>
                    </w:rPr>
                    <w:t>34.445388</w:t>
                  </w:r>
                </w:p>
              </w:tc>
              <w:tc>
                <w:tcPr>
                  <w:tcW w:w="1259" w:type="dxa"/>
                  <w:vAlign w:val="center"/>
                </w:tcPr>
                <w:p>
                  <w:pPr>
                    <w:adjustRightInd w:val="0"/>
                    <w:snapToGrid w:val="0"/>
                    <w:spacing w:before="62" w:beforeLines="20" w:after="31" w:afterLines="10"/>
                    <w:jc w:val="center"/>
                  </w:pPr>
                  <w:r>
                    <w:t>丁家</w:t>
                  </w:r>
                  <w:r>
                    <w:rPr>
                      <w:highlight w:val="none"/>
                    </w:rPr>
                    <w:t>小堡</w:t>
                  </w:r>
                </w:p>
              </w:tc>
              <w:tc>
                <w:tcPr>
                  <w:tcW w:w="1169" w:type="dxa"/>
                  <w:vAlign w:val="center"/>
                </w:tcPr>
                <w:p>
                  <w:pPr>
                    <w:adjustRightInd w:val="0"/>
                    <w:snapToGrid w:val="0"/>
                    <w:spacing w:before="62" w:beforeLines="20" w:after="31" w:afterLines="10"/>
                    <w:jc w:val="center"/>
                  </w:pPr>
                  <w:r>
                    <w:t>约300人</w:t>
                  </w:r>
                </w:p>
              </w:tc>
              <w:tc>
                <w:tcPr>
                  <w:tcW w:w="1028" w:type="dxa"/>
                  <w:vMerge w:val="restart"/>
                  <w:vAlign w:val="center"/>
                </w:tcPr>
                <w:p>
                  <w:pPr>
                    <w:adjustRightInd w:val="0"/>
                    <w:snapToGrid w:val="0"/>
                    <w:spacing w:before="62" w:beforeLines="20" w:after="31" w:afterLines="10"/>
                    <w:jc w:val="center"/>
                  </w:pPr>
                  <w:r>
                    <w:t>环境空气二类区</w:t>
                  </w:r>
                </w:p>
              </w:tc>
              <w:tc>
                <w:tcPr>
                  <w:tcW w:w="905" w:type="dxa"/>
                  <w:vAlign w:val="center"/>
                </w:tcPr>
                <w:p>
                  <w:pPr>
                    <w:adjustRightInd w:val="0"/>
                    <w:snapToGrid w:val="0"/>
                    <w:spacing w:before="62" w:beforeLines="20" w:after="31" w:afterLines="10"/>
                    <w:jc w:val="center"/>
                  </w:pPr>
                  <w:r>
                    <w:rPr>
                      <w:bCs/>
                    </w:rPr>
                    <w:t>东</w:t>
                  </w:r>
                </w:p>
              </w:tc>
              <w:tc>
                <w:tcPr>
                  <w:tcW w:w="1162" w:type="dxa"/>
                  <w:vAlign w:val="center"/>
                </w:tcPr>
                <w:p>
                  <w:pPr>
                    <w:adjustRightInd w:val="0"/>
                    <w:snapToGrid w:val="0"/>
                    <w:spacing w:before="62" w:beforeLines="20" w:after="31" w:afterLines="10"/>
                    <w:jc w:val="center"/>
                  </w:pPr>
                  <w:r>
                    <w:t>2500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rPr>
                      <w:bCs/>
                    </w:rPr>
                  </w:pPr>
                  <w:r>
                    <w:rPr>
                      <w:bCs/>
                    </w:rPr>
                    <w:t>108.791041</w:t>
                  </w:r>
                </w:p>
              </w:tc>
              <w:tc>
                <w:tcPr>
                  <w:tcW w:w="1134" w:type="dxa"/>
                  <w:vAlign w:val="center"/>
                </w:tcPr>
                <w:p>
                  <w:pPr>
                    <w:adjustRightInd w:val="0"/>
                    <w:snapToGrid w:val="0"/>
                    <w:spacing w:before="62" w:beforeLines="20" w:after="31" w:afterLines="10"/>
                    <w:jc w:val="center"/>
                    <w:rPr>
                      <w:bCs/>
                    </w:rPr>
                  </w:pPr>
                  <w:r>
                    <w:rPr>
                      <w:bCs/>
                    </w:rPr>
                    <w:t>34.432753</w:t>
                  </w:r>
                </w:p>
              </w:tc>
              <w:tc>
                <w:tcPr>
                  <w:tcW w:w="1259" w:type="dxa"/>
                  <w:vAlign w:val="center"/>
                </w:tcPr>
                <w:p>
                  <w:pPr>
                    <w:adjustRightInd w:val="0"/>
                    <w:snapToGrid w:val="0"/>
                    <w:spacing w:before="62" w:beforeLines="20" w:after="31" w:afterLines="10"/>
                    <w:jc w:val="center"/>
                  </w:pPr>
                  <w:r>
                    <w:rPr>
                      <w:bCs/>
                    </w:rPr>
                    <w:t>布里村</w:t>
                  </w:r>
                </w:p>
              </w:tc>
              <w:tc>
                <w:tcPr>
                  <w:tcW w:w="1169" w:type="dxa"/>
                  <w:vAlign w:val="center"/>
                </w:tcPr>
                <w:p>
                  <w:pPr>
                    <w:adjustRightInd w:val="0"/>
                    <w:snapToGrid w:val="0"/>
                    <w:spacing w:before="62" w:beforeLines="20" w:after="31" w:afterLines="10"/>
                    <w:jc w:val="center"/>
                  </w:pPr>
                  <w:r>
                    <w:t>约450人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东南</w:t>
                  </w:r>
                </w:p>
              </w:tc>
              <w:tc>
                <w:tcPr>
                  <w:tcW w:w="1162" w:type="dxa"/>
                  <w:vAlign w:val="center"/>
                </w:tcPr>
                <w:p>
                  <w:pPr>
                    <w:adjustRightInd w:val="0"/>
                    <w:snapToGrid w:val="0"/>
                    <w:spacing w:before="62" w:beforeLines="20" w:after="31" w:afterLines="10"/>
                    <w:jc w:val="center"/>
                  </w:pPr>
                  <w:r>
                    <w:t>2680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rPr>
                      <w:bCs/>
                    </w:rPr>
                  </w:pPr>
                  <w:r>
                    <w:rPr>
                      <w:bCs/>
                    </w:rPr>
                    <w:t>108.779626</w:t>
                  </w:r>
                </w:p>
              </w:tc>
              <w:tc>
                <w:tcPr>
                  <w:tcW w:w="1134" w:type="dxa"/>
                  <w:vAlign w:val="center"/>
                </w:tcPr>
                <w:p>
                  <w:pPr>
                    <w:adjustRightInd w:val="0"/>
                    <w:snapToGrid w:val="0"/>
                    <w:spacing w:before="62" w:beforeLines="20" w:after="31" w:afterLines="10"/>
                    <w:jc w:val="center"/>
                    <w:rPr>
                      <w:bCs/>
                    </w:rPr>
                  </w:pPr>
                  <w:r>
                    <w:rPr>
                      <w:bCs/>
                    </w:rPr>
                    <w:t>34.431726</w:t>
                  </w:r>
                </w:p>
              </w:tc>
              <w:tc>
                <w:tcPr>
                  <w:tcW w:w="1259" w:type="dxa"/>
                  <w:vAlign w:val="center"/>
                </w:tcPr>
                <w:p>
                  <w:pPr>
                    <w:adjustRightInd w:val="0"/>
                    <w:snapToGrid w:val="0"/>
                    <w:spacing w:before="62" w:beforeLines="20" w:after="31" w:afterLines="10"/>
                    <w:jc w:val="center"/>
                    <w:rPr>
                      <w:bCs/>
                    </w:rPr>
                  </w:pPr>
                  <w:r>
                    <w:rPr>
                      <w:bCs/>
                    </w:rPr>
                    <w:t>上召窑</w:t>
                  </w:r>
                </w:p>
              </w:tc>
              <w:tc>
                <w:tcPr>
                  <w:tcW w:w="1169" w:type="dxa"/>
                  <w:vAlign w:val="center"/>
                </w:tcPr>
                <w:p>
                  <w:pPr>
                    <w:adjustRightInd w:val="0"/>
                    <w:snapToGrid w:val="0"/>
                    <w:spacing w:before="62" w:beforeLines="20" w:after="31" w:afterLines="10"/>
                    <w:jc w:val="center"/>
                  </w:pPr>
                  <w:r>
                    <w:t>约300人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rPr>
                      <w:bCs/>
                    </w:rPr>
                    <w:t>东南</w:t>
                  </w:r>
                </w:p>
              </w:tc>
              <w:tc>
                <w:tcPr>
                  <w:tcW w:w="1162" w:type="dxa"/>
                  <w:vAlign w:val="center"/>
                </w:tcPr>
                <w:p>
                  <w:pPr>
                    <w:adjustRightInd w:val="0"/>
                    <w:snapToGrid w:val="0"/>
                    <w:spacing w:before="62" w:beforeLines="20" w:after="31" w:afterLines="10"/>
                    <w:jc w:val="center"/>
                  </w:pPr>
                  <w:r>
                    <w:t>2086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108.741302</w:t>
                  </w:r>
                </w:p>
              </w:tc>
              <w:tc>
                <w:tcPr>
                  <w:tcW w:w="1134" w:type="dxa"/>
                  <w:vAlign w:val="center"/>
                </w:tcPr>
                <w:p>
                  <w:pPr>
                    <w:adjustRightInd w:val="0"/>
                    <w:snapToGrid w:val="0"/>
                    <w:spacing w:before="62" w:beforeLines="20" w:after="31" w:afterLines="10"/>
                    <w:jc w:val="center"/>
                  </w:pPr>
                  <w:r>
                    <w:t>34.444716</w:t>
                  </w:r>
                </w:p>
              </w:tc>
              <w:tc>
                <w:tcPr>
                  <w:tcW w:w="1259" w:type="dxa"/>
                  <w:vAlign w:val="center"/>
                </w:tcPr>
                <w:p>
                  <w:pPr>
                    <w:adjustRightInd w:val="0"/>
                    <w:snapToGrid w:val="0"/>
                    <w:spacing w:before="62" w:beforeLines="20" w:after="31" w:afterLines="10"/>
                    <w:jc w:val="center"/>
                  </w:pPr>
                  <w:r>
                    <w:t>靳里村</w:t>
                  </w:r>
                </w:p>
              </w:tc>
              <w:tc>
                <w:tcPr>
                  <w:tcW w:w="1169" w:type="dxa"/>
                  <w:vAlign w:val="center"/>
                </w:tcPr>
                <w:p>
                  <w:pPr>
                    <w:adjustRightInd w:val="0"/>
                    <w:snapToGrid w:val="0"/>
                    <w:spacing w:before="62" w:beforeLines="20" w:after="31" w:afterLines="10"/>
                    <w:jc w:val="center"/>
                  </w:pPr>
                  <w:r>
                    <w:t>约540人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w:t>
                  </w:r>
                </w:p>
              </w:tc>
              <w:tc>
                <w:tcPr>
                  <w:tcW w:w="1162" w:type="dxa"/>
                  <w:vAlign w:val="center"/>
                </w:tcPr>
                <w:p>
                  <w:pPr>
                    <w:adjustRightInd w:val="0"/>
                    <w:snapToGrid w:val="0"/>
                    <w:spacing w:before="62" w:beforeLines="20" w:after="31" w:afterLines="10"/>
                    <w:jc w:val="center"/>
                  </w:pPr>
                  <w:r>
                    <w:t>2368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108.753405</w:t>
                  </w:r>
                </w:p>
              </w:tc>
              <w:tc>
                <w:tcPr>
                  <w:tcW w:w="1134" w:type="dxa"/>
                  <w:vAlign w:val="center"/>
                </w:tcPr>
                <w:p>
                  <w:pPr>
                    <w:adjustRightInd w:val="0"/>
                    <w:snapToGrid w:val="0"/>
                    <w:spacing w:before="62" w:beforeLines="20" w:after="31" w:afterLines="10"/>
                    <w:jc w:val="center"/>
                  </w:pPr>
                  <w:r>
                    <w:t>34.451865</w:t>
                  </w:r>
                </w:p>
              </w:tc>
              <w:tc>
                <w:tcPr>
                  <w:tcW w:w="1259" w:type="dxa"/>
                  <w:vAlign w:val="center"/>
                </w:tcPr>
                <w:p>
                  <w:pPr>
                    <w:adjustRightInd w:val="0"/>
                    <w:snapToGrid w:val="0"/>
                    <w:spacing w:before="62" w:beforeLines="20" w:after="31" w:afterLines="10"/>
                    <w:jc w:val="center"/>
                  </w:pPr>
                  <w:r>
                    <w:t>南杜村</w:t>
                  </w:r>
                </w:p>
              </w:tc>
              <w:tc>
                <w:tcPr>
                  <w:tcW w:w="1169" w:type="dxa"/>
                  <w:vAlign w:val="center"/>
                </w:tcPr>
                <w:p>
                  <w:pPr>
                    <w:adjustRightInd w:val="0"/>
                    <w:snapToGrid w:val="0"/>
                    <w:spacing w:before="62" w:beforeLines="20" w:after="31" w:afterLines="10"/>
                    <w:jc w:val="center"/>
                  </w:pPr>
                  <w:r>
                    <w:t>约270人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东南</w:t>
                  </w:r>
                </w:p>
              </w:tc>
              <w:tc>
                <w:tcPr>
                  <w:tcW w:w="1162" w:type="dxa"/>
                  <w:vAlign w:val="center"/>
                </w:tcPr>
                <w:p>
                  <w:pPr>
                    <w:adjustRightInd w:val="0"/>
                    <w:snapToGrid w:val="0"/>
                    <w:spacing w:before="62" w:beforeLines="20" w:after="31" w:afterLines="10"/>
                    <w:jc w:val="center"/>
                  </w:pPr>
                  <w:r>
                    <w:t>1558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108.762460</w:t>
                  </w:r>
                </w:p>
              </w:tc>
              <w:tc>
                <w:tcPr>
                  <w:tcW w:w="1134" w:type="dxa"/>
                  <w:vAlign w:val="center"/>
                </w:tcPr>
                <w:p>
                  <w:pPr>
                    <w:adjustRightInd w:val="0"/>
                    <w:snapToGrid w:val="0"/>
                    <w:spacing w:before="62" w:beforeLines="20" w:after="31" w:afterLines="10"/>
                    <w:jc w:val="center"/>
                  </w:pPr>
                  <w:r>
                    <w:t>34.457562</w:t>
                  </w:r>
                </w:p>
              </w:tc>
              <w:tc>
                <w:tcPr>
                  <w:tcW w:w="1259" w:type="dxa"/>
                  <w:vAlign w:val="center"/>
                </w:tcPr>
                <w:p>
                  <w:pPr>
                    <w:adjustRightInd w:val="0"/>
                    <w:snapToGrid w:val="0"/>
                    <w:spacing w:before="62" w:beforeLines="20" w:after="31" w:afterLines="10"/>
                    <w:jc w:val="center"/>
                  </w:pPr>
                  <w:r>
                    <w:t>岳家村</w:t>
                  </w:r>
                </w:p>
              </w:tc>
              <w:tc>
                <w:tcPr>
                  <w:tcW w:w="1169" w:type="dxa"/>
                  <w:vAlign w:val="center"/>
                </w:tcPr>
                <w:p>
                  <w:pPr>
                    <w:adjustRightInd w:val="0"/>
                    <w:snapToGrid w:val="0"/>
                    <w:spacing w:before="62" w:beforeLines="20" w:after="31" w:afterLines="10"/>
                    <w:jc w:val="center"/>
                  </w:pPr>
                  <w:r>
                    <w:t>约360人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南</w:t>
                  </w:r>
                </w:p>
              </w:tc>
              <w:tc>
                <w:tcPr>
                  <w:tcW w:w="1162" w:type="dxa"/>
                  <w:vAlign w:val="center"/>
                </w:tcPr>
                <w:p>
                  <w:pPr>
                    <w:adjustRightInd w:val="0"/>
                    <w:snapToGrid w:val="0"/>
                    <w:spacing w:before="62" w:beforeLines="20" w:after="31" w:afterLines="10"/>
                    <w:jc w:val="center"/>
                  </w:pPr>
                  <w:r>
                    <w:t>1164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108.763146</w:t>
                  </w:r>
                </w:p>
              </w:tc>
              <w:tc>
                <w:tcPr>
                  <w:tcW w:w="1134" w:type="dxa"/>
                  <w:vAlign w:val="center"/>
                </w:tcPr>
                <w:p>
                  <w:pPr>
                    <w:adjustRightInd w:val="0"/>
                    <w:snapToGrid w:val="0"/>
                    <w:spacing w:before="62" w:beforeLines="20" w:after="31" w:afterLines="10"/>
                    <w:jc w:val="center"/>
                  </w:pPr>
                  <w:r>
                    <w:t>34.465134</w:t>
                  </w:r>
                </w:p>
              </w:tc>
              <w:tc>
                <w:tcPr>
                  <w:tcW w:w="1259" w:type="dxa"/>
                  <w:vAlign w:val="center"/>
                </w:tcPr>
                <w:p>
                  <w:pPr>
                    <w:adjustRightInd w:val="0"/>
                    <w:snapToGrid w:val="0"/>
                    <w:spacing w:before="62" w:beforeLines="20" w:after="31" w:afterLines="10"/>
                    <w:jc w:val="center"/>
                  </w:pPr>
                  <w:r>
                    <w:t>任家</w:t>
                  </w:r>
                </w:p>
              </w:tc>
              <w:tc>
                <w:tcPr>
                  <w:tcW w:w="1169" w:type="dxa"/>
                  <w:vAlign w:val="center"/>
                </w:tcPr>
                <w:p>
                  <w:pPr>
                    <w:adjustRightInd w:val="0"/>
                    <w:snapToGrid w:val="0"/>
                    <w:spacing w:before="62" w:beforeLines="20" w:after="31" w:afterLines="10"/>
                    <w:jc w:val="center"/>
                  </w:pPr>
                  <w:r>
                    <w:t>约420人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西南</w:t>
                  </w:r>
                </w:p>
              </w:tc>
              <w:tc>
                <w:tcPr>
                  <w:tcW w:w="1162" w:type="dxa"/>
                  <w:vAlign w:val="center"/>
                </w:tcPr>
                <w:p>
                  <w:pPr>
                    <w:adjustRightInd w:val="0"/>
                    <w:snapToGrid w:val="0"/>
                    <w:spacing w:before="62" w:beforeLines="20" w:after="31" w:afterLines="10"/>
                    <w:jc w:val="center"/>
                  </w:pPr>
                  <w:r>
                    <w:t>2007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108.767138</w:t>
                  </w:r>
                </w:p>
              </w:tc>
              <w:tc>
                <w:tcPr>
                  <w:tcW w:w="1134" w:type="dxa"/>
                  <w:vAlign w:val="center"/>
                </w:tcPr>
                <w:p>
                  <w:pPr>
                    <w:adjustRightInd w:val="0"/>
                    <w:snapToGrid w:val="0"/>
                    <w:spacing w:before="62" w:beforeLines="20" w:after="31" w:afterLines="10"/>
                    <w:jc w:val="center"/>
                  </w:pPr>
                  <w:r>
                    <w:t>34.462870</w:t>
                  </w:r>
                </w:p>
              </w:tc>
              <w:tc>
                <w:tcPr>
                  <w:tcW w:w="1259" w:type="dxa"/>
                  <w:vAlign w:val="center"/>
                </w:tcPr>
                <w:p>
                  <w:pPr>
                    <w:adjustRightInd w:val="0"/>
                    <w:snapToGrid w:val="0"/>
                    <w:spacing w:before="62" w:beforeLines="20" w:after="31" w:afterLines="10"/>
                    <w:jc w:val="center"/>
                  </w:pPr>
                  <w:r>
                    <w:t>成家村</w:t>
                  </w:r>
                </w:p>
              </w:tc>
              <w:tc>
                <w:tcPr>
                  <w:tcW w:w="1169" w:type="dxa"/>
                  <w:vAlign w:val="center"/>
                </w:tcPr>
                <w:p>
                  <w:pPr>
                    <w:adjustRightInd w:val="0"/>
                    <w:snapToGrid w:val="0"/>
                    <w:spacing w:before="62" w:beforeLines="20" w:after="31" w:afterLines="10"/>
                    <w:jc w:val="center"/>
                  </w:pPr>
                  <w:r>
                    <w:t>约270人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西南</w:t>
                  </w:r>
                </w:p>
              </w:tc>
              <w:tc>
                <w:tcPr>
                  <w:tcW w:w="1162" w:type="dxa"/>
                  <w:vAlign w:val="center"/>
                </w:tcPr>
                <w:p>
                  <w:pPr>
                    <w:adjustRightInd w:val="0"/>
                    <w:snapToGrid w:val="0"/>
                    <w:spacing w:before="62" w:beforeLines="20" w:after="31" w:afterLines="10"/>
                    <w:jc w:val="center"/>
                  </w:pPr>
                  <w:r>
                    <w:t>1684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108.776965</w:t>
                  </w:r>
                </w:p>
              </w:tc>
              <w:tc>
                <w:tcPr>
                  <w:tcW w:w="1134" w:type="dxa"/>
                  <w:vAlign w:val="center"/>
                </w:tcPr>
                <w:p>
                  <w:pPr>
                    <w:adjustRightInd w:val="0"/>
                    <w:snapToGrid w:val="0"/>
                    <w:spacing w:before="62" w:beforeLines="20" w:after="31" w:afterLines="10"/>
                    <w:jc w:val="center"/>
                  </w:pPr>
                  <w:r>
                    <w:t>34.466939</w:t>
                  </w:r>
                </w:p>
              </w:tc>
              <w:tc>
                <w:tcPr>
                  <w:tcW w:w="1259" w:type="dxa"/>
                  <w:vAlign w:val="center"/>
                </w:tcPr>
                <w:p>
                  <w:pPr>
                    <w:adjustRightInd w:val="0"/>
                    <w:snapToGrid w:val="0"/>
                    <w:spacing w:before="62" w:beforeLines="20" w:after="31" w:afterLines="10"/>
                    <w:jc w:val="center"/>
                  </w:pPr>
                  <w:r>
                    <w:t>瓦刘村</w:t>
                  </w:r>
                </w:p>
              </w:tc>
              <w:tc>
                <w:tcPr>
                  <w:tcW w:w="1169" w:type="dxa"/>
                  <w:vAlign w:val="center"/>
                </w:tcPr>
                <w:p>
                  <w:pPr>
                    <w:adjustRightInd w:val="0"/>
                    <w:snapToGrid w:val="0"/>
                    <w:spacing w:before="62" w:beforeLines="20" w:after="31" w:afterLines="10"/>
                    <w:jc w:val="center"/>
                  </w:pPr>
                  <w:r>
                    <w:t>约630人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西南</w:t>
                  </w:r>
                </w:p>
              </w:tc>
              <w:tc>
                <w:tcPr>
                  <w:tcW w:w="1162" w:type="dxa"/>
                  <w:vAlign w:val="center"/>
                </w:tcPr>
                <w:p>
                  <w:pPr>
                    <w:adjustRightInd w:val="0"/>
                    <w:snapToGrid w:val="0"/>
                    <w:spacing w:before="62" w:beforeLines="20" w:after="31" w:afterLines="10"/>
                    <w:jc w:val="center"/>
                  </w:pPr>
                  <w:r>
                    <w:t>2249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108.791256</w:t>
                  </w:r>
                </w:p>
              </w:tc>
              <w:tc>
                <w:tcPr>
                  <w:tcW w:w="1134" w:type="dxa"/>
                  <w:vAlign w:val="center"/>
                </w:tcPr>
                <w:p>
                  <w:pPr>
                    <w:adjustRightInd w:val="0"/>
                    <w:snapToGrid w:val="0"/>
                    <w:spacing w:before="62" w:beforeLines="20" w:after="31" w:afterLines="10"/>
                    <w:jc w:val="center"/>
                  </w:pPr>
                  <w:r>
                    <w:t>34.470724</w:t>
                  </w:r>
                </w:p>
              </w:tc>
              <w:tc>
                <w:tcPr>
                  <w:tcW w:w="1259" w:type="dxa"/>
                  <w:vAlign w:val="center"/>
                </w:tcPr>
                <w:p>
                  <w:pPr>
                    <w:adjustRightInd w:val="0"/>
                    <w:snapToGrid w:val="0"/>
                    <w:spacing w:before="62" w:beforeLines="20" w:after="31" w:afterLines="10"/>
                    <w:jc w:val="center"/>
                    <w:rPr>
                      <w:color w:val="000000"/>
                    </w:rPr>
                  </w:pPr>
                  <w:r>
                    <w:rPr>
                      <w:color w:val="000000"/>
                    </w:rPr>
                    <w:t>王村</w:t>
                  </w:r>
                </w:p>
              </w:tc>
              <w:tc>
                <w:tcPr>
                  <w:tcW w:w="1169" w:type="dxa"/>
                  <w:vAlign w:val="center"/>
                </w:tcPr>
                <w:p>
                  <w:pPr>
                    <w:adjustRightInd w:val="0"/>
                    <w:snapToGrid w:val="0"/>
                    <w:spacing w:before="62" w:beforeLines="20" w:after="31" w:afterLines="10"/>
                    <w:jc w:val="center"/>
                    <w:rPr>
                      <w:color w:val="000000"/>
                    </w:rPr>
                  </w:pPr>
                  <w:r>
                    <w:rPr>
                      <w:color w:val="000000"/>
                    </w:rPr>
                    <w:t>约420人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w:t>
                  </w:r>
                </w:p>
              </w:tc>
              <w:tc>
                <w:tcPr>
                  <w:tcW w:w="1162" w:type="dxa"/>
                  <w:vAlign w:val="center"/>
                </w:tcPr>
                <w:p>
                  <w:pPr>
                    <w:adjustRightInd w:val="0"/>
                    <w:snapToGrid w:val="0"/>
                    <w:spacing w:before="62" w:beforeLines="20" w:after="31" w:afterLines="10"/>
                    <w:jc w:val="center"/>
                  </w:pPr>
                  <w:r>
                    <w:t>3259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vAlign w:val="center"/>
                </w:tcPr>
                <w:p>
                  <w:pPr>
                    <w:adjustRightInd w:val="0"/>
                    <w:snapToGrid w:val="0"/>
                    <w:spacing w:before="62" w:beforeLines="20" w:after="31" w:afterLines="10"/>
                    <w:jc w:val="center"/>
                  </w:pPr>
                </w:p>
              </w:tc>
              <w:tc>
                <w:tcPr>
                  <w:tcW w:w="1334" w:type="dxa"/>
                  <w:vAlign w:val="center"/>
                </w:tcPr>
                <w:p>
                  <w:pPr>
                    <w:adjustRightInd w:val="0"/>
                    <w:snapToGrid w:val="0"/>
                    <w:spacing w:before="62" w:beforeLines="20" w:after="31" w:afterLines="10"/>
                    <w:jc w:val="center"/>
                  </w:pPr>
                  <w:r>
                    <w:t>108.786492</w:t>
                  </w:r>
                </w:p>
              </w:tc>
              <w:tc>
                <w:tcPr>
                  <w:tcW w:w="1134" w:type="dxa"/>
                  <w:vAlign w:val="center"/>
                </w:tcPr>
                <w:p>
                  <w:pPr>
                    <w:adjustRightInd w:val="0"/>
                    <w:snapToGrid w:val="0"/>
                    <w:spacing w:before="62" w:beforeLines="20" w:after="31" w:afterLines="10"/>
                    <w:jc w:val="center"/>
                  </w:pPr>
                  <w:r>
                    <w:t>34.458836</w:t>
                  </w:r>
                </w:p>
              </w:tc>
              <w:tc>
                <w:tcPr>
                  <w:tcW w:w="1259" w:type="dxa"/>
                  <w:vAlign w:val="center"/>
                </w:tcPr>
                <w:p>
                  <w:pPr>
                    <w:adjustRightInd w:val="0"/>
                    <w:snapToGrid w:val="0"/>
                    <w:spacing w:before="62" w:beforeLines="20" w:after="31" w:afterLines="10"/>
                    <w:jc w:val="center"/>
                  </w:pPr>
                  <w:r>
                    <w:t>韩家村</w:t>
                  </w:r>
                </w:p>
              </w:tc>
              <w:tc>
                <w:tcPr>
                  <w:tcW w:w="1169" w:type="dxa"/>
                  <w:vAlign w:val="center"/>
                </w:tcPr>
                <w:p>
                  <w:pPr>
                    <w:adjustRightInd w:val="0"/>
                    <w:snapToGrid w:val="0"/>
                    <w:spacing w:before="62" w:beforeLines="20" w:after="31" w:afterLines="10"/>
                    <w:jc w:val="center"/>
                  </w:pPr>
                  <w:r>
                    <w:t>约210人</w:t>
                  </w:r>
                </w:p>
              </w:tc>
              <w:tc>
                <w:tcPr>
                  <w:tcW w:w="1028" w:type="dxa"/>
                  <w:vMerge w:val="continue"/>
                  <w:vAlign w:val="center"/>
                </w:tcPr>
                <w:p>
                  <w:pPr>
                    <w:adjustRightInd w:val="0"/>
                    <w:snapToGrid w:val="0"/>
                    <w:spacing w:before="62" w:beforeLines="20" w:after="31" w:afterLines="10"/>
                    <w:jc w:val="center"/>
                  </w:pPr>
                </w:p>
              </w:tc>
              <w:tc>
                <w:tcPr>
                  <w:tcW w:w="905" w:type="dxa"/>
                  <w:vAlign w:val="center"/>
                </w:tcPr>
                <w:p>
                  <w:pPr>
                    <w:adjustRightInd w:val="0"/>
                    <w:snapToGrid w:val="0"/>
                    <w:spacing w:before="62" w:beforeLines="20" w:after="31" w:afterLines="10"/>
                    <w:jc w:val="center"/>
                  </w:pPr>
                  <w:r>
                    <w:t>西北</w:t>
                  </w:r>
                </w:p>
              </w:tc>
              <w:tc>
                <w:tcPr>
                  <w:tcW w:w="1162" w:type="dxa"/>
                  <w:vAlign w:val="center"/>
                </w:tcPr>
                <w:p>
                  <w:pPr>
                    <w:adjustRightInd w:val="0"/>
                    <w:snapToGrid w:val="0"/>
                    <w:spacing w:before="62" w:beforeLines="20" w:after="31" w:afterLines="10"/>
                    <w:jc w:val="center"/>
                  </w:pPr>
                  <w:r>
                    <w:t>2113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828" w:type="dxa"/>
                  <w:vAlign w:val="center"/>
                </w:tcPr>
                <w:p>
                  <w:pPr>
                    <w:adjustRightInd w:val="0"/>
                    <w:snapToGrid w:val="0"/>
                    <w:spacing w:before="62" w:beforeLines="20" w:after="31" w:afterLines="10"/>
                    <w:jc w:val="center"/>
                  </w:pPr>
                  <w:r>
                    <w:t>地表水</w:t>
                  </w:r>
                </w:p>
              </w:tc>
              <w:tc>
                <w:tcPr>
                  <w:tcW w:w="4896" w:type="dxa"/>
                  <w:gridSpan w:val="4"/>
                  <w:vAlign w:val="center"/>
                </w:tcPr>
                <w:p>
                  <w:pPr>
                    <w:adjustRightInd w:val="0"/>
                    <w:snapToGrid w:val="0"/>
                    <w:spacing w:before="62" w:beforeLines="20" w:after="31" w:afterLines="10"/>
                    <w:jc w:val="center"/>
                  </w:pPr>
                  <w:r>
                    <w:t>泾河</w:t>
                  </w:r>
                </w:p>
              </w:tc>
              <w:tc>
                <w:tcPr>
                  <w:tcW w:w="1028" w:type="dxa"/>
                  <w:vAlign w:val="center"/>
                </w:tcPr>
                <w:p>
                  <w:pPr>
                    <w:adjustRightInd w:val="0"/>
                    <w:snapToGrid w:val="0"/>
                    <w:spacing w:before="62" w:beforeLines="20" w:after="31" w:afterLines="10"/>
                    <w:jc w:val="center"/>
                  </w:pPr>
                  <w:r>
                    <w:fldChar w:fldCharType="begin"/>
                  </w:r>
                  <w:r>
                    <w:instrText xml:space="preserve"> = 3 \* ROMAN </w:instrText>
                  </w:r>
                  <w:r>
                    <w:fldChar w:fldCharType="separate"/>
                  </w:r>
                  <w:r>
                    <w:t>III</w:t>
                  </w:r>
                  <w:r>
                    <w:fldChar w:fldCharType="end"/>
                  </w:r>
                  <w:r>
                    <w:t>类</w:t>
                  </w:r>
                </w:p>
              </w:tc>
              <w:tc>
                <w:tcPr>
                  <w:tcW w:w="905" w:type="dxa"/>
                  <w:vAlign w:val="center"/>
                </w:tcPr>
                <w:p>
                  <w:pPr>
                    <w:adjustRightInd w:val="0"/>
                    <w:snapToGrid w:val="0"/>
                    <w:spacing w:before="62" w:beforeLines="20" w:after="31" w:afterLines="10"/>
                    <w:jc w:val="center"/>
                  </w:pPr>
                  <w:r>
                    <w:t>东北</w:t>
                  </w:r>
                </w:p>
              </w:tc>
              <w:tc>
                <w:tcPr>
                  <w:tcW w:w="1162" w:type="dxa"/>
                  <w:vAlign w:val="center"/>
                </w:tcPr>
                <w:p>
                  <w:pPr>
                    <w:adjustRightInd w:val="0"/>
                    <w:snapToGrid w:val="0"/>
                    <w:spacing w:before="62" w:beforeLines="20" w:after="31" w:afterLines="10"/>
                    <w:jc w:val="center"/>
                  </w:pPr>
                  <w:r>
                    <w:t>6500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828" w:type="dxa"/>
                  <w:vAlign w:val="center"/>
                </w:tcPr>
                <w:p>
                  <w:pPr>
                    <w:adjustRightInd w:val="0"/>
                    <w:snapToGrid w:val="0"/>
                    <w:spacing w:before="62" w:beforeLines="20" w:after="31" w:afterLines="10"/>
                    <w:jc w:val="center"/>
                  </w:pPr>
                  <w:r>
                    <w:t>土壤环境</w:t>
                  </w:r>
                </w:p>
              </w:tc>
              <w:tc>
                <w:tcPr>
                  <w:tcW w:w="7991" w:type="dxa"/>
                  <w:gridSpan w:val="7"/>
                  <w:vAlign w:val="center"/>
                </w:tcPr>
                <w:p>
                  <w:pPr>
                    <w:adjustRightInd w:val="0"/>
                    <w:snapToGrid w:val="0"/>
                    <w:spacing w:before="62" w:beforeLines="20" w:after="31" w:afterLines="10"/>
                    <w:jc w:val="center"/>
                  </w:pPr>
                  <w:r>
                    <w:rPr>
                      <w:bCs/>
                    </w:rPr>
                    <w:t>占地范围外200m范围内</w:t>
                  </w:r>
                </w:p>
              </w:tc>
            </w:tr>
          </w:tbl>
          <w:p>
            <w:pPr>
              <w:tabs>
                <w:tab w:val="left" w:pos="930"/>
              </w:tabs>
              <w:adjustRightInd w:val="0"/>
              <w:snapToGrid w:val="0"/>
              <w:spacing w:line="360" w:lineRule="auto"/>
              <w:rPr>
                <w:sz w:val="18"/>
                <w:szCs w:val="18"/>
              </w:rPr>
            </w:pPr>
            <w:r>
              <w:rPr>
                <w:sz w:val="18"/>
                <w:szCs w:val="18"/>
              </w:rPr>
              <w:t>　　</w:t>
            </w:r>
          </w:p>
          <w:p>
            <w:pPr>
              <w:tabs>
                <w:tab w:val="left" w:pos="930"/>
              </w:tabs>
              <w:adjustRightInd w:val="0"/>
              <w:snapToGrid w:val="0"/>
              <w:spacing w:line="360" w:lineRule="auto"/>
              <w:rPr>
                <w:sz w:val="18"/>
                <w:szCs w:val="18"/>
              </w:rPr>
            </w:pPr>
          </w:p>
          <w:p>
            <w:pPr>
              <w:tabs>
                <w:tab w:val="left" w:pos="930"/>
              </w:tabs>
              <w:adjustRightInd w:val="0"/>
              <w:snapToGrid w:val="0"/>
              <w:spacing w:line="360" w:lineRule="auto"/>
              <w:rPr>
                <w:sz w:val="18"/>
                <w:szCs w:val="18"/>
              </w:rPr>
            </w:pPr>
          </w:p>
          <w:p>
            <w:pPr>
              <w:tabs>
                <w:tab w:val="left" w:pos="930"/>
              </w:tabs>
              <w:adjustRightInd w:val="0"/>
              <w:snapToGrid w:val="0"/>
              <w:spacing w:line="360" w:lineRule="auto"/>
              <w:rPr>
                <w:sz w:val="18"/>
                <w:szCs w:val="18"/>
              </w:rPr>
            </w:pPr>
          </w:p>
          <w:p>
            <w:pPr>
              <w:tabs>
                <w:tab w:val="left" w:pos="930"/>
              </w:tabs>
              <w:adjustRightInd w:val="0"/>
              <w:snapToGrid w:val="0"/>
              <w:spacing w:line="360" w:lineRule="auto"/>
              <w:rPr>
                <w:sz w:val="18"/>
                <w:szCs w:val="18"/>
              </w:rPr>
            </w:pPr>
          </w:p>
          <w:p>
            <w:pPr>
              <w:tabs>
                <w:tab w:val="left" w:pos="930"/>
              </w:tabs>
              <w:adjustRightInd w:val="0"/>
              <w:snapToGrid w:val="0"/>
              <w:spacing w:line="360" w:lineRule="auto"/>
              <w:rPr>
                <w:sz w:val="18"/>
                <w:szCs w:val="18"/>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p>
            <w:pPr>
              <w:tabs>
                <w:tab w:val="left" w:pos="930"/>
              </w:tabs>
              <w:adjustRightInd w:val="0"/>
              <w:snapToGrid w:val="0"/>
              <w:spacing w:line="360" w:lineRule="auto"/>
              <w:rPr>
                <w:sz w:val="10"/>
                <w:szCs w:val="10"/>
              </w:rPr>
            </w:pPr>
          </w:p>
        </w:tc>
      </w:tr>
    </w:tbl>
    <w:p>
      <w:pPr>
        <w:rPr>
          <w:rStyle w:val="78"/>
        </w:rPr>
      </w:pPr>
      <w:bookmarkStart w:id="77" w:name="_Toc182819245"/>
      <w:bookmarkStart w:id="78" w:name="_Toc183006404"/>
      <w:bookmarkStart w:id="79" w:name="_Toc183088181"/>
      <w:bookmarkStart w:id="80" w:name="_Toc171761616"/>
      <w:bookmarkStart w:id="81" w:name="_Toc178817699"/>
      <w:bookmarkStart w:id="82" w:name="_Toc193872736"/>
      <w:bookmarkStart w:id="83" w:name="_Toc182888695"/>
      <w:bookmarkStart w:id="84" w:name="_Toc183170410"/>
      <w:bookmarkStart w:id="85" w:name="_Toc182830657"/>
      <w:r>
        <w:rPr>
          <w:rStyle w:val="78"/>
        </w:rPr>
        <w:t>评价适用标准</w:t>
      </w:r>
      <w:bookmarkEnd w:id="77"/>
      <w:bookmarkEnd w:id="78"/>
      <w:bookmarkEnd w:id="79"/>
      <w:bookmarkEnd w:id="80"/>
      <w:bookmarkEnd w:id="81"/>
      <w:bookmarkEnd w:id="82"/>
      <w:bookmarkEnd w:id="83"/>
      <w:bookmarkEnd w:id="84"/>
      <w:bookmarkEnd w:id="85"/>
    </w:p>
    <w:tbl>
      <w:tblPr>
        <w:tblStyle w:val="38"/>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8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7" w:hRule="atLeast"/>
        </w:trPr>
        <w:tc>
          <w:tcPr>
            <w:tcW w:w="540" w:type="dxa"/>
            <w:vAlign w:val="center"/>
          </w:tcPr>
          <w:p>
            <w:pPr>
              <w:jc w:val="center"/>
              <w:rPr>
                <w:b/>
                <w:bCs/>
                <w:spacing w:val="40"/>
                <w:sz w:val="24"/>
                <w:szCs w:val="24"/>
              </w:rPr>
            </w:pPr>
            <w:r>
              <w:rPr>
                <w:b/>
                <w:bCs/>
                <w:spacing w:val="40"/>
                <w:sz w:val="24"/>
                <w:szCs w:val="24"/>
              </w:rPr>
              <w:t>环境质量标准</w:t>
            </w:r>
          </w:p>
        </w:tc>
        <w:tc>
          <w:tcPr>
            <w:tcW w:w="8391" w:type="dxa"/>
            <w:vAlign w:val="center"/>
          </w:tcPr>
          <w:p>
            <w:pPr>
              <w:spacing w:line="440" w:lineRule="exact"/>
              <w:ind w:firstLine="480" w:firstLineChars="200"/>
              <w:rPr>
                <w:bCs/>
                <w:sz w:val="24"/>
              </w:rPr>
            </w:pPr>
            <w:r>
              <w:rPr>
                <w:sz w:val="24"/>
              </w:rPr>
              <w:t>1、环境空气质量执行《环境空气质量标准》（GB3095-2012）二级标准，非甲烷总烃参照《大气污染物综合排放标准详解》中限值；甲苯、二甲苯参照《环境影响评价技术导则 大气环境》（HJ2.2-2018）附录D限值；乙苯参照《前苏联居民大气有害物质的最大允许浓度》中浓度限值。</w:t>
            </w:r>
            <w:r>
              <w:rPr>
                <w:bCs/>
                <w:sz w:val="24"/>
              </w:rPr>
              <w:t xml:space="preserve"> </w:t>
            </w:r>
          </w:p>
          <w:p>
            <w:pPr>
              <w:spacing w:line="440" w:lineRule="exact"/>
              <w:ind w:firstLine="480" w:firstLineChars="200"/>
              <w:rPr>
                <w:sz w:val="24"/>
              </w:rPr>
            </w:pPr>
            <w:r>
              <w:rPr>
                <w:sz w:val="24"/>
              </w:rPr>
              <w:t>2、声环境质量执行《声环境质量标准》（GB3096-2008）中的2类标准。</w:t>
            </w:r>
          </w:p>
          <w:p>
            <w:pPr>
              <w:spacing w:line="440" w:lineRule="exact"/>
              <w:ind w:firstLine="480" w:firstLineChars="200"/>
              <w:rPr>
                <w:sz w:val="24"/>
              </w:rPr>
            </w:pPr>
            <w:r>
              <w:rPr>
                <w:rFonts w:hint="eastAsia"/>
                <w:sz w:val="24"/>
              </w:rPr>
              <w:t>3、土壤环境质量执行</w:t>
            </w:r>
            <w:r>
              <w:rPr>
                <w:sz w:val="24"/>
              </w:rPr>
              <w:t>《土壤环境质量 建设用地土壤污染风险管控标准》（GB36600-2018）中第二类用地筛选值标准要求。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9" w:hRule="atLeast"/>
        </w:trPr>
        <w:tc>
          <w:tcPr>
            <w:tcW w:w="540" w:type="dxa"/>
            <w:vAlign w:val="center"/>
          </w:tcPr>
          <w:p>
            <w:pPr>
              <w:jc w:val="center"/>
              <w:rPr>
                <w:b/>
                <w:bCs/>
                <w:sz w:val="24"/>
                <w:szCs w:val="24"/>
              </w:rPr>
            </w:pPr>
          </w:p>
          <w:p>
            <w:pPr>
              <w:rPr>
                <w:b/>
                <w:bCs/>
                <w:sz w:val="24"/>
                <w:szCs w:val="24"/>
              </w:rPr>
            </w:pPr>
          </w:p>
          <w:p>
            <w:pPr>
              <w:rPr>
                <w:rStyle w:val="78"/>
              </w:rPr>
            </w:pPr>
            <w:r>
              <w:rPr>
                <w:b/>
                <w:bCs/>
                <w:sz w:val="24"/>
                <w:szCs w:val="24"/>
              </w:rPr>
              <w:t>污染物排放标准</w:t>
            </w:r>
          </w:p>
        </w:tc>
        <w:tc>
          <w:tcPr>
            <w:tcW w:w="8391" w:type="dxa"/>
            <w:vAlign w:val="center"/>
          </w:tcPr>
          <w:p>
            <w:pPr>
              <w:spacing w:line="440" w:lineRule="exact"/>
              <w:ind w:firstLine="480" w:firstLineChars="200"/>
              <w:jc w:val="left"/>
              <w:rPr>
                <w:sz w:val="24"/>
              </w:rPr>
            </w:pPr>
            <w:r>
              <w:rPr>
                <w:sz w:val="24"/>
              </w:rPr>
              <w:t>1、</w:t>
            </w:r>
            <w:r>
              <w:rPr>
                <w:color w:val="000000"/>
                <w:sz w:val="24"/>
              </w:rPr>
              <w:t>运营期废气中的颗粒物执行</w:t>
            </w:r>
            <w:r>
              <w:rPr>
                <w:kern w:val="0"/>
                <w:sz w:val="24"/>
                <w:szCs w:val="24"/>
              </w:rPr>
              <w:t>《大气污染综合排放标准》(GB16297-1996)中二级标准要求；非甲烷总烃、甲苯+乙苯、二甲苯最高排放浓度执行《挥发性有机物排放控制标准》(DB 61/T1061-2017)中最高允许排放浓度限值要求。</w:t>
            </w:r>
          </w:p>
          <w:p>
            <w:pPr>
              <w:spacing w:line="440" w:lineRule="exact"/>
              <w:ind w:firstLine="480" w:firstLineChars="200"/>
              <w:rPr>
                <w:sz w:val="24"/>
              </w:rPr>
            </w:pPr>
            <w:r>
              <w:rPr>
                <w:sz w:val="24"/>
              </w:rPr>
              <w:t>2、运营期废水排放执行《污水综合排放标准》(GB68978-1996)表4中三级标准和《污水排入城镇下水道水质标准》（GB/T31962-2015）表1中A级标准。</w:t>
            </w:r>
          </w:p>
          <w:p>
            <w:pPr>
              <w:spacing w:line="440" w:lineRule="exact"/>
              <w:ind w:firstLine="480" w:firstLineChars="200"/>
              <w:rPr>
                <w:sz w:val="24"/>
              </w:rPr>
            </w:pPr>
            <w:r>
              <w:rPr>
                <w:sz w:val="24"/>
              </w:rPr>
              <w:t>3、运营期噪声执行《工业企业厂界环境噪声排放标准》（GB 12348-2008）中2类标准。</w:t>
            </w:r>
          </w:p>
          <w:p>
            <w:pPr>
              <w:spacing w:line="440" w:lineRule="exact"/>
              <w:ind w:firstLine="480" w:firstLineChars="200"/>
              <w:rPr>
                <w:sz w:val="24"/>
              </w:rPr>
            </w:pPr>
            <w:r>
              <w:rPr>
                <w:sz w:val="24"/>
              </w:rPr>
              <w:t>4、固体废物执行《一般工业固体废物贮存、处置场污染控制标准》(GB18599—2001)及修改单中相关规定；</w:t>
            </w:r>
            <w:r>
              <w:rPr>
                <w:bCs/>
                <w:sz w:val="24"/>
              </w:rPr>
              <w:t>危险废物执行《危险废物贮存污染控制标准》（GB18597-2001）及其修改单中相关规定。</w:t>
            </w:r>
          </w:p>
          <w:p>
            <w:pPr>
              <w:tabs>
                <w:tab w:val="left" w:pos="4404"/>
              </w:tabs>
              <w:spacing w:line="520" w:lineRule="exact"/>
              <w:rPr>
                <w:bCs/>
                <w:sz w:val="24"/>
              </w:rPr>
            </w:pPr>
            <w:r>
              <w:rPr>
                <w:bCs/>
                <w:sz w:val="24"/>
              </w:rPr>
              <w:t xml:space="preserve">    5、其他按照国家、陕西省及咸阳市有关规定执行。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8" w:hRule="atLeast"/>
        </w:trPr>
        <w:tc>
          <w:tcPr>
            <w:tcW w:w="540" w:type="dxa"/>
            <w:vAlign w:val="center"/>
          </w:tcPr>
          <w:p>
            <w:pPr>
              <w:jc w:val="center"/>
              <w:rPr>
                <w:b/>
                <w:bCs/>
                <w:sz w:val="24"/>
                <w:szCs w:val="24"/>
              </w:rPr>
            </w:pPr>
            <w:r>
              <w:rPr>
                <w:b/>
                <w:bCs/>
                <w:sz w:val="24"/>
                <w:szCs w:val="24"/>
              </w:rPr>
              <w:t>总量控制指标</w:t>
            </w:r>
          </w:p>
        </w:tc>
        <w:tc>
          <w:tcPr>
            <w:tcW w:w="8391" w:type="dxa"/>
            <w:vAlign w:val="center"/>
          </w:tcPr>
          <w:p>
            <w:pPr>
              <w:autoSpaceDE w:val="0"/>
              <w:autoSpaceDN w:val="0"/>
              <w:spacing w:line="360" w:lineRule="auto"/>
              <w:ind w:firstLine="480"/>
              <w:rPr>
                <w:sz w:val="24"/>
              </w:rPr>
            </w:pPr>
          </w:p>
          <w:p>
            <w:pPr>
              <w:autoSpaceDE w:val="0"/>
              <w:autoSpaceDN w:val="0"/>
              <w:spacing w:line="360" w:lineRule="auto"/>
              <w:rPr>
                <w:sz w:val="24"/>
              </w:rPr>
            </w:pPr>
          </w:p>
          <w:p>
            <w:pPr>
              <w:autoSpaceDE w:val="0"/>
              <w:autoSpaceDN w:val="0"/>
              <w:spacing w:line="360" w:lineRule="auto"/>
              <w:ind w:firstLine="480"/>
              <w:rPr>
                <w:sz w:val="24"/>
              </w:rPr>
            </w:pPr>
            <w:r>
              <w:rPr>
                <w:sz w:val="24"/>
              </w:rPr>
              <w:t>“十三五”期间污染物控制指标为化学需氧量、氨氮、二氧化硫和氮氧化物、VOC</w:t>
            </w:r>
            <w:r>
              <w:rPr>
                <w:sz w:val="24"/>
                <w:vertAlign w:val="subscript"/>
              </w:rPr>
              <w:t>S</w:t>
            </w:r>
            <w:r>
              <w:rPr>
                <w:sz w:val="24"/>
              </w:rPr>
              <w:t>。本项目废水排入咸阳机场污水处理厂处理，总量指标纳入咸阳机场污水处理厂，不单独申请。项目涉及申请总量控制指标为VOCs：0.955t/a。</w:t>
            </w:r>
          </w:p>
          <w:p>
            <w:pPr>
              <w:adjustRightInd w:val="0"/>
              <w:snapToGrid w:val="0"/>
              <w:spacing w:line="520" w:lineRule="exact"/>
              <w:ind w:firstLine="480" w:firstLineChars="200"/>
              <w:rPr>
                <w:sz w:val="24"/>
                <w:szCs w:val="24"/>
              </w:rPr>
            </w:pPr>
            <w:r>
              <w:rPr>
                <w:sz w:val="24"/>
                <w:szCs w:val="24"/>
              </w:rPr>
              <w:t xml:space="preserve"> </w:t>
            </w:r>
          </w:p>
          <w:p>
            <w:pPr>
              <w:adjustRightInd w:val="0"/>
              <w:snapToGrid w:val="0"/>
              <w:spacing w:line="520" w:lineRule="exact"/>
              <w:rPr>
                <w:sz w:val="24"/>
                <w:szCs w:val="24"/>
              </w:rPr>
            </w:pPr>
          </w:p>
        </w:tc>
      </w:tr>
    </w:tbl>
    <w:p>
      <w:pPr>
        <w:rPr>
          <w:rStyle w:val="78"/>
        </w:rPr>
      </w:pPr>
      <w:bookmarkStart w:id="86" w:name="_Toc193872737"/>
      <w:r>
        <w:rPr>
          <w:rStyle w:val="78"/>
        </w:rPr>
        <w:t>建设项目工程分析</w:t>
      </w:r>
      <w:bookmarkEnd w:id="86"/>
    </w:p>
    <w:tbl>
      <w:tblPr>
        <w:tblStyle w:val="38"/>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jc w:val="center"/>
        </w:trPr>
        <w:tc>
          <w:tcPr>
            <w:tcW w:w="9000" w:type="dxa"/>
          </w:tcPr>
          <w:p>
            <w:pPr>
              <w:adjustRightInd w:val="0"/>
              <w:snapToGrid w:val="0"/>
              <w:spacing w:before="156" w:beforeLines="50" w:line="360" w:lineRule="auto"/>
              <w:rPr>
                <w:b/>
                <w:bCs/>
                <w:szCs w:val="28"/>
              </w:rPr>
            </w:pPr>
            <w:r>
              <w:rPr>
                <w:b/>
                <w:bCs/>
                <w:szCs w:val="28"/>
              </w:rPr>
              <w:t>工艺流程简述（图示）</w:t>
            </w:r>
          </w:p>
          <w:p>
            <w:pPr>
              <w:adjustRightInd w:val="0"/>
              <w:snapToGrid w:val="0"/>
              <w:spacing w:before="156" w:beforeLines="50" w:line="360" w:lineRule="auto"/>
              <w:ind w:firstLine="482" w:firstLineChars="200"/>
              <w:rPr>
                <w:b/>
                <w:sz w:val="24"/>
                <w:szCs w:val="24"/>
              </w:rPr>
            </w:pPr>
            <w:r>
              <w:rPr>
                <w:b/>
                <w:sz w:val="24"/>
                <w:szCs w:val="24"/>
              </w:rPr>
              <w:t>1、飞机喷漆工艺流程及产污环节</w:t>
            </w:r>
          </w:p>
          <w:p>
            <w:pPr>
              <w:adjustRightInd w:val="0"/>
              <w:snapToGrid w:val="0"/>
              <w:spacing w:before="156" w:beforeLines="50" w:line="360" w:lineRule="auto"/>
              <w:ind w:firstLine="480" w:firstLineChars="200"/>
              <w:jc w:val="center"/>
              <w:rPr>
                <w:sz w:val="24"/>
                <w:szCs w:val="24"/>
              </w:rPr>
            </w:pPr>
            <w:r>
              <w:rPr>
                <w:sz w:val="24"/>
                <w:szCs w:val="24"/>
              </w:rPr>
              <w:drawing>
                <wp:inline distT="0" distB="0" distL="0" distR="0">
                  <wp:extent cx="2585720" cy="22390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tretch>
                            <a:fillRect/>
                          </a:stretch>
                        </pic:blipFill>
                        <pic:spPr>
                          <a:xfrm>
                            <a:off x="0" y="0"/>
                            <a:ext cx="2623165" cy="2271379"/>
                          </a:xfrm>
                          <a:prstGeom prst="rect">
                            <a:avLst/>
                          </a:prstGeom>
                        </pic:spPr>
                      </pic:pic>
                    </a:graphicData>
                  </a:graphic>
                </wp:inline>
              </w:drawing>
            </w:r>
          </w:p>
          <w:p>
            <w:pPr>
              <w:adjustRightInd w:val="0"/>
              <w:snapToGrid w:val="0"/>
              <w:spacing w:before="156" w:beforeLines="50" w:line="360" w:lineRule="auto"/>
              <w:jc w:val="center"/>
              <w:rPr>
                <w:rFonts w:eastAsia="黑体"/>
                <w:color w:val="000000"/>
                <w:sz w:val="24"/>
                <w:szCs w:val="24"/>
              </w:rPr>
            </w:pPr>
            <w:r>
              <w:rPr>
                <w:rFonts w:eastAsia="黑体"/>
                <w:color w:val="000000"/>
                <w:sz w:val="24"/>
                <w:szCs w:val="24"/>
              </w:rPr>
              <w:t>图1   飞机喷漆工艺流程及产污环节图</w:t>
            </w:r>
          </w:p>
          <w:p>
            <w:pPr>
              <w:spacing w:line="520" w:lineRule="exact"/>
              <w:ind w:firstLine="482" w:firstLineChars="200"/>
              <w:rPr>
                <w:b/>
                <w:bCs/>
                <w:sz w:val="24"/>
              </w:rPr>
            </w:pPr>
            <w:r>
              <w:rPr>
                <w:b/>
                <w:bCs/>
                <w:sz w:val="24"/>
              </w:rPr>
              <w:t>（1）工艺说明</w:t>
            </w:r>
          </w:p>
          <w:p>
            <w:pPr>
              <w:spacing w:line="520" w:lineRule="exact"/>
              <w:ind w:firstLine="482" w:firstLineChars="200"/>
              <w:rPr>
                <w:bCs/>
                <w:sz w:val="24"/>
              </w:rPr>
            </w:pPr>
            <w:r>
              <w:rPr>
                <w:b/>
                <w:bCs/>
                <w:sz w:val="24"/>
              </w:rPr>
              <w:t>检查、保护：</w:t>
            </w:r>
            <w:r>
              <w:rPr>
                <w:bCs/>
                <w:sz w:val="24"/>
              </w:rPr>
              <w:t>当飞机停好后，工人要将机</w:t>
            </w:r>
            <w:r>
              <w:rPr>
                <w:bCs/>
                <w:sz w:val="24"/>
                <w:highlight w:val="none"/>
              </w:rPr>
              <w:t>身梯</w:t>
            </w:r>
            <w:r>
              <w:rPr>
                <w:bCs/>
                <w:sz w:val="24"/>
              </w:rPr>
              <w:t>靠拢飞机，便于工人在上面作业。对飞机的玻璃、孔、天线、复合材料进行包贴保护，防止清洗水、油漆等在喷涂时接触到这些部件。</w:t>
            </w:r>
          </w:p>
          <w:p>
            <w:pPr>
              <w:spacing w:line="520" w:lineRule="exact"/>
              <w:ind w:firstLine="482" w:firstLineChars="200"/>
              <w:rPr>
                <w:bCs/>
                <w:sz w:val="24"/>
              </w:rPr>
            </w:pPr>
            <w:r>
              <w:rPr>
                <w:b/>
                <w:bCs/>
                <w:sz w:val="24"/>
              </w:rPr>
              <w:t>打磨、退漆：</w:t>
            </w:r>
            <w:r>
              <w:rPr>
                <w:bCs/>
                <w:sz w:val="24"/>
                <w:highlight w:val="none"/>
              </w:rPr>
              <w:t>退漆</w:t>
            </w:r>
            <w:r>
              <w:rPr>
                <w:bCs/>
                <w:sz w:val="24"/>
              </w:rPr>
              <w:t>方式为打磨退漆，采用气动打磨机打磨至第一层底漆。</w:t>
            </w:r>
          </w:p>
          <w:p>
            <w:pPr>
              <w:spacing w:line="520" w:lineRule="exact"/>
              <w:ind w:firstLine="482" w:firstLineChars="200"/>
              <w:rPr>
                <w:b/>
                <w:bCs/>
                <w:sz w:val="24"/>
              </w:rPr>
            </w:pPr>
            <w:r>
              <w:rPr>
                <w:b/>
                <w:bCs/>
                <w:sz w:val="24"/>
              </w:rPr>
              <w:t>清洗、保护：</w:t>
            </w:r>
            <w:r>
              <w:rPr>
                <w:bCs/>
                <w:sz w:val="24"/>
              </w:rPr>
              <w:t>退漆后的飞机表面用清水清洗并</w:t>
            </w:r>
            <w:r>
              <w:rPr>
                <w:bCs/>
                <w:color w:val="000000"/>
                <w:sz w:val="24"/>
              </w:rPr>
              <w:t>干燥，采用自来水，经一台中央热水器加热后和未加热的自来水混合后，用于飞机打磨之后的粉尘清洗。在冬天的供暖季用机场动力站提供水暖系统通过机库暖风机进行晾干，其他季节自然风进行风干。干燥完成后保护不需要喷漆的区域。</w:t>
            </w:r>
          </w:p>
          <w:p>
            <w:pPr>
              <w:spacing w:line="520" w:lineRule="exact"/>
              <w:ind w:firstLine="482" w:firstLineChars="200"/>
              <w:rPr>
                <w:b/>
                <w:bCs/>
                <w:sz w:val="24"/>
              </w:rPr>
            </w:pPr>
            <w:r>
              <w:rPr>
                <w:b/>
                <w:bCs/>
                <w:sz w:val="24"/>
              </w:rPr>
              <w:t>喷漆：</w:t>
            </w:r>
            <w:r>
              <w:rPr>
                <w:bCs/>
                <w:sz w:val="24"/>
              </w:rPr>
              <w:t>针对飞机不同部位，喷涂不同功能的底漆和面漆，共喷涂4种油漆。喷漆过程不需要加热，在室温内即可完成固化，自然干燥。</w:t>
            </w:r>
          </w:p>
          <w:p>
            <w:pPr>
              <w:spacing w:line="520" w:lineRule="exact"/>
              <w:ind w:firstLine="482" w:firstLineChars="200"/>
              <w:rPr>
                <w:b/>
                <w:bCs/>
                <w:sz w:val="24"/>
              </w:rPr>
            </w:pPr>
            <w:r>
              <w:rPr>
                <w:b/>
                <w:bCs/>
                <w:sz w:val="24"/>
              </w:rPr>
              <w:t>检查、出</w:t>
            </w:r>
            <w:r>
              <w:rPr>
                <w:rFonts w:hint="eastAsia"/>
                <w:b/>
                <w:bCs/>
                <w:sz w:val="24"/>
              </w:rPr>
              <w:t>库</w:t>
            </w:r>
            <w:r>
              <w:rPr>
                <w:b/>
                <w:bCs/>
                <w:sz w:val="24"/>
              </w:rPr>
              <w:t>：</w:t>
            </w:r>
            <w:r>
              <w:rPr>
                <w:bCs/>
                <w:sz w:val="24"/>
              </w:rPr>
              <w:t>依据出</w:t>
            </w:r>
            <w:r>
              <w:rPr>
                <w:rFonts w:hint="eastAsia"/>
                <w:bCs/>
                <w:sz w:val="24"/>
              </w:rPr>
              <w:t>库</w:t>
            </w:r>
            <w:r>
              <w:rPr>
                <w:bCs/>
                <w:sz w:val="24"/>
              </w:rPr>
              <w:t>检查单进行检查，检查完毕的飞机即可出</w:t>
            </w:r>
            <w:r>
              <w:rPr>
                <w:rFonts w:hint="eastAsia"/>
                <w:bCs/>
                <w:sz w:val="24"/>
              </w:rPr>
              <w:t>库</w:t>
            </w:r>
            <w:r>
              <w:rPr>
                <w:bCs/>
                <w:sz w:val="24"/>
              </w:rPr>
              <w:t>。</w:t>
            </w:r>
          </w:p>
          <w:p>
            <w:pPr>
              <w:pStyle w:val="3"/>
              <w:spacing w:after="0" w:line="520" w:lineRule="exact"/>
              <w:ind w:left="0" w:leftChars="0" w:firstLine="482" w:firstLineChars="200"/>
              <w:rPr>
                <w:rFonts w:ascii="Times New Roman" w:hAnsi="Times New Roman"/>
                <w:sz w:val="24"/>
                <w:szCs w:val="20"/>
              </w:rPr>
            </w:pPr>
            <w:r>
              <w:rPr>
                <w:rFonts w:ascii="Times New Roman" w:hAnsi="Times New Roman"/>
                <w:b/>
                <w:bCs/>
                <w:sz w:val="24"/>
              </w:rPr>
              <w:t>（2）产污环节分析：</w:t>
            </w:r>
          </w:p>
          <w:p>
            <w:pPr>
              <w:spacing w:line="520" w:lineRule="exact"/>
              <w:ind w:firstLine="482" w:firstLineChars="200"/>
              <w:rPr>
                <w:bCs/>
                <w:sz w:val="24"/>
              </w:rPr>
            </w:pPr>
            <w:r>
              <w:rPr>
                <w:b/>
                <w:bCs/>
                <w:sz w:val="24"/>
              </w:rPr>
              <w:t>废气：</w:t>
            </w:r>
            <w:r>
              <w:rPr>
                <w:bCs/>
                <w:sz w:val="24"/>
              </w:rPr>
              <w:t>打磨时产生的粉尘、喷漆过程会产生漆雾和有机废气；</w:t>
            </w:r>
          </w:p>
          <w:p>
            <w:pPr>
              <w:spacing w:line="520" w:lineRule="exact"/>
              <w:ind w:firstLine="482" w:firstLineChars="200"/>
              <w:rPr>
                <w:bCs/>
                <w:sz w:val="24"/>
              </w:rPr>
            </w:pPr>
            <w:r>
              <w:rPr>
                <w:b/>
                <w:bCs/>
                <w:sz w:val="24"/>
              </w:rPr>
              <w:t>废水：</w:t>
            </w:r>
            <w:r>
              <w:rPr>
                <w:bCs/>
                <w:sz w:val="24"/>
              </w:rPr>
              <w:t>清洗过程会产生清洗废水；</w:t>
            </w:r>
          </w:p>
          <w:p>
            <w:pPr>
              <w:spacing w:line="520" w:lineRule="exact"/>
              <w:ind w:firstLine="482" w:firstLineChars="200"/>
              <w:rPr>
                <w:bCs/>
                <w:sz w:val="24"/>
              </w:rPr>
            </w:pPr>
            <w:r>
              <w:rPr>
                <w:b/>
                <w:bCs/>
                <w:sz w:val="24"/>
              </w:rPr>
              <w:t>噪声：</w:t>
            </w:r>
            <w:r>
              <w:rPr>
                <w:bCs/>
                <w:sz w:val="24"/>
              </w:rPr>
              <w:t>喷漆设备运行产生噪声；</w:t>
            </w:r>
          </w:p>
          <w:p>
            <w:pPr>
              <w:spacing w:line="520" w:lineRule="exact"/>
              <w:ind w:firstLine="482" w:firstLineChars="200"/>
              <w:rPr>
                <w:bCs/>
                <w:color w:val="000000"/>
                <w:sz w:val="24"/>
              </w:rPr>
            </w:pPr>
            <w:r>
              <w:rPr>
                <w:b/>
                <w:bCs/>
                <w:color w:val="000000"/>
                <w:sz w:val="24"/>
              </w:rPr>
              <w:t>固废：</w:t>
            </w:r>
            <w:r>
              <w:rPr>
                <w:bCs/>
                <w:color w:val="000000"/>
                <w:sz w:val="24"/>
              </w:rPr>
              <w:t>少量生活垃圾、废有机溶剂桶、废过滤棉、</w:t>
            </w:r>
            <w:r>
              <w:rPr>
                <w:rFonts w:hint="eastAsia"/>
                <w:bCs/>
                <w:color w:val="000000"/>
                <w:sz w:val="24"/>
              </w:rPr>
              <w:t>废滤芯、</w:t>
            </w:r>
            <w:r>
              <w:rPr>
                <w:bCs/>
                <w:color w:val="000000"/>
                <w:sz w:val="24"/>
              </w:rPr>
              <w:t>废活性炭。</w:t>
            </w:r>
          </w:p>
          <w:p>
            <w:pPr>
              <w:spacing w:line="520" w:lineRule="exact"/>
              <w:ind w:firstLine="480" w:firstLineChars="200"/>
              <w:rPr>
                <w:bCs/>
                <w:color w:val="000000"/>
                <w:sz w:val="24"/>
              </w:rPr>
            </w:pPr>
            <w:r>
              <w:rPr>
                <w:bCs/>
                <w:color w:val="000000"/>
                <w:sz w:val="24"/>
              </w:rPr>
              <w:t xml:space="preserve">喷漆大厅通风系统按照喷漆、干燥的不同要求分别设计全新风直流通风系统和风循环系统。喷漆工况下，为控制喷漆室弥散和飞溅的喷雾，设计了上送下排的垂直气流组织，排风经过废气处理装置处理后达标排放。喷漆后，飞机在大厅静置晾干，静置晾干阶段采用和喷漆阶段相同通风方式，排风经过废气处理装置处理后达标排放。少量的补漆也在大厅内完成，人工持刷子蘸油漆后进行涂刷，废气产生量很小，可忽略不计，少量废气经过大厅的排风系统一并引至废气处理装置处理， </w:t>
            </w:r>
          </w:p>
          <w:p>
            <w:pPr>
              <w:spacing w:line="520" w:lineRule="exact"/>
              <w:ind w:firstLine="480" w:firstLineChars="200"/>
              <w:rPr>
                <w:bCs/>
                <w:color w:val="000000"/>
                <w:sz w:val="24"/>
              </w:rPr>
            </w:pPr>
            <w:r>
              <w:rPr>
                <w:bCs/>
                <w:color w:val="000000"/>
                <w:sz w:val="24"/>
              </w:rPr>
              <w:t>飞机入库后，机库保持微负压封闭状态，直至整个</w:t>
            </w:r>
            <w:r>
              <w:rPr>
                <w:bCs/>
                <w:color w:val="000000"/>
                <w:sz w:val="24"/>
                <w:highlight w:val="none"/>
              </w:rPr>
              <w:t>喷漆周期</w:t>
            </w:r>
            <w:r>
              <w:rPr>
                <w:bCs/>
                <w:color w:val="000000"/>
                <w:sz w:val="24"/>
              </w:rPr>
              <w:t>完成。根据飞机喷漆机库设计规范（GB50671-2011）和厂家技术要求，飞机机库的温度、相对湿度应满足喷漆生产工艺的要求。</w:t>
            </w:r>
          </w:p>
          <w:p>
            <w:pPr>
              <w:pStyle w:val="2"/>
              <w:ind w:firstLine="560"/>
            </w:pPr>
            <w:r>
              <w:rPr>
                <w:rFonts w:hint="eastAsia"/>
              </w:rPr>
              <w:t xml:space="preserve">         </w:t>
            </w:r>
            <w:r>
              <w:drawing>
                <wp:inline distT="0" distB="0" distL="0" distR="0">
                  <wp:extent cx="2529205" cy="27374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2557346" cy="2767520"/>
                          </a:xfrm>
                          <a:prstGeom prst="rect">
                            <a:avLst/>
                          </a:prstGeom>
                        </pic:spPr>
                      </pic:pic>
                    </a:graphicData>
                  </a:graphic>
                </wp:inline>
              </w:drawing>
            </w:r>
          </w:p>
          <w:p>
            <w:pPr>
              <w:adjustRightInd w:val="0"/>
              <w:snapToGrid w:val="0"/>
              <w:spacing w:before="156" w:beforeLines="50" w:line="360" w:lineRule="auto"/>
              <w:jc w:val="center"/>
              <w:rPr>
                <w:rFonts w:eastAsia="黑体"/>
                <w:color w:val="000000" w:themeColor="text1"/>
                <w:sz w:val="24"/>
                <w:szCs w:val="24"/>
                <w14:textFill>
                  <w14:solidFill>
                    <w14:schemeClr w14:val="tx1"/>
                  </w14:solidFill>
                </w14:textFill>
              </w:rPr>
            </w:pPr>
            <w:r>
              <w:rPr>
                <w:rFonts w:eastAsia="黑体"/>
                <w:color w:val="000000" w:themeColor="text1"/>
                <w:sz w:val="24"/>
                <w:szCs w:val="24"/>
                <w14:textFill>
                  <w14:solidFill>
                    <w14:schemeClr w14:val="tx1"/>
                  </w14:solidFill>
                </w14:textFill>
              </w:rPr>
              <w:t>图2   飞机维修工艺流程及产污环节图</w:t>
            </w:r>
          </w:p>
          <w:p>
            <w:pPr>
              <w:spacing w:line="520" w:lineRule="exact"/>
              <w:ind w:firstLine="482" w:firstLineChars="200"/>
              <w:rPr>
                <w:b/>
                <w:bCs/>
                <w:sz w:val="24"/>
              </w:rPr>
            </w:pPr>
            <w:r>
              <w:rPr>
                <w:b/>
                <w:bCs/>
                <w:sz w:val="24"/>
              </w:rPr>
              <w:t>（1）工艺说明</w:t>
            </w:r>
          </w:p>
          <w:p>
            <w:pPr>
              <w:pStyle w:val="34"/>
              <w:adjustRightInd w:val="0"/>
              <w:snapToGrid w:val="0"/>
              <w:spacing w:before="0" w:beforeAutospacing="0" w:after="0" w:afterAutospacing="0" w:line="520" w:lineRule="exact"/>
              <w:ind w:firstLine="482"/>
              <w:rPr>
                <w:rFonts w:ascii="Times New Roman" w:hAnsi="Times New Roman"/>
                <w:szCs w:val="20"/>
              </w:rPr>
            </w:pPr>
            <w:r>
              <w:rPr>
                <w:rFonts w:hint="eastAsia" w:ascii="Times New Roman" w:hAnsi="Times New Roman"/>
                <w:szCs w:val="20"/>
              </w:rPr>
              <w:t>喷漆</w:t>
            </w:r>
            <w:r>
              <w:rPr>
                <w:rFonts w:ascii="Times New Roman" w:hAnsi="Times New Roman"/>
                <w:szCs w:val="20"/>
              </w:rPr>
              <w:t>大厅主要进行整机维修，整机维修工艺流程包括以下步骤：</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t>维修：维修主要包括以下几种作业工段</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1</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机身主体维修：对机身或零部件结构等由于飞机飞行过程中空气摩擦等原因造成的变形、破损情况，进行修补修正；</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2</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机翼维修：对机翼使用过程中所产生的疲劳裂纹使用垫圈进行修复，提高疲劳强度；</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3</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起落架维修（着落系统）：</w:t>
            </w:r>
            <w:r>
              <w:rPr>
                <w:rFonts w:ascii="Times New Roman" w:hAnsi="Times New Roman"/>
                <w:szCs w:val="20"/>
                <w:highlight w:val="none"/>
              </w:rPr>
              <w:t>对飞机着</w:t>
            </w:r>
            <w:r>
              <w:rPr>
                <w:rFonts w:ascii="Times New Roman" w:hAnsi="Times New Roman"/>
                <w:szCs w:val="20"/>
              </w:rPr>
              <w:t>落系统进行检测，重点检查是否存在结构裂纹、损伤以及零部件磨损引起的缓冲性能、防摆性能、操纵性能下降等故障。对于无严重创伤的零部件进行打磨的方法处理损伤，对于需要更换的零部件进行更换；</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4</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飞机控制系统维修：对飞控系统进行检查、维修，重点检测控制与现实装置、传感器、飞控计算机、作动器、自测试装置、信息传输链及接口装置等；保证设备运转正常，更换失灵导线及设备；</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5</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传动系统维修：对飞机液压传动进行检验维修，重点检验垫片、扭力管是否失效，对其及时更换；</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6</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发动机部装、APU维修：对发动机进行检查维修，本项目对发动机的维修只能更换简单配件。对于发动机内部核心故障，需将其送至专业发电机维修单位检修；</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7</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机载电子、电气系统维修：对于飞机上安装的导航系统、信息收集系统、照明灯电子设备发生故障，将其拆除后交由电子车间进行修理，主要作业内容包括电脑程序的修正、线路排故等，没有机械加工作业；</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8</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线路维修：对飞机电气系统的线路进行检测，更换由于线路老化或绝缘层磨损二产生的故障；</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fldChar w:fldCharType="begin"/>
            </w:r>
            <w:r>
              <w:rPr>
                <w:rFonts w:ascii="Times New Roman" w:hAnsi="Times New Roman"/>
                <w:szCs w:val="20"/>
              </w:rPr>
              <w:instrText xml:space="preserve"> eq \o\ac(○,</w:instrText>
            </w:r>
            <w:r>
              <w:rPr>
                <w:rFonts w:ascii="Times New Roman" w:hAnsi="Times New Roman"/>
                <w:position w:val="3"/>
                <w:sz w:val="16"/>
                <w:szCs w:val="20"/>
              </w:rPr>
              <w:instrText xml:space="preserve">9</w:instrText>
            </w:r>
            <w:r>
              <w:rPr>
                <w:rFonts w:ascii="Times New Roman" w:hAnsi="Times New Roman"/>
                <w:szCs w:val="20"/>
              </w:rPr>
              <w:instrText xml:space="preserve">)</w:instrText>
            </w:r>
            <w:r>
              <w:rPr>
                <w:rFonts w:ascii="Times New Roman" w:hAnsi="Times New Roman"/>
                <w:szCs w:val="20"/>
              </w:rPr>
              <w:fldChar w:fldCharType="end"/>
            </w:r>
            <w:r>
              <w:rPr>
                <w:rFonts w:ascii="Times New Roman" w:hAnsi="Times New Roman"/>
                <w:szCs w:val="20"/>
              </w:rPr>
              <w:t>舱内设施维修（装饰、座椅、灯光、防冰、氧气、救生、货物系统</w:t>
            </w:r>
            <w:r>
              <w:rPr>
                <w:rFonts w:ascii="Times New Roman" w:hAnsi="Times New Roman"/>
                <w:szCs w:val="20"/>
                <w:highlight w:val="none"/>
              </w:rPr>
              <w:t>、机</w:t>
            </w:r>
            <w:r>
              <w:rPr>
                <w:rFonts w:ascii="Times New Roman" w:hAnsi="Times New Roman"/>
                <w:szCs w:val="20"/>
              </w:rPr>
              <w:t>窗、机门）：对于飞机机舱内饰，包括座椅、卫生间、配餐间等出现的故障进行维修，</w:t>
            </w:r>
          </w:p>
          <w:p>
            <w:pPr>
              <w:pStyle w:val="34"/>
              <w:adjustRightInd w:val="0"/>
              <w:snapToGrid w:val="0"/>
              <w:spacing w:before="0" w:beforeAutospacing="0" w:after="0" w:afterAutospacing="0" w:line="520" w:lineRule="exact"/>
              <w:rPr>
                <w:rFonts w:ascii="Times New Roman" w:hAnsi="Times New Roman"/>
                <w:szCs w:val="20"/>
              </w:rPr>
            </w:pPr>
            <w:r>
              <w:rPr>
                <w:rFonts w:ascii="Times New Roman" w:hAnsi="Times New Roman"/>
                <w:szCs w:val="20"/>
              </w:rPr>
              <w:t>主要是对其安装的各类按键、管线进行检查，进行简单的换件处理。</w:t>
            </w:r>
          </w:p>
          <w:p>
            <w:pPr>
              <w:pStyle w:val="34"/>
              <w:adjustRightInd w:val="0"/>
              <w:snapToGrid w:val="0"/>
              <w:spacing w:before="0" w:beforeAutospacing="0" w:after="0" w:afterAutospacing="0" w:line="520" w:lineRule="exact"/>
              <w:rPr>
                <w:rFonts w:ascii="Times New Roman" w:hAnsi="Times New Roman"/>
                <w:szCs w:val="20"/>
              </w:rPr>
            </w:pPr>
            <w:r>
              <w:rPr>
                <w:rFonts w:hint="eastAsia" w:ascii="Times New Roman" w:hAnsi="Times New Roman"/>
                <w:szCs w:val="20"/>
              </w:rPr>
              <w:t xml:space="preserve">    </w:t>
            </w:r>
            <w:r>
              <w:rPr>
                <w:rFonts w:ascii="Times New Roman" w:hAnsi="Times New Roman"/>
                <w:szCs w:val="20"/>
              </w:rPr>
              <w:t>试机：以上工作全部完成后，飞机由牵引车拖至咸阳国际机场机坪，开启发电机，仪表测试飞机各项参数是否正常。项目</w:t>
            </w:r>
            <w:r>
              <w:rPr>
                <w:rFonts w:ascii="Times New Roman" w:hAnsi="Times New Roman"/>
                <w:szCs w:val="20"/>
                <w:highlight w:val="none"/>
              </w:rPr>
              <w:t>试机不</w:t>
            </w:r>
            <w:r>
              <w:rPr>
                <w:rFonts w:ascii="Times New Roman" w:hAnsi="Times New Roman"/>
                <w:szCs w:val="20"/>
              </w:rPr>
              <w:t>在此次评价范围内，本项目不对</w:t>
            </w:r>
          </w:p>
          <w:p>
            <w:pPr>
              <w:pStyle w:val="34"/>
              <w:adjustRightInd w:val="0"/>
              <w:snapToGrid w:val="0"/>
              <w:spacing w:before="0" w:beforeAutospacing="0" w:after="0" w:afterAutospacing="0" w:line="520" w:lineRule="exact"/>
              <w:rPr>
                <w:rFonts w:ascii="Times New Roman" w:hAnsi="Times New Roman"/>
                <w:szCs w:val="20"/>
              </w:rPr>
            </w:pPr>
            <w:r>
              <w:rPr>
                <w:rFonts w:ascii="Times New Roman" w:hAnsi="Times New Roman"/>
                <w:szCs w:val="20"/>
              </w:rPr>
              <w:t>发动机进行修理，不进行发动机测试，因此不产生</w:t>
            </w:r>
            <w:r>
              <w:rPr>
                <w:rFonts w:ascii="Times New Roman" w:hAnsi="Times New Roman"/>
                <w:szCs w:val="20"/>
                <w:highlight w:val="none"/>
              </w:rPr>
              <w:t>试机</w:t>
            </w:r>
            <w:r>
              <w:rPr>
                <w:rFonts w:ascii="Times New Roman" w:hAnsi="Times New Roman"/>
                <w:szCs w:val="20"/>
              </w:rPr>
              <w:t>噪声。</w:t>
            </w:r>
          </w:p>
          <w:p>
            <w:pPr>
              <w:pStyle w:val="34"/>
              <w:adjustRightInd w:val="0"/>
              <w:snapToGrid w:val="0"/>
              <w:spacing w:before="0" w:beforeAutospacing="0" w:after="0" w:afterAutospacing="0" w:line="520" w:lineRule="exact"/>
              <w:ind w:firstLine="482"/>
              <w:rPr>
                <w:rFonts w:ascii="Times New Roman" w:hAnsi="Times New Roman"/>
                <w:szCs w:val="20"/>
              </w:rPr>
            </w:pPr>
            <w:r>
              <w:rPr>
                <w:rFonts w:ascii="Times New Roman" w:hAnsi="Times New Roman"/>
                <w:szCs w:val="20"/>
              </w:rPr>
              <w:t>客户接收：对于</w:t>
            </w:r>
            <w:r>
              <w:rPr>
                <w:rFonts w:ascii="Times New Roman" w:hAnsi="Times New Roman"/>
                <w:szCs w:val="20"/>
                <w:highlight w:val="none"/>
              </w:rPr>
              <w:t>试机</w:t>
            </w:r>
            <w:r>
              <w:rPr>
                <w:rFonts w:ascii="Times New Roman" w:hAnsi="Times New Roman"/>
                <w:szCs w:val="20"/>
              </w:rPr>
              <w:t>完成，各项参数均符合要求的送检飞机，由委托检修的航空公司进行接收。</w:t>
            </w:r>
          </w:p>
          <w:p>
            <w:pPr>
              <w:pStyle w:val="34"/>
              <w:adjustRightInd w:val="0"/>
              <w:snapToGrid w:val="0"/>
              <w:spacing w:before="0" w:beforeAutospacing="0" w:after="0" w:afterAutospacing="0" w:line="520" w:lineRule="exact"/>
              <w:ind w:firstLine="482"/>
              <w:rPr>
                <w:rFonts w:ascii="Times New Roman" w:hAnsi="Times New Roman"/>
                <w:szCs w:val="20"/>
              </w:rPr>
            </w:pPr>
          </w:p>
          <w:p>
            <w:pPr>
              <w:pStyle w:val="3"/>
              <w:spacing w:after="0" w:line="520" w:lineRule="exact"/>
              <w:ind w:left="0" w:leftChars="0" w:firstLine="482" w:firstLineChars="200"/>
              <w:rPr>
                <w:rFonts w:ascii="Times New Roman" w:hAnsi="Times New Roman"/>
                <w:sz w:val="24"/>
                <w:szCs w:val="20"/>
              </w:rPr>
            </w:pPr>
            <w:r>
              <w:rPr>
                <w:rFonts w:ascii="Times New Roman" w:hAnsi="Times New Roman"/>
                <w:b/>
                <w:bCs/>
                <w:sz w:val="24"/>
              </w:rPr>
              <w:t>（2）产污环节分析：</w:t>
            </w:r>
          </w:p>
          <w:p>
            <w:pPr>
              <w:spacing w:line="520" w:lineRule="exact"/>
              <w:ind w:firstLine="482" w:firstLineChars="200"/>
              <w:rPr>
                <w:bCs/>
                <w:sz w:val="24"/>
              </w:rPr>
            </w:pPr>
            <w:r>
              <w:rPr>
                <w:b/>
                <w:bCs/>
                <w:sz w:val="24"/>
              </w:rPr>
              <w:t>噪声：</w:t>
            </w:r>
            <w:r>
              <w:rPr>
                <w:bCs/>
                <w:sz w:val="24"/>
              </w:rPr>
              <w:t>维修设备运行会产生噪声；</w:t>
            </w:r>
          </w:p>
          <w:p>
            <w:pPr>
              <w:spacing w:line="520" w:lineRule="exact"/>
              <w:ind w:firstLine="482" w:firstLineChars="200"/>
              <w:rPr>
                <w:bCs/>
                <w:color w:val="000000"/>
                <w:sz w:val="24"/>
              </w:rPr>
            </w:pPr>
            <w:r>
              <w:rPr>
                <w:b/>
                <w:bCs/>
                <w:color w:val="000000"/>
                <w:sz w:val="24"/>
              </w:rPr>
              <w:t>固废：</w:t>
            </w:r>
            <w:r>
              <w:rPr>
                <w:bCs/>
                <w:color w:val="000000"/>
                <w:sz w:val="24"/>
              </w:rPr>
              <w:t>系统维修时的废机油、废抹布和手套等。</w:t>
            </w: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p>
            <w:pPr>
              <w:pStyle w:val="34"/>
              <w:adjustRightInd w:val="0"/>
              <w:snapToGrid w:val="0"/>
              <w:spacing w:before="0" w:beforeAutospacing="0" w:after="0" w:afterAutospacing="0" w:line="520" w:lineRule="exact"/>
              <w:rPr>
                <w:rFonts w:ascii="Times New Roman" w:hAnsi="Times New Roman"/>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43" w:hRule="atLeast"/>
          <w:jc w:val="center"/>
        </w:trPr>
        <w:tc>
          <w:tcPr>
            <w:tcW w:w="9000" w:type="dxa"/>
          </w:tcPr>
          <w:p>
            <w:pPr>
              <w:pStyle w:val="9"/>
              <w:adjustRightInd w:val="0"/>
              <w:snapToGrid w:val="0"/>
              <w:spacing w:line="520" w:lineRule="exact"/>
              <w:rPr>
                <w:b/>
                <w:szCs w:val="28"/>
              </w:rPr>
            </w:pPr>
            <w:r>
              <w:rPr>
                <w:b/>
                <w:szCs w:val="28"/>
              </w:rPr>
              <w:t>主要污染工序</w:t>
            </w:r>
          </w:p>
          <w:p>
            <w:pPr>
              <w:spacing w:line="520" w:lineRule="exact"/>
              <w:ind w:firstLine="470"/>
              <w:rPr>
                <w:b/>
                <w:sz w:val="24"/>
              </w:rPr>
            </w:pPr>
            <w:r>
              <w:rPr>
                <w:b/>
                <w:sz w:val="24"/>
              </w:rPr>
              <w:t>一、施工期</w:t>
            </w:r>
          </w:p>
          <w:p>
            <w:pPr>
              <w:spacing w:before="50" w:line="520" w:lineRule="exact"/>
              <w:ind w:firstLine="480"/>
              <w:rPr>
                <w:bCs/>
                <w:sz w:val="24"/>
                <w:szCs w:val="24"/>
              </w:rPr>
            </w:pPr>
            <w:r>
              <w:rPr>
                <w:bCs/>
                <w:sz w:val="24"/>
                <w:szCs w:val="24"/>
              </w:rPr>
              <w:t>本项目为改建项目，施工期主要内容是设备及配套设施的安装与调试。施工期约</w:t>
            </w:r>
            <w:r>
              <w:rPr>
                <w:rFonts w:hint="eastAsia"/>
                <w:bCs/>
                <w:sz w:val="24"/>
                <w:szCs w:val="24"/>
              </w:rPr>
              <w:t>2</w:t>
            </w:r>
            <w:r>
              <w:rPr>
                <w:bCs/>
                <w:sz w:val="24"/>
                <w:szCs w:val="24"/>
              </w:rPr>
              <w:t>个月，施工期对环境的影响主要有废水、噪声、固体废物等。</w:t>
            </w:r>
          </w:p>
          <w:p>
            <w:pPr>
              <w:numPr>
                <w:ilvl w:val="0"/>
                <w:numId w:val="2"/>
              </w:numPr>
              <w:spacing w:before="50" w:line="520" w:lineRule="exact"/>
              <w:ind w:firstLine="480" w:firstLineChars="200"/>
              <w:rPr>
                <w:bCs/>
                <w:sz w:val="24"/>
                <w:szCs w:val="24"/>
              </w:rPr>
            </w:pPr>
            <w:r>
              <w:rPr>
                <w:bCs/>
                <w:sz w:val="24"/>
                <w:szCs w:val="24"/>
              </w:rPr>
              <w:t>废水</w:t>
            </w:r>
          </w:p>
          <w:p>
            <w:pPr>
              <w:spacing w:before="50" w:line="520" w:lineRule="exact"/>
              <w:ind w:firstLine="480" w:firstLineChars="200"/>
              <w:rPr>
                <w:bCs/>
                <w:sz w:val="24"/>
                <w:szCs w:val="24"/>
              </w:rPr>
            </w:pPr>
            <w:r>
              <w:rPr>
                <w:bCs/>
                <w:sz w:val="24"/>
                <w:szCs w:val="24"/>
              </w:rPr>
              <w:t>本项目施工期间主要废水为施工人员生活污水。项目施工期</w:t>
            </w:r>
            <w:r>
              <w:rPr>
                <w:rFonts w:hint="eastAsia"/>
                <w:bCs/>
                <w:sz w:val="24"/>
                <w:szCs w:val="24"/>
              </w:rPr>
              <w:t>2</w:t>
            </w:r>
            <w:r>
              <w:rPr>
                <w:bCs/>
                <w:sz w:val="24"/>
                <w:szCs w:val="24"/>
              </w:rPr>
              <w:t>个月，施工高峰期施工人数为10人，施工人员均为周边村民，不提供食宿。施工期人员如厕依托基地化粪池，用水量按25L/（人•d）计算，则施工期用水量为0.25m</w:t>
            </w:r>
            <w:r>
              <w:rPr>
                <w:bCs/>
                <w:sz w:val="24"/>
                <w:szCs w:val="24"/>
                <w:vertAlign w:val="superscript"/>
              </w:rPr>
              <w:t>3</w:t>
            </w:r>
            <w:r>
              <w:rPr>
                <w:bCs/>
                <w:sz w:val="24"/>
                <w:szCs w:val="24"/>
              </w:rPr>
              <w:t>/d，施工期总用水量为</w:t>
            </w:r>
            <w:r>
              <w:rPr>
                <w:rFonts w:hint="eastAsia"/>
                <w:bCs/>
                <w:sz w:val="24"/>
                <w:szCs w:val="24"/>
              </w:rPr>
              <w:t>15</w:t>
            </w:r>
            <w:r>
              <w:rPr>
                <w:bCs/>
                <w:sz w:val="24"/>
                <w:szCs w:val="24"/>
              </w:rPr>
              <w:t>m</w:t>
            </w:r>
            <w:r>
              <w:rPr>
                <w:bCs/>
                <w:sz w:val="24"/>
                <w:szCs w:val="24"/>
                <w:vertAlign w:val="superscript"/>
              </w:rPr>
              <w:t>3</w:t>
            </w:r>
            <w:r>
              <w:rPr>
                <w:bCs/>
                <w:sz w:val="24"/>
                <w:szCs w:val="24"/>
              </w:rPr>
              <w:t>，排放率以0.8计，污水排放量为</w:t>
            </w:r>
            <w:r>
              <w:rPr>
                <w:rFonts w:hint="eastAsia"/>
                <w:bCs/>
                <w:sz w:val="24"/>
                <w:szCs w:val="24"/>
              </w:rPr>
              <w:t>12</w:t>
            </w:r>
            <w:r>
              <w:rPr>
                <w:bCs/>
                <w:sz w:val="24"/>
                <w:szCs w:val="24"/>
              </w:rPr>
              <w:t>m</w:t>
            </w:r>
            <w:r>
              <w:rPr>
                <w:bCs/>
                <w:sz w:val="24"/>
                <w:szCs w:val="24"/>
                <w:vertAlign w:val="superscript"/>
              </w:rPr>
              <w:t>3</w:t>
            </w:r>
            <w:r>
              <w:rPr>
                <w:bCs/>
                <w:sz w:val="24"/>
                <w:szCs w:val="24"/>
              </w:rPr>
              <w:t>，主要污染物为COD、BOD</w:t>
            </w:r>
            <w:r>
              <w:rPr>
                <w:bCs/>
                <w:sz w:val="24"/>
                <w:szCs w:val="24"/>
                <w:vertAlign w:val="subscript"/>
              </w:rPr>
              <w:t>5</w:t>
            </w:r>
            <w:r>
              <w:rPr>
                <w:bCs/>
                <w:sz w:val="24"/>
                <w:szCs w:val="24"/>
              </w:rPr>
              <w:t>、NH</w:t>
            </w:r>
            <w:r>
              <w:rPr>
                <w:bCs/>
                <w:sz w:val="24"/>
                <w:szCs w:val="24"/>
                <w:vertAlign w:val="subscript"/>
              </w:rPr>
              <w:t>3</w:t>
            </w:r>
            <w:r>
              <w:rPr>
                <w:bCs/>
                <w:sz w:val="24"/>
                <w:szCs w:val="24"/>
              </w:rPr>
              <w:t>-N、SS、TN和TP等。生活废水经维修基地化粪池处理后</w:t>
            </w:r>
            <w:r>
              <w:rPr>
                <w:bCs/>
                <w:sz w:val="24"/>
              </w:rPr>
              <w:t>通过管网排入机场污水处理厂集中处理后达标排放。</w:t>
            </w:r>
          </w:p>
          <w:p>
            <w:pPr>
              <w:spacing w:before="50" w:line="520" w:lineRule="exact"/>
              <w:ind w:firstLine="480" w:firstLineChars="200"/>
              <w:rPr>
                <w:bCs/>
                <w:sz w:val="24"/>
                <w:szCs w:val="24"/>
              </w:rPr>
            </w:pPr>
            <w:r>
              <w:rPr>
                <w:bCs/>
                <w:sz w:val="24"/>
                <w:szCs w:val="24"/>
              </w:rPr>
              <w:t>（2）噪声</w:t>
            </w:r>
          </w:p>
          <w:p>
            <w:pPr>
              <w:spacing w:before="50" w:line="520" w:lineRule="exact"/>
              <w:ind w:firstLine="480" w:firstLineChars="200"/>
              <w:rPr>
                <w:bCs/>
                <w:sz w:val="24"/>
                <w:szCs w:val="24"/>
              </w:rPr>
            </w:pPr>
            <w:r>
              <w:rPr>
                <w:bCs/>
                <w:sz w:val="24"/>
                <w:szCs w:val="24"/>
              </w:rPr>
              <w:t>项目施工期噪声主要为设备安装噪声，源强为85-95dB（A）</w:t>
            </w:r>
            <w:r>
              <w:rPr>
                <w:sz w:val="24"/>
                <w:szCs w:val="24"/>
              </w:rPr>
              <w:t>。</w:t>
            </w:r>
          </w:p>
          <w:p>
            <w:pPr>
              <w:spacing w:before="50" w:line="520" w:lineRule="exact"/>
              <w:rPr>
                <w:bCs/>
                <w:sz w:val="24"/>
                <w:szCs w:val="24"/>
              </w:rPr>
            </w:pPr>
            <w:r>
              <w:rPr>
                <w:bCs/>
                <w:sz w:val="24"/>
                <w:szCs w:val="24"/>
              </w:rPr>
              <w:t xml:space="preserve">    （3）固体废物</w:t>
            </w:r>
          </w:p>
          <w:p>
            <w:pPr>
              <w:spacing w:before="50" w:line="520" w:lineRule="exact"/>
              <w:ind w:firstLine="480"/>
              <w:rPr>
                <w:bCs/>
                <w:sz w:val="24"/>
                <w:szCs w:val="24"/>
              </w:rPr>
            </w:pPr>
            <w:r>
              <w:rPr>
                <w:bCs/>
                <w:sz w:val="24"/>
                <w:szCs w:val="24"/>
              </w:rPr>
              <w:t>施工期产生的固体废物主要包括废弃包装垃圾和生活垃圾。本项目施工期产生的废弃包装垃圾分类收集后外售。根据《环境统计手册》提供的系数，施工期施工人员每人每天平均产生0.3kg垃圾，施工期为</w:t>
            </w:r>
            <w:r>
              <w:rPr>
                <w:rFonts w:hint="eastAsia"/>
                <w:bCs/>
                <w:sz w:val="24"/>
                <w:szCs w:val="24"/>
              </w:rPr>
              <w:t>2</w:t>
            </w:r>
            <w:r>
              <w:rPr>
                <w:bCs/>
                <w:sz w:val="24"/>
                <w:szCs w:val="24"/>
              </w:rPr>
              <w:t>个月，高峰期共有10名施工人员，施工期生活垃圾产生量约0.</w:t>
            </w:r>
            <w:r>
              <w:rPr>
                <w:rFonts w:hint="eastAsia"/>
                <w:bCs/>
                <w:sz w:val="24"/>
                <w:szCs w:val="24"/>
              </w:rPr>
              <w:t>18</w:t>
            </w:r>
            <w:r>
              <w:rPr>
                <w:bCs/>
                <w:sz w:val="24"/>
                <w:szCs w:val="24"/>
              </w:rPr>
              <w:t>t，施工人员生活垃圾运至维修基地生活垃圾暂存区，交由环卫部门统一处理。</w:t>
            </w:r>
          </w:p>
          <w:p>
            <w:pPr>
              <w:spacing w:line="520" w:lineRule="exact"/>
              <w:ind w:firstLine="472" w:firstLineChars="196"/>
              <w:rPr>
                <w:b/>
                <w:sz w:val="24"/>
              </w:rPr>
            </w:pPr>
            <w:r>
              <w:rPr>
                <w:b/>
                <w:sz w:val="24"/>
              </w:rPr>
              <w:t>二、营运期</w:t>
            </w:r>
          </w:p>
          <w:p>
            <w:pPr>
              <w:pStyle w:val="3"/>
              <w:spacing w:after="0" w:line="520" w:lineRule="exact"/>
              <w:ind w:left="0" w:leftChars="0" w:firstLine="482" w:firstLineChars="200"/>
              <w:jc w:val="left"/>
              <w:rPr>
                <w:rFonts w:ascii="Times New Roman" w:hAnsi="Times New Roman"/>
                <w:b/>
                <w:sz w:val="24"/>
                <w:szCs w:val="20"/>
              </w:rPr>
            </w:pPr>
            <w:r>
              <w:rPr>
                <w:rFonts w:ascii="Times New Roman" w:hAnsi="Times New Roman"/>
                <w:b/>
                <w:sz w:val="24"/>
                <w:szCs w:val="20"/>
              </w:rPr>
              <w:t>1、废气</w:t>
            </w:r>
          </w:p>
          <w:p>
            <w:pPr>
              <w:autoSpaceDE w:val="0"/>
              <w:autoSpaceDN w:val="0"/>
              <w:adjustRightInd w:val="0"/>
              <w:snapToGrid w:val="0"/>
              <w:spacing w:line="560" w:lineRule="exact"/>
              <w:ind w:firstLine="480" w:firstLineChars="200"/>
              <w:rPr>
                <w:bCs/>
                <w:sz w:val="24"/>
              </w:rPr>
            </w:pPr>
            <w:r>
              <w:rPr>
                <w:bCs/>
                <w:sz w:val="24"/>
              </w:rPr>
              <w:t>本项目废气主要为打磨粉尘和喷漆产生的废气（喷漆及晾干废气）。项目</w:t>
            </w:r>
            <w:r>
              <w:rPr>
                <w:rFonts w:hint="eastAsia"/>
                <w:bCs/>
                <w:sz w:val="24"/>
              </w:rPr>
              <w:t>喷漆大厅设置全热交换系统和通风系统，均配置送排双风机，</w:t>
            </w:r>
            <w:r>
              <w:rPr>
                <w:bCs/>
                <w:sz w:val="24"/>
              </w:rPr>
              <w:t>顶部</w:t>
            </w:r>
            <w:r>
              <w:rPr>
                <w:rFonts w:hint="eastAsia"/>
                <w:bCs/>
                <w:sz w:val="24"/>
              </w:rPr>
              <w:t>采用纤维织物风管系统进行</w:t>
            </w:r>
            <w:r>
              <w:rPr>
                <w:bCs/>
                <w:sz w:val="24"/>
              </w:rPr>
              <w:t>送风</w:t>
            </w:r>
            <w:r>
              <w:rPr>
                <w:rFonts w:hint="eastAsia"/>
                <w:bCs/>
                <w:sz w:val="24"/>
              </w:rPr>
              <w:t>，</w:t>
            </w:r>
            <w:r>
              <w:rPr>
                <w:bCs/>
                <w:sz w:val="24"/>
              </w:rPr>
              <w:t>下侧</w:t>
            </w:r>
            <w:r>
              <w:rPr>
                <w:rFonts w:hint="eastAsia"/>
                <w:bCs/>
                <w:sz w:val="24"/>
              </w:rPr>
              <w:t>两侧采用排风收集箱收集废气</w:t>
            </w:r>
            <w:r>
              <w:rPr>
                <w:bCs/>
                <w:sz w:val="24"/>
              </w:rPr>
              <w:t>，</w:t>
            </w:r>
            <w:r>
              <w:rPr>
                <w:rFonts w:hint="eastAsia"/>
                <w:bCs/>
                <w:sz w:val="24"/>
              </w:rPr>
              <w:t>共设6套，</w:t>
            </w:r>
            <w:r>
              <w:rPr>
                <w:color w:val="000000" w:themeColor="text1"/>
                <w:sz w:val="24"/>
                <w14:textFill>
                  <w14:solidFill>
                    <w14:schemeClr w14:val="tx1"/>
                  </w14:solidFill>
                </w14:textFill>
              </w:rPr>
              <w:t>每套最大风量设计为</w:t>
            </w:r>
            <w:r>
              <w:rPr>
                <w:bCs/>
                <w:sz w:val="24"/>
              </w:rPr>
              <w:t>40000m</w:t>
            </w:r>
            <w:r>
              <w:rPr>
                <w:bCs/>
                <w:sz w:val="24"/>
                <w:vertAlign w:val="superscript"/>
              </w:rPr>
              <w:t>3</w:t>
            </w:r>
            <w:r>
              <w:rPr>
                <w:bCs/>
                <w:sz w:val="24"/>
              </w:rPr>
              <w:t>/h，风量可根据使用情况进行调节。</w:t>
            </w:r>
            <w:r>
              <w:rPr>
                <w:rFonts w:hint="eastAsia"/>
                <w:bCs/>
                <w:sz w:val="24"/>
              </w:rPr>
              <w:t>排风集气箱内有</w:t>
            </w:r>
            <w:r>
              <w:rPr>
                <w:bCs/>
                <w:sz w:val="24"/>
              </w:rPr>
              <w:t>吸附单元，</w:t>
            </w:r>
            <w:r>
              <w:rPr>
                <w:rFonts w:hint="eastAsia"/>
                <w:bCs/>
                <w:sz w:val="24"/>
              </w:rPr>
              <w:t>内设</w:t>
            </w:r>
            <w:r>
              <w:rPr>
                <w:bCs/>
                <w:sz w:val="24"/>
              </w:rPr>
              <w:t>漆雾过滤芯。工作时，</w:t>
            </w:r>
            <w:r>
              <w:rPr>
                <w:rFonts w:hint="eastAsia"/>
                <w:bCs/>
                <w:sz w:val="24"/>
              </w:rPr>
              <w:t>机库密闭</w:t>
            </w:r>
            <w:r>
              <w:rPr>
                <w:bCs/>
                <w:sz w:val="24"/>
              </w:rPr>
              <w:t>，</w:t>
            </w:r>
            <w:r>
              <w:rPr>
                <w:rFonts w:hint="eastAsia"/>
                <w:bCs/>
                <w:sz w:val="24"/>
              </w:rPr>
              <w:t>打开送排风系统，</w:t>
            </w:r>
            <w:r>
              <w:rPr>
                <w:bCs/>
                <w:sz w:val="24"/>
              </w:rPr>
              <w:t>打磨粉尘或喷漆废气经</w:t>
            </w:r>
            <w:r>
              <w:rPr>
                <w:rFonts w:hint="eastAsia"/>
                <w:bCs/>
                <w:sz w:val="24"/>
              </w:rPr>
              <w:t>机库两侧的排放集气箱</w:t>
            </w:r>
            <w:r>
              <w:rPr>
                <w:bCs/>
                <w:sz w:val="24"/>
              </w:rPr>
              <w:t>的吸附单元收集过滤后进入</w:t>
            </w:r>
            <w:r>
              <w:rPr>
                <w:rFonts w:hint="eastAsia"/>
                <w:bCs/>
                <w:sz w:val="24"/>
              </w:rPr>
              <w:t>管道</w:t>
            </w:r>
            <w:r>
              <w:rPr>
                <w:bCs/>
                <w:sz w:val="24"/>
              </w:rPr>
              <w:t>，通过辅房顶部活性炭吸附箱（</w:t>
            </w:r>
            <w:r>
              <w:rPr>
                <w:rFonts w:hint="eastAsia"/>
                <w:bCs/>
                <w:sz w:val="24"/>
              </w:rPr>
              <w:t>内设</w:t>
            </w:r>
            <w:r>
              <w:rPr>
                <w:rFonts w:hint="eastAsia"/>
                <w:color w:val="000000" w:themeColor="text1"/>
                <w:sz w:val="24"/>
                <w14:textFill>
                  <w14:solidFill>
                    <w14:schemeClr w14:val="tx1"/>
                  </w14:solidFill>
                </w14:textFill>
              </w:rPr>
              <w:t>蜂窝</w:t>
            </w:r>
            <w:r>
              <w:rPr>
                <w:color w:val="000000" w:themeColor="text1"/>
                <w:sz w:val="24"/>
                <w14:textFill>
                  <w14:solidFill>
                    <w14:schemeClr w14:val="tx1"/>
                  </w14:solidFill>
                </w14:textFill>
              </w:rPr>
              <w:t>活性炭</w:t>
            </w:r>
            <w:r>
              <w:rPr>
                <w:rFonts w:hint="eastAsia"/>
                <w:color w:val="000000" w:themeColor="text1"/>
                <w:sz w:val="24"/>
                <w14:textFill>
                  <w14:solidFill>
                    <w14:schemeClr w14:val="tx1"/>
                  </w14:solidFill>
                </w14:textFill>
              </w:rPr>
              <w:t>单元</w:t>
            </w:r>
            <w:r>
              <w:rPr>
                <w:bCs/>
                <w:sz w:val="24"/>
              </w:rPr>
              <w:t>）处理后，最终由</w:t>
            </w:r>
            <w:r>
              <w:rPr>
                <w:color w:val="000000" w:themeColor="text1"/>
                <w:sz w:val="24"/>
                <w14:textFill>
                  <w14:solidFill>
                    <w14:schemeClr w14:val="tx1"/>
                  </w14:solidFill>
                </w14:textFill>
              </w:rPr>
              <w:t>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）排放，辅房高度为7m。</w:t>
            </w:r>
          </w:p>
          <w:p>
            <w:pPr>
              <w:spacing w:line="520" w:lineRule="exact"/>
              <w:ind w:firstLine="480" w:firstLineChars="200"/>
              <w:rPr>
                <w:bCs/>
                <w:sz w:val="24"/>
              </w:rPr>
            </w:pPr>
            <w:r>
              <w:rPr>
                <w:bCs/>
                <w:sz w:val="24"/>
              </w:rPr>
              <w:t>（1）打磨粉尘</w:t>
            </w:r>
          </w:p>
          <w:p>
            <w:pPr>
              <w:autoSpaceDE w:val="0"/>
              <w:autoSpaceDN w:val="0"/>
              <w:adjustRightInd w:val="0"/>
              <w:snapToGrid w:val="0"/>
              <w:spacing w:line="560" w:lineRule="exact"/>
              <w:ind w:firstLine="480" w:firstLineChars="200"/>
              <w:rPr>
                <w:color w:val="000000"/>
                <w:sz w:val="24"/>
              </w:rPr>
            </w:pPr>
            <w:r>
              <w:rPr>
                <w:bCs/>
                <w:sz w:val="24"/>
              </w:rPr>
              <w:t>项目设气动打磨机进行退漆打磨，打磨时会产生少量粉尘。本项目打磨粉尘经</w:t>
            </w:r>
            <w:r>
              <w:rPr>
                <w:rFonts w:hint="eastAsia"/>
                <w:bCs/>
                <w:sz w:val="24"/>
              </w:rPr>
              <w:t>排风收集箱</w:t>
            </w:r>
            <w:r>
              <w:rPr>
                <w:bCs/>
                <w:sz w:val="24"/>
              </w:rPr>
              <w:t>的</w:t>
            </w:r>
            <w:r>
              <w:rPr>
                <w:rFonts w:hint="eastAsia"/>
                <w:bCs/>
                <w:sz w:val="24"/>
              </w:rPr>
              <w:t>干式</w:t>
            </w:r>
            <w:r>
              <w:rPr>
                <w:bCs/>
                <w:sz w:val="24"/>
              </w:rPr>
              <w:t>过滤器收集过滤后由15m高的排气筒排放，对粉尘的收集效率为90%，过滤效率为99%，打磨工序风量设为8000m</w:t>
            </w:r>
            <w:r>
              <w:rPr>
                <w:bCs/>
                <w:sz w:val="24"/>
                <w:vertAlign w:val="superscript"/>
              </w:rPr>
              <w:t>3</w:t>
            </w:r>
            <w:r>
              <w:rPr>
                <w:bCs/>
                <w:sz w:val="24"/>
              </w:rPr>
              <w:t>/h。项目</w:t>
            </w:r>
            <w:r>
              <w:rPr>
                <w:color w:val="000000"/>
                <w:sz w:val="24"/>
              </w:rPr>
              <w:t>打磨粉尘产生量按照面漆和中间底漆中固体成分附着的50%计算，附着在飞机面漆和中间底漆固体成分含量约为3.36t/a，打磨粉尘产生量约为1.68t/a，经处理后排放量为0.016t/a，年有效打磨时间为600h，则排放速率为0.027kg/h，排放浓度为3.4mg/m</w:t>
            </w:r>
            <w:r>
              <w:rPr>
                <w:color w:val="000000"/>
                <w:sz w:val="24"/>
                <w:vertAlign w:val="superscript"/>
              </w:rPr>
              <w:t>3</w:t>
            </w:r>
            <w:r>
              <w:rPr>
                <w:color w:val="000000"/>
                <w:sz w:val="24"/>
              </w:rPr>
              <w:t>，无组织排放量为0.168t/a。</w:t>
            </w:r>
          </w:p>
          <w:p>
            <w:pPr>
              <w:spacing w:line="520" w:lineRule="exact"/>
              <w:ind w:firstLine="480" w:firstLineChars="200"/>
              <w:rPr>
                <w:bCs/>
                <w:sz w:val="24"/>
              </w:rPr>
            </w:pPr>
            <w:r>
              <w:rPr>
                <w:bCs/>
                <w:sz w:val="24"/>
              </w:rPr>
              <w:t>（2）喷漆废气</w:t>
            </w:r>
          </w:p>
          <w:p>
            <w:pPr>
              <w:spacing w:line="520" w:lineRule="exact"/>
              <w:ind w:firstLine="480" w:firstLineChars="200"/>
              <w:rPr>
                <w:color w:val="000000"/>
                <w:sz w:val="24"/>
                <w:lang w:bidi="ar"/>
              </w:rPr>
            </w:pPr>
            <w:r>
              <w:rPr>
                <w:color w:val="000000"/>
                <w:sz w:val="24"/>
                <w:lang w:bidi="ar"/>
              </w:rPr>
              <w:t>项目喷漆工序产生的废气包括漆雾、喷漆废气和晾干废气。漆雾的主要</w:t>
            </w:r>
            <w:r>
              <w:rPr>
                <w:color w:val="000000"/>
                <w:sz w:val="24"/>
                <w:highlight w:val="none"/>
                <w:lang w:bidi="ar"/>
              </w:rPr>
              <w:t>成份</w:t>
            </w:r>
            <w:r>
              <w:rPr>
                <w:color w:val="000000"/>
                <w:sz w:val="24"/>
                <w:lang w:bidi="ar"/>
              </w:rPr>
              <w:t>是</w:t>
            </w:r>
            <w:r>
              <w:rPr>
                <w:color w:val="000000"/>
                <w:sz w:val="24"/>
                <w:highlight w:val="none"/>
                <w:lang w:bidi="ar"/>
              </w:rPr>
              <w:t>细小漆</w:t>
            </w:r>
            <w:r>
              <w:rPr>
                <w:color w:val="000000"/>
                <w:sz w:val="24"/>
                <w:lang w:bidi="ar"/>
              </w:rPr>
              <w:t>颗粒，喷漆废气和晾干废气的主要成份为甲苯、二甲苯、乙苯、非甲烷总烃。</w:t>
            </w:r>
          </w:p>
          <w:p>
            <w:pPr>
              <w:spacing w:line="520" w:lineRule="exact"/>
              <w:ind w:firstLine="480" w:firstLineChars="200"/>
              <w:rPr>
                <w:color w:val="000000"/>
                <w:sz w:val="24"/>
                <w:lang w:bidi="ar"/>
              </w:rPr>
            </w:pPr>
            <w:r>
              <w:rPr>
                <w:color w:val="000000"/>
                <w:sz w:val="24"/>
                <w:lang w:bidi="ar"/>
              </w:rPr>
              <w:t>本项目每年共使用9.36t油漆（包括稀释剂和固化剂）。查阅《涂装技术实用手册》（机械工业出版社）和文献资料，一般空气喷涂附着率为50%—70%，随着技术的不断提升，目前标准化喷漆附着率普遍可以达到70%，本次环评取附着率70%进行计算。根据《涂装技术实用手册》（机械工业出版社），涂装作业中排放的二甲苯约有55%在喷漆过程排放，45%在晾干过程排放。根据《喷漆工序有机废气源强的估算比较》（梁栋，长沙有色冶金设计研究院有限公司），VOCs的产排情况大致为：喷漆过程70%，晾干过程30%。本项目取其均值计算排放速率：60%的有机废气经喷漆过程排放，40%有机废气经晾干过程排放。</w:t>
            </w:r>
          </w:p>
          <w:p>
            <w:pPr>
              <w:adjustRightInd w:val="0"/>
              <w:snapToGrid w:val="0"/>
              <w:spacing w:line="520" w:lineRule="exact"/>
              <w:ind w:left="480"/>
              <w:rPr>
                <w:color w:val="000000"/>
                <w:sz w:val="24"/>
              </w:rPr>
            </w:pPr>
            <w:r>
              <w:rPr>
                <w:color w:val="000000"/>
                <w:sz w:val="24"/>
              </w:rPr>
              <w:t>根据厂家提供的检测资料，本项目使用的油漆各组分源强计算如下：</w:t>
            </w:r>
          </w:p>
          <w:p>
            <w:pPr>
              <w:pStyle w:val="17"/>
              <w:jc w:val="center"/>
              <w:rPr>
                <w:rFonts w:ascii="Times New Roman" w:hAnsi="Times New Roman" w:eastAsia="黑体" w:cs="Times New Roman"/>
                <w:sz w:val="24"/>
              </w:rPr>
            </w:pPr>
            <w:r>
              <w:rPr>
                <w:rFonts w:ascii="Times New Roman" w:hAnsi="Times New Roman" w:eastAsia="黑体" w:cs="Times New Roman"/>
                <w:sz w:val="24"/>
              </w:rPr>
              <w:t>表20   源强计算一览表</w:t>
            </w:r>
          </w:p>
          <w:tbl>
            <w:tblPr>
              <w:tblStyle w:val="38"/>
              <w:tblW w:w="878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40"/>
              <w:gridCol w:w="1105"/>
              <w:gridCol w:w="1114"/>
              <w:gridCol w:w="1105"/>
              <w:gridCol w:w="28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Merge w:val="restart"/>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漆料及用量</w:t>
                  </w:r>
                </w:p>
              </w:tc>
              <w:tc>
                <w:tcPr>
                  <w:tcW w:w="6144" w:type="dxa"/>
                  <w:gridSpan w:val="4"/>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挥发性有机物产生量（t/a）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Merge w:val="continue"/>
                  <w:vAlign w:val="center"/>
                </w:tcPr>
                <w:p>
                  <w:pPr>
                    <w:rPr>
                      <w:b/>
                      <w:bCs/>
                      <w:color w:val="000000" w:themeColor="text1"/>
                      <w14:textFill>
                        <w14:solidFill>
                          <w14:schemeClr w14:val="tx1"/>
                        </w14:solidFill>
                      </w14:textFill>
                    </w:rPr>
                  </w:pP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105" w:type="dxa"/>
                  <w:tcBorders>
                    <w:top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乙苯</w:t>
                  </w:r>
                </w:p>
              </w:tc>
              <w:tc>
                <w:tcPr>
                  <w:tcW w:w="2820" w:type="dxa"/>
                  <w:tcBorders>
                    <w:top w:val="single" w:color="auto" w:sz="4" w:space="0"/>
                  </w:tcBorders>
                  <w:vAlign w:val="center"/>
                </w:tcPr>
                <w:p>
                  <w:pPr>
                    <w:jc w:val="center"/>
                    <w:rPr>
                      <w:b/>
                      <w:bCs/>
                      <w:color w:val="000000" w:themeColor="text1"/>
                      <w14:textFill>
                        <w14:solidFill>
                          <w14:schemeClr w14:val="tx1"/>
                        </w14:solidFill>
                      </w14:textFill>
                    </w:rPr>
                  </w:pPr>
                  <w:r>
                    <w:rPr>
                      <w:color w:val="000000" w:themeColor="text1"/>
                      <w14:textFill>
                        <w14:solidFill>
                          <w14:schemeClr w14:val="tx1"/>
                        </w14:solidFill>
                      </w14:textFill>
                    </w:rPr>
                    <w:t>挥发性有机化合物（VOCs）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磷化底漆172.8kg/a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0.018</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磷化底漆固化剂41.4kg/a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磷化底漆稀释剂39.6kg/a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0.008</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中间底漆1512kg/a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0.075</w:t>
                  </w:r>
                </w:p>
              </w:tc>
              <w:tc>
                <w:tcPr>
                  <w:tcW w:w="28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中间底漆固化剂549kg/a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中间底漆稀释剂509.4kg/a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基础面漆2386.8kg/a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基础面漆固化剂 660.6kg/a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0.033</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0.017</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基础面漆稀释剂405kg/a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清漆1188kg/a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清漆固化剂1166.4kg/a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0.058</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0.029</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清漆稀释剂729kg/a</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82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4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总计</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0.008</w:t>
                  </w:r>
                </w:p>
              </w:tc>
              <w:tc>
                <w:tcPr>
                  <w:tcW w:w="11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0.259</w:t>
                  </w:r>
                </w:p>
              </w:tc>
              <w:tc>
                <w:tcPr>
                  <w:tcW w:w="110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0.121</w:t>
                  </w:r>
                </w:p>
              </w:tc>
              <w:tc>
                <w:tcPr>
                  <w:tcW w:w="282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4.56</w:t>
                  </w:r>
                </w:p>
              </w:tc>
            </w:tr>
          </w:tbl>
          <w:p>
            <w:pPr>
              <w:spacing w:line="520" w:lineRule="exact"/>
              <w:ind w:firstLine="480" w:firstLineChars="200"/>
              <w:rPr>
                <w:color w:val="000000" w:themeColor="text1"/>
                <w:sz w:val="24"/>
                <w14:textFill>
                  <w14:solidFill>
                    <w14:schemeClr w14:val="tx1"/>
                  </w14:solidFill>
                </w14:textFill>
              </w:rPr>
            </w:pPr>
            <w:r>
              <w:rPr>
                <w:color w:val="000000" w:themeColor="text1"/>
                <w:sz w:val="24"/>
                <w:lang w:bidi="ar"/>
                <w14:textFill>
                  <w14:solidFill>
                    <w14:schemeClr w14:val="tx1"/>
                  </w14:solidFill>
                </w14:textFill>
              </w:rPr>
              <w:t>本项目</w:t>
            </w:r>
            <w:r>
              <w:rPr>
                <w:rFonts w:hint="eastAsia"/>
                <w:color w:val="000000" w:themeColor="text1"/>
                <w:sz w:val="24"/>
                <w:lang w:bidi="ar"/>
                <w14:textFill>
                  <w14:solidFill>
                    <w14:schemeClr w14:val="tx1"/>
                  </w14:solidFill>
                </w14:textFill>
              </w:rPr>
              <w:t>喷漆</w:t>
            </w:r>
            <w:r>
              <w:rPr>
                <w:color w:val="000000" w:themeColor="text1"/>
                <w:sz w:val="24"/>
                <w:lang w:bidi="ar"/>
                <w14:textFill>
                  <w14:solidFill>
                    <w14:schemeClr w14:val="tx1"/>
                  </w14:solidFill>
                </w14:textFill>
              </w:rPr>
              <w:t>机库一年飞机喷漆架次为18架，</w:t>
            </w:r>
            <w:r>
              <w:rPr>
                <w:bCs/>
                <w:color w:val="000000" w:themeColor="text1"/>
                <w:sz w:val="24"/>
                <w:lang w:bidi="ar"/>
                <w14:textFill>
                  <w14:solidFill>
                    <w14:schemeClr w14:val="tx1"/>
                  </w14:solidFill>
                </w14:textFill>
              </w:rPr>
              <w:t>喷漆及晾干有效日工作时长共为300h。飞机入库喷漆时，机库保持</w:t>
            </w:r>
            <w:r>
              <w:rPr>
                <w:rFonts w:hint="eastAsia"/>
                <w:bCs/>
                <w:color w:val="000000" w:themeColor="text1"/>
                <w:sz w:val="24"/>
                <w:lang w:bidi="ar"/>
                <w14:textFill>
                  <w14:solidFill>
                    <w14:schemeClr w14:val="tx1"/>
                  </w14:solidFill>
                </w14:textFill>
              </w:rPr>
              <w:t>密闭</w:t>
            </w:r>
            <w:r>
              <w:rPr>
                <w:bCs/>
                <w:color w:val="000000" w:themeColor="text1"/>
                <w:sz w:val="24"/>
                <w:lang w:bidi="ar"/>
                <w14:textFill>
                  <w14:solidFill>
                    <w14:schemeClr w14:val="tx1"/>
                  </w14:solidFill>
                </w14:textFill>
              </w:rPr>
              <w:t>状态，直至整个喷漆工序完成。</w:t>
            </w:r>
            <w:r>
              <w:rPr>
                <w:color w:val="000000" w:themeColor="text1"/>
                <w:sz w:val="24"/>
                <w:lang w:bidi="ar"/>
                <w14:textFill>
                  <w14:solidFill>
                    <w14:schemeClr w14:val="tx1"/>
                  </w14:solidFill>
                </w14:textFill>
              </w:rPr>
              <w:t>喷漆及晾干产生的废气经</w:t>
            </w:r>
            <w:r>
              <w:rPr>
                <w:rFonts w:hint="eastAsia"/>
                <w:color w:val="000000" w:themeColor="text1"/>
                <w:sz w:val="24"/>
                <w:lang w:bidi="ar"/>
                <w14:textFill>
                  <w14:solidFill>
                    <w14:schemeClr w14:val="tx1"/>
                  </w14:solidFill>
                </w14:textFill>
              </w:rPr>
              <w:t>两侧排风收集箱</w:t>
            </w:r>
            <w:r>
              <w:rPr>
                <w:color w:val="000000" w:themeColor="text1"/>
                <w:sz w:val="24"/>
                <w:lang w:bidi="ar"/>
                <w14:textFill>
                  <w14:solidFill>
                    <w14:schemeClr w14:val="tx1"/>
                  </w14:solidFill>
                </w14:textFill>
              </w:rPr>
              <w:t>收集后，统一采用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干式</w:t>
            </w:r>
            <w:r>
              <w:rPr>
                <w:color w:val="000000" w:themeColor="text1"/>
                <w:sz w:val="24"/>
                <w14:textFill>
                  <w14:solidFill>
                    <w14:schemeClr w14:val="tx1"/>
                  </w14:solidFill>
                </w14:textFill>
              </w:rPr>
              <w:t>过滤器+活性炭吸附箱（</w:t>
            </w:r>
            <w:r>
              <w:rPr>
                <w:rFonts w:hint="eastAsia"/>
                <w:color w:val="000000" w:themeColor="text1"/>
                <w:sz w:val="24"/>
                <w14:textFill>
                  <w14:solidFill>
                    <w14:schemeClr w14:val="tx1"/>
                  </w14:solidFill>
                </w14:textFill>
              </w:rPr>
              <w:t>内设蜂窝</w:t>
            </w:r>
            <w:r>
              <w:rPr>
                <w:color w:val="000000" w:themeColor="text1"/>
                <w:sz w:val="24"/>
                <w14:textFill>
                  <w14:solidFill>
                    <w14:schemeClr w14:val="tx1"/>
                  </w14:solidFill>
                </w14:textFill>
              </w:rPr>
              <w:t>活性炭</w:t>
            </w:r>
            <w:r>
              <w:rPr>
                <w:rFonts w:hint="eastAsia"/>
                <w:color w:val="000000" w:themeColor="text1"/>
                <w:sz w:val="24"/>
                <w14:textFill>
                  <w14:solidFill>
                    <w14:schemeClr w14:val="tx1"/>
                  </w14:solidFill>
                </w14:textFill>
              </w:rPr>
              <w:t>单元</w:t>
            </w:r>
            <w:r>
              <w:rPr>
                <w:color w:val="000000" w:themeColor="text1"/>
                <w:sz w:val="24"/>
                <w14:textFill>
                  <w14:solidFill>
                    <w14:schemeClr w14:val="tx1"/>
                  </w14:solidFill>
                </w14:textFill>
              </w:rPr>
              <w:t>）”装置进行处理，处理后的废气通过机库东西两侧辅房顶部15m高的排气筒（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w:t>
            </w:r>
            <w:r>
              <w:rPr>
                <w:rFonts w:hint="eastAsia"/>
                <w:color w:val="000000" w:themeColor="text1"/>
                <w:sz w:val="24"/>
                <w14:textFill>
                  <w14:solidFill>
                    <w14:schemeClr w14:val="tx1"/>
                  </w14:solidFill>
                </w14:textFill>
              </w:rPr>
              <w:t>因机库采用上部送风，下侧两侧排风，废气</w:t>
            </w:r>
            <w:r>
              <w:rPr>
                <w:color w:val="000000" w:themeColor="text1"/>
                <w:sz w:val="24"/>
                <w14:textFill>
                  <w14:solidFill>
                    <w14:schemeClr w14:val="tx1"/>
                  </w14:solidFill>
                </w14:textFill>
              </w:rPr>
              <w:t>收集效率</w:t>
            </w:r>
            <w:r>
              <w:rPr>
                <w:rFonts w:hint="eastAsia"/>
                <w:color w:val="000000" w:themeColor="text1"/>
                <w:sz w:val="24"/>
                <w14:textFill>
                  <w14:solidFill>
                    <w14:schemeClr w14:val="tx1"/>
                  </w14:solidFill>
                </w14:textFill>
              </w:rPr>
              <w:t>可达</w:t>
            </w:r>
            <w:r>
              <w:rPr>
                <w:color w:val="000000" w:themeColor="text1"/>
                <w:sz w:val="24"/>
                <w14:textFill>
                  <w14:solidFill>
                    <w14:schemeClr w14:val="tx1"/>
                  </w14:solidFill>
                </w14:textFill>
              </w:rPr>
              <w:t>95%，</w:t>
            </w:r>
            <w:r>
              <w:rPr>
                <w:rFonts w:hint="eastAsia"/>
                <w:color w:val="000000" w:themeColor="text1"/>
                <w:sz w:val="24"/>
                <w14:textFill>
                  <w14:solidFill>
                    <w14:schemeClr w14:val="tx1"/>
                  </w14:solidFill>
                </w14:textFill>
              </w:rPr>
              <w:t>干式</w:t>
            </w:r>
            <w:r>
              <w:rPr>
                <w:color w:val="000000" w:themeColor="text1"/>
                <w:sz w:val="24"/>
                <w14:textFill>
                  <w14:solidFill>
                    <w14:schemeClr w14:val="tx1"/>
                  </w14:solidFill>
                </w14:textFill>
              </w:rPr>
              <w:t>过滤器的去除率为90%，活性炭吸附箱</w:t>
            </w:r>
            <w:r>
              <w:rPr>
                <w:bCs/>
                <w:snapToGrid w:val="0"/>
                <w:color w:val="000000" w:themeColor="text1"/>
                <w:kern w:val="0"/>
                <w:sz w:val="24"/>
                <w14:textFill>
                  <w14:solidFill>
                    <w14:schemeClr w14:val="tx1"/>
                  </w14:solidFill>
                </w14:textFill>
              </w:rPr>
              <w:t>的吸附效率可达85%以上。</w:t>
            </w:r>
            <w:r>
              <w:rPr>
                <w:color w:val="000000" w:themeColor="text1"/>
                <w:sz w:val="24"/>
                <w14:textFill>
                  <w14:solidFill>
                    <w14:schemeClr w14:val="tx1"/>
                  </w14:solidFill>
                </w14:textFill>
              </w:rPr>
              <w:t>项目年使用油漆（包括固化剂、稀释剂）量为9.36t，其使用过程中的平衡表和挥发性有机物平衡图如下所示：</w:t>
            </w:r>
          </w:p>
          <w:p>
            <w:pPr>
              <w:pStyle w:val="17"/>
              <w:jc w:val="center"/>
              <w:rPr>
                <w:rFonts w:ascii="Times New Roman" w:hAnsi="Times New Roman" w:eastAsia="黑体" w:cs="Times New Roman"/>
                <w:sz w:val="24"/>
              </w:rPr>
            </w:pPr>
            <w:r>
              <w:rPr>
                <w:rFonts w:ascii="Times New Roman" w:hAnsi="Times New Roman" w:eastAsia="黑体" w:cs="Times New Roman"/>
                <w:sz w:val="24"/>
              </w:rPr>
              <w:t>表21   油漆使用平衡表</w:t>
            </w:r>
          </w:p>
          <w:tbl>
            <w:tblPr>
              <w:tblStyle w:val="38"/>
              <w:tblW w:w="878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068"/>
              <w:gridCol w:w="1781"/>
              <w:gridCol w:w="986"/>
              <w:gridCol w:w="2711"/>
              <w:gridCol w:w="15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3835" w:type="dxa"/>
                  <w:gridSpan w:val="3"/>
                  <w:vAlign w:val="center"/>
                </w:tcPr>
                <w:p>
                  <w:pPr>
                    <w:pStyle w:val="9"/>
                    <w:widowControl/>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投入量（t/a）</w:t>
                  </w:r>
                </w:p>
              </w:tc>
              <w:tc>
                <w:tcPr>
                  <w:tcW w:w="4225" w:type="dxa"/>
                  <w:gridSpan w:val="2"/>
                  <w:vAlign w:val="center"/>
                </w:tcPr>
                <w:p>
                  <w:pPr>
                    <w:pStyle w:val="9"/>
                    <w:widowControl/>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输出量（t/a）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bookmarkStart w:id="87" w:name="OLE_LINK6" w:colFirst="4" w:colLast="5"/>
                  <w:r>
                    <w:rPr>
                      <w:color w:val="000000" w:themeColor="text1"/>
                      <w:sz w:val="21"/>
                      <w:szCs w:val="21"/>
                      <w14:textFill>
                        <w14:solidFill>
                          <w14:schemeClr w14:val="tx1"/>
                        </w14:solidFill>
                      </w14:textFill>
                    </w:rPr>
                    <w:t>1</w:t>
                  </w:r>
                </w:p>
              </w:tc>
              <w:tc>
                <w:tcPr>
                  <w:tcW w:w="1068" w:type="dxa"/>
                  <w:vMerge w:val="restart"/>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磷化底漆</w:t>
                  </w: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磷化底漆</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0.1728</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附着于产品</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1068" w:type="dxa"/>
                  <w:vMerge w:val="continue"/>
                  <w:vAlign w:val="center"/>
                </w:tcPr>
                <w:p>
                  <w:pP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固化剂</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0.0414</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漆雾颗粒去除量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1.2312</w:t>
                  </w:r>
                </w:p>
              </w:tc>
            </w:tr>
            <w:bookmarkEnd w:id="87"/>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068" w:type="dxa"/>
                  <w:vMerge w:val="continue"/>
                  <w:vAlign w:val="center"/>
                </w:tcPr>
                <w:p>
                  <w:pP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稀释剂</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0.0396</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漆雾颗粒有组织排放量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0.1368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1068" w:type="dxa"/>
                  <w:vMerge w:val="restart"/>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中间底漆</w:t>
                  </w: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中间底漆</w:t>
                  </w:r>
                </w:p>
              </w:tc>
              <w:tc>
                <w:tcPr>
                  <w:tcW w:w="98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1.512</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漆雾</w:t>
                  </w:r>
                  <w:r>
                    <w:rPr>
                      <w:color w:val="000000" w:themeColor="text1"/>
                      <w:sz w:val="21"/>
                      <w:szCs w:val="21"/>
                      <w:highlight w:val="none"/>
                      <w14:textFill>
                        <w14:solidFill>
                          <w14:schemeClr w14:val="tx1"/>
                        </w14:solidFill>
                      </w14:textFill>
                    </w:rPr>
                    <w:t>颗粒无</w:t>
                  </w:r>
                  <w:r>
                    <w:rPr>
                      <w:color w:val="000000" w:themeColor="text1"/>
                      <w:sz w:val="21"/>
                      <w:szCs w:val="21"/>
                      <w14:textFill>
                        <w14:solidFill>
                          <w14:schemeClr w14:val="tx1"/>
                        </w14:solidFill>
                      </w14:textFill>
                    </w:rPr>
                    <w:t>组织排放量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1068" w:type="dxa"/>
                  <w:vMerge w:val="continue"/>
                  <w:vAlign w:val="center"/>
                </w:tcPr>
                <w:p>
                  <w:pP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固化剂</w:t>
                  </w:r>
                </w:p>
              </w:tc>
              <w:tc>
                <w:tcPr>
                  <w:tcW w:w="98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0.549</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有机废气去除量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3.6821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1068" w:type="dxa"/>
                  <w:vMerge w:val="continue"/>
                  <w:vAlign w:val="center"/>
                </w:tcPr>
                <w:p>
                  <w:pP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稀释剂</w:t>
                  </w:r>
                </w:p>
              </w:tc>
              <w:tc>
                <w:tcPr>
                  <w:tcW w:w="98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0.5094</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有机废气有组织排放量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0.6499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c>
                <w:tcPr>
                  <w:tcW w:w="1068" w:type="dxa"/>
                  <w:vMerge w:val="restar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基础面漆</w:t>
                  </w: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基础面漆</w:t>
                  </w:r>
                </w:p>
              </w:tc>
              <w:tc>
                <w:tcPr>
                  <w:tcW w:w="986"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2.3868</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有机废气无组织排放量</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w:t>
                  </w:r>
                </w:p>
              </w:tc>
              <w:tc>
                <w:tcPr>
                  <w:tcW w:w="1068" w:type="dxa"/>
                  <w:vMerge w:val="continue"/>
                  <w:vAlign w:val="center"/>
                </w:tcPr>
                <w:p>
                  <w:pPr>
                    <w:widowControl/>
                    <w:jc w:val="cente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固化剂</w:t>
                  </w:r>
                </w:p>
              </w:tc>
              <w:tc>
                <w:tcPr>
                  <w:tcW w:w="986"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0.6606</w:t>
                  </w:r>
                </w:p>
              </w:tc>
              <w:tc>
                <w:tcPr>
                  <w:tcW w:w="2711"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514"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w:t>
                  </w:r>
                </w:p>
              </w:tc>
              <w:tc>
                <w:tcPr>
                  <w:tcW w:w="1068" w:type="dxa"/>
                  <w:vMerge w:val="continue"/>
                  <w:vAlign w:val="center"/>
                </w:tcPr>
                <w:p>
                  <w:pPr>
                    <w:widowControl/>
                    <w:jc w:val="center"/>
                    <w:rPr>
                      <w:color w:val="000000" w:themeColor="text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稀释剂</w:t>
                  </w:r>
                </w:p>
              </w:tc>
              <w:tc>
                <w:tcPr>
                  <w:tcW w:w="986"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0.405</w:t>
                  </w:r>
                </w:p>
              </w:tc>
              <w:tc>
                <w:tcPr>
                  <w:tcW w:w="2711"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514"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1068" w:type="dxa"/>
                  <w:vMerge w:val="restar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清漆</w:t>
                  </w: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清漆</w:t>
                  </w:r>
                </w:p>
              </w:tc>
              <w:tc>
                <w:tcPr>
                  <w:tcW w:w="986"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1.188</w:t>
                  </w:r>
                </w:p>
              </w:tc>
              <w:tc>
                <w:tcPr>
                  <w:tcW w:w="2711"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514"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w:t>
                  </w:r>
                </w:p>
              </w:tc>
              <w:tc>
                <w:tcPr>
                  <w:tcW w:w="1068" w:type="dxa"/>
                  <w:vMerge w:val="continue"/>
                  <w:vAlign w:val="center"/>
                </w:tcPr>
                <w:p>
                  <w:pPr>
                    <w:pStyle w:val="9"/>
                    <w:widowControl/>
                    <w:jc w:val="center"/>
                    <w:rPr>
                      <w:color w:val="000000" w:themeColor="text1"/>
                      <w:sz w:val="21"/>
                      <w:szCs w:val="2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固化剂</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1.1664</w:t>
                  </w:r>
                </w:p>
              </w:tc>
              <w:tc>
                <w:tcPr>
                  <w:tcW w:w="2711"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514"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w:t>
                  </w:r>
                </w:p>
              </w:tc>
              <w:tc>
                <w:tcPr>
                  <w:tcW w:w="1068" w:type="dxa"/>
                  <w:vMerge w:val="continue"/>
                  <w:vAlign w:val="center"/>
                </w:tcPr>
                <w:p>
                  <w:pPr>
                    <w:pStyle w:val="9"/>
                    <w:widowControl/>
                    <w:jc w:val="center"/>
                    <w:rPr>
                      <w:color w:val="000000" w:themeColor="text1"/>
                      <w:sz w:val="21"/>
                      <w:szCs w:val="21"/>
                      <w14:textFill>
                        <w14:solidFill>
                          <w14:schemeClr w14:val="tx1"/>
                        </w14:solidFill>
                      </w14:textFill>
                    </w:rPr>
                  </w:pPr>
                </w:p>
              </w:tc>
              <w:tc>
                <w:tcPr>
                  <w:tcW w:w="178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稀释剂</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0.729</w:t>
                  </w:r>
                </w:p>
              </w:tc>
              <w:tc>
                <w:tcPr>
                  <w:tcW w:w="2711"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514" w:type="dxa"/>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2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w:t>
                  </w:r>
                </w:p>
              </w:tc>
              <w:tc>
                <w:tcPr>
                  <w:tcW w:w="2849" w:type="dxa"/>
                  <w:gridSpan w:val="2"/>
                  <w:vAlign w:val="center"/>
                </w:tcPr>
                <w:p>
                  <w:pPr>
                    <w:pStyle w:val="9"/>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合计</w:t>
                  </w:r>
                </w:p>
              </w:tc>
              <w:tc>
                <w:tcPr>
                  <w:tcW w:w="986"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9.36</w:t>
                  </w:r>
                </w:p>
              </w:tc>
              <w:tc>
                <w:tcPr>
                  <w:tcW w:w="2711"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合计</w:t>
                  </w:r>
                </w:p>
              </w:tc>
              <w:tc>
                <w:tcPr>
                  <w:tcW w:w="1514" w:type="dxa"/>
                  <w:vAlign w:val="center"/>
                </w:tcPr>
                <w:p>
                  <w:pPr>
                    <w:pStyle w:val="9"/>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9.36</w:t>
                  </w:r>
                </w:p>
              </w:tc>
            </w:tr>
          </w:tbl>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Chars="0"/>
              <w:jc w:val="left"/>
              <w:rPr>
                <w:rFonts w:ascii="Times New Roman" w:hAnsi="Times New Roman"/>
                <w:b/>
                <w:sz w:val="24"/>
                <w:szCs w:val="20"/>
              </w:rPr>
            </w:pPr>
          </w:p>
          <w:p>
            <w:pPr>
              <w:pStyle w:val="3"/>
              <w:spacing w:after="0" w:line="520" w:lineRule="exact"/>
              <w:ind w:left="0" w:leftChars="0"/>
              <w:jc w:val="left"/>
              <w:rPr>
                <w:rFonts w:ascii="Times New Roman" w:hAnsi="Times New Roman"/>
                <w:b/>
                <w:sz w:val="24"/>
                <w:szCs w:val="20"/>
              </w:rPr>
            </w:pPr>
          </w:p>
          <w:p>
            <w:pPr>
              <w:pStyle w:val="3"/>
              <w:spacing w:after="0" w:line="520" w:lineRule="exact"/>
              <w:ind w:left="0" w:leftChars="0"/>
              <w:jc w:val="left"/>
              <w:rPr>
                <w:rFonts w:ascii="Times New Roman" w:hAnsi="Times New Roman"/>
                <w:b/>
                <w:sz w:val="24"/>
                <w:szCs w:val="20"/>
              </w:rPr>
            </w:pPr>
          </w:p>
          <w:p>
            <w:pPr>
              <w:pStyle w:val="3"/>
              <w:spacing w:after="0" w:line="520" w:lineRule="exact"/>
              <w:ind w:leftChars="0"/>
              <w:rPr>
                <w:rFonts w:ascii="Times New Roman" w:hAnsi="Times New Roman"/>
                <w:b/>
                <w:sz w:val="24"/>
                <w:szCs w:val="20"/>
              </w:rPr>
            </w:pPr>
          </w:p>
          <w:p>
            <w:pPr>
              <w:pStyle w:val="3"/>
              <w:spacing w:after="0" w:line="520" w:lineRule="exact"/>
              <w:ind w:leftChars="0"/>
              <w:rPr>
                <w:rFonts w:ascii="Times New Roman" w:hAnsi="Times New Roman"/>
                <w:b/>
                <w:sz w:val="24"/>
                <w:szCs w:val="20"/>
              </w:rPr>
            </w:pPr>
            <w:r>
              <w:rPr>
                <w:rFonts w:ascii="Times New Roman" w:hAnsi="Times New Roman"/>
                <w:b/>
                <w:sz w:val="24"/>
                <w:szCs w:val="20"/>
              </w:rPr>
              <w:drawing>
                <wp:anchor distT="0" distB="0" distL="0" distR="0" simplePos="0" relativeHeight="251659264" behindDoc="0" locked="0" layoutInCell="1" allowOverlap="1">
                  <wp:simplePos x="0" y="0"/>
                  <wp:positionH relativeFrom="column">
                    <wp:posOffset>266700</wp:posOffset>
                  </wp:positionH>
                  <wp:positionV relativeFrom="paragraph">
                    <wp:posOffset>-3455670</wp:posOffset>
                  </wp:positionV>
                  <wp:extent cx="5138420" cy="371983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6"/>
                          <a:stretch>
                            <a:fillRect/>
                          </a:stretch>
                        </pic:blipFill>
                        <pic:spPr>
                          <a:xfrm>
                            <a:off x="0" y="0"/>
                            <a:ext cx="5152661" cy="3730389"/>
                          </a:xfrm>
                          <a:prstGeom prst="rect">
                            <a:avLst/>
                          </a:prstGeom>
                        </pic:spPr>
                      </pic:pic>
                    </a:graphicData>
                  </a:graphic>
                </wp:anchor>
              </w:drawing>
            </w:r>
          </w:p>
          <w:p>
            <w:pPr>
              <w:pStyle w:val="2"/>
              <w:spacing w:line="360" w:lineRule="auto"/>
              <w:ind w:firstLine="480"/>
              <w:jc w:val="center"/>
              <w:rPr>
                <w:rFonts w:ascii="Times New Roman" w:hAnsi="Times New Roman" w:eastAsia="黑体"/>
                <w:color w:val="000000" w:themeColor="text1"/>
                <w:sz w:val="24"/>
                <w14:textFill>
                  <w14:solidFill>
                    <w14:schemeClr w14:val="tx1"/>
                  </w14:solidFill>
                </w14:textFill>
              </w:rPr>
            </w:pPr>
            <w:r>
              <w:rPr>
                <w:rFonts w:ascii="Times New Roman" w:hAnsi="Times New Roman" w:eastAsia="黑体"/>
                <w:color w:val="000000" w:themeColor="text1"/>
                <w:sz w:val="24"/>
                <w14:textFill>
                  <w14:solidFill>
                    <w14:schemeClr w14:val="tx1"/>
                  </w14:solidFill>
                </w14:textFill>
              </w:rPr>
              <w:t>图3   项目喷漆工序油漆使用情况总平衡图（单位t/a）</w:t>
            </w:r>
          </w:p>
          <w:p>
            <w:pPr>
              <w:tabs>
                <w:tab w:val="left" w:pos="6300"/>
              </w:tabs>
              <w:adjustRightInd w:val="0"/>
              <w:snapToGrid w:val="0"/>
              <w:spacing w:line="360" w:lineRule="auto"/>
              <w:ind w:firstLine="480" w:firstLineChars="200"/>
              <w:rPr>
                <w:bCs/>
                <w:snapToGrid w:val="0"/>
                <w:color w:val="000000" w:themeColor="text1"/>
                <w:kern w:val="0"/>
                <w:sz w:val="24"/>
                <w14:textFill>
                  <w14:solidFill>
                    <w14:schemeClr w14:val="tx1"/>
                  </w14:solidFill>
                </w14:textFill>
              </w:rPr>
            </w:pPr>
            <w:r>
              <w:rPr>
                <w:bCs/>
                <w:snapToGrid w:val="0"/>
                <w:color w:val="000000" w:themeColor="text1"/>
                <w:kern w:val="0"/>
                <w:sz w:val="24"/>
                <w14:textFill>
                  <w14:solidFill>
                    <w14:schemeClr w14:val="tx1"/>
                  </w14:solidFill>
                </w14:textFill>
              </w:rPr>
              <w:t>喷漆工序漆雾、非甲烷总烃（包括甲苯、二甲苯、乙苯）产生及排放情况如下表所示。</w:t>
            </w:r>
          </w:p>
          <w:p>
            <w:pPr>
              <w:pStyle w:val="17"/>
              <w:jc w:val="center"/>
              <w:rPr>
                <w:rFonts w:ascii="Times New Roman" w:hAnsi="Times New Roman" w:eastAsia="黑体" w:cs="Times New Roman"/>
                <w:sz w:val="24"/>
              </w:rPr>
            </w:pPr>
            <w:r>
              <w:rPr>
                <w:rFonts w:ascii="Times New Roman" w:hAnsi="Times New Roman" w:eastAsia="黑体" w:cs="Times New Roman"/>
                <w:sz w:val="24"/>
              </w:rPr>
              <w:t>表22  项目喷漆废气产排情况</w:t>
            </w:r>
          </w:p>
          <w:tbl>
            <w:tblPr>
              <w:tblStyle w:val="38"/>
              <w:tblW w:w="8784"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26"/>
              <w:gridCol w:w="426"/>
              <w:gridCol w:w="1362"/>
              <w:gridCol w:w="1359"/>
              <w:gridCol w:w="1244"/>
              <w:gridCol w:w="1244"/>
              <w:gridCol w:w="1232"/>
              <w:gridCol w:w="106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48" w:hRule="atLeast"/>
                <w:jc w:val="center"/>
              </w:trPr>
              <w:tc>
                <w:tcPr>
                  <w:tcW w:w="852" w:type="dxa"/>
                  <w:gridSpan w:val="2"/>
                  <w:tcBorders>
                    <w:top w:val="single" w:color="auto" w:sz="12" w:space="0"/>
                    <w:bottom w:val="single" w:color="auto" w:sz="4"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生产</w:t>
                  </w:r>
                </w:p>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工序</w:t>
                  </w:r>
                </w:p>
              </w:tc>
              <w:tc>
                <w:tcPr>
                  <w:tcW w:w="1788" w:type="dxa"/>
                  <w:gridSpan w:val="2"/>
                  <w:tcBorders>
                    <w:top w:val="single" w:color="auto" w:sz="12" w:space="0"/>
                    <w:bottom w:val="single" w:color="auto" w:sz="4"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污染物</w:t>
                  </w:r>
                </w:p>
              </w:tc>
              <w:tc>
                <w:tcPr>
                  <w:tcW w:w="1359" w:type="dxa"/>
                  <w:tcBorders>
                    <w:top w:val="single" w:color="auto" w:sz="12" w:space="0"/>
                    <w:right w:val="single" w:color="auto" w:sz="4"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产生量</w:t>
                  </w:r>
                </w:p>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t/a</w:t>
                  </w:r>
                </w:p>
              </w:tc>
              <w:tc>
                <w:tcPr>
                  <w:tcW w:w="1244" w:type="dxa"/>
                  <w:tcBorders>
                    <w:top w:val="single" w:color="auto" w:sz="12" w:space="0"/>
                    <w:left w:val="single" w:color="auto" w:sz="4" w:space="0"/>
                  </w:tcBorders>
                  <w:vAlign w:val="center"/>
                </w:tcPr>
                <w:p>
                  <w:pPr>
                    <w:widowControl/>
                    <w:snapToGrid w:val="0"/>
                    <w:spacing w:line="320" w:lineRule="exact"/>
                    <w:jc w:val="center"/>
                    <w:rPr>
                      <w:b/>
                      <w:color w:val="000000" w:themeColor="text1"/>
                      <w14:textFill>
                        <w14:solidFill>
                          <w14:schemeClr w14:val="tx1"/>
                        </w14:solidFill>
                      </w14:textFill>
                    </w:rPr>
                  </w:pPr>
                  <w:r>
                    <w:rPr>
                      <w:b/>
                      <w:color w:val="000000" w:themeColor="text1"/>
                      <w14:textFill>
                        <w14:solidFill>
                          <w14:schemeClr w14:val="tx1"/>
                        </w14:solidFill>
                      </w14:textFill>
                    </w:rPr>
                    <w:t>收集量</w:t>
                  </w:r>
                </w:p>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t/a</w:t>
                  </w:r>
                </w:p>
              </w:tc>
              <w:tc>
                <w:tcPr>
                  <w:tcW w:w="1244" w:type="dxa"/>
                  <w:tcBorders>
                    <w:top w:val="single" w:color="auto" w:sz="12"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有组织排放量t/a</w:t>
                  </w:r>
                </w:p>
              </w:tc>
              <w:tc>
                <w:tcPr>
                  <w:tcW w:w="1232" w:type="dxa"/>
                  <w:tcBorders>
                    <w:top w:val="single" w:color="auto" w:sz="12"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有组织排放浓度</w:t>
                  </w:r>
                </w:p>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mg/m</w:t>
                  </w:r>
                  <w:r>
                    <w:rPr>
                      <w:b/>
                      <w:color w:val="000000" w:themeColor="text1"/>
                      <w:kern w:val="0"/>
                      <w:vertAlign w:val="superscript"/>
                      <w14:textFill>
                        <w14:solidFill>
                          <w14:schemeClr w14:val="tx1"/>
                        </w14:solidFill>
                      </w14:textFill>
                    </w:rPr>
                    <w:t>3</w:t>
                  </w:r>
                </w:p>
              </w:tc>
              <w:tc>
                <w:tcPr>
                  <w:tcW w:w="1065" w:type="dxa"/>
                  <w:tcBorders>
                    <w:top w:val="single" w:color="auto" w:sz="12" w:space="0"/>
                  </w:tcBorders>
                  <w:vAlign w:val="center"/>
                </w:tcPr>
                <w:p>
                  <w:pPr>
                    <w:widowControl/>
                    <w:snapToGrid w:val="0"/>
                    <w:spacing w:line="320" w:lineRule="exact"/>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排放速率</w:t>
                  </w:r>
                  <w:r>
                    <w:rPr>
                      <w:b/>
                      <w:color w:val="000000" w:themeColor="text1"/>
                      <w14:textFill>
                        <w14:solidFill>
                          <w14:schemeClr w14:val="tx1"/>
                        </w14:solidFill>
                      </w14:textFill>
                    </w:rPr>
                    <w:t>kg/</w:t>
                  </w:r>
                  <w:r>
                    <w:rPr>
                      <w:b/>
                      <w:color w:val="000000" w:themeColor="text1"/>
                      <w:kern w:val="0"/>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426" w:type="dxa"/>
                  <w:vMerge w:val="restart"/>
                  <w:tcBorders>
                    <w:top w:val="single" w:color="auto" w:sz="4" w:space="0"/>
                    <w:left w:val="nil"/>
                    <w:right w:val="single" w:color="auto" w:sz="4" w:space="0"/>
                  </w:tcBorders>
                  <w:vAlign w:val="center"/>
                </w:tcPr>
                <w:p>
                  <w:pPr>
                    <w:snapToGrid w:val="0"/>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喷漆及晾干</w:t>
                  </w:r>
                </w:p>
              </w:tc>
              <w:tc>
                <w:tcPr>
                  <w:tcW w:w="426" w:type="dxa"/>
                  <w:vMerge w:val="restart"/>
                  <w:tcBorders>
                    <w:top w:val="single" w:color="auto" w:sz="4" w:space="0"/>
                    <w:left w:val="single" w:color="auto" w:sz="4" w:space="0"/>
                  </w:tcBorders>
                  <w:vAlign w:val="center"/>
                </w:tcPr>
                <w:p>
                  <w:pPr>
                    <w:snapToGrid w:val="0"/>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油</w:t>
                  </w:r>
                </w:p>
                <w:p>
                  <w:pPr>
                    <w:snapToGrid w:val="0"/>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漆</w:t>
                  </w:r>
                </w:p>
              </w:tc>
              <w:tc>
                <w:tcPr>
                  <w:tcW w:w="1788" w:type="dxa"/>
                  <w:gridSpan w:val="2"/>
                  <w:tcBorders>
                    <w:top w:val="single" w:color="auto" w:sz="4" w:space="0"/>
                    <w:bottom w:val="single" w:color="auto" w:sz="6" w:space="0"/>
                  </w:tcBorders>
                  <w:vAlign w:val="center"/>
                </w:tcPr>
                <w:p>
                  <w:pPr>
                    <w:spacing w:line="320" w:lineRule="exact"/>
                    <w:jc w:val="center"/>
                    <w:rPr>
                      <w:color w:val="000000" w:themeColor="text1"/>
                      <w14:textFill>
                        <w14:solidFill>
                          <w14:schemeClr w14:val="tx1"/>
                        </w14:solidFill>
                      </w14:textFill>
                    </w:rPr>
                  </w:pPr>
                  <w:r>
                    <w:rPr>
                      <w:color w:val="000000" w:themeColor="text1"/>
                      <w:kern w:val="0"/>
                      <w14:textFill>
                        <w14:solidFill>
                          <w14:schemeClr w14:val="tx1"/>
                        </w14:solidFill>
                      </w14:textFill>
                    </w:rPr>
                    <w:t>漆雾</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1.44</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1.368</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0.1368</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1.9</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0.456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426" w:type="dxa"/>
                  <w:vMerge w:val="continue"/>
                  <w:tcBorders>
                    <w:left w:val="nil"/>
                    <w:right w:val="single" w:color="auto" w:sz="4" w:space="0"/>
                  </w:tcBorders>
                  <w:vAlign w:val="center"/>
                </w:tcPr>
                <w:p>
                  <w:pPr>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snapToGrid w:val="0"/>
                    <w:spacing w:line="320" w:lineRule="exact"/>
                    <w:jc w:val="center"/>
                    <w:rPr>
                      <w:color w:val="000000" w:themeColor="text1"/>
                      <w:kern w:val="0"/>
                      <w14:textFill>
                        <w14:solidFill>
                          <w14:schemeClr w14:val="tx1"/>
                        </w14:solidFill>
                      </w14:textFill>
                    </w:rPr>
                  </w:pPr>
                </w:p>
              </w:tc>
              <w:tc>
                <w:tcPr>
                  <w:tcW w:w="426" w:type="dxa"/>
                  <w:vMerge w:val="restart"/>
                  <w:tcBorders>
                    <w:top w:val="single" w:color="auto" w:sz="6" w:space="0"/>
                    <w:right w:val="single" w:color="auto" w:sz="4" w:space="0"/>
                  </w:tcBorders>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喷漆</w:t>
                  </w:r>
                </w:p>
              </w:tc>
              <w:tc>
                <w:tcPr>
                  <w:tcW w:w="1362" w:type="dxa"/>
                  <w:tcBorders>
                    <w:top w:val="single" w:color="auto" w:sz="6" w:space="0"/>
                    <w:left w:val="single" w:color="auto" w:sz="4" w:space="0"/>
                    <w:bottom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非甲烷总烃</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2.736</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2.5992</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0.3899</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5.42</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1.2997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13" w:hRule="atLeast"/>
                <w:jc w:val="center"/>
              </w:trPr>
              <w:tc>
                <w:tcPr>
                  <w:tcW w:w="426" w:type="dxa"/>
                  <w:vMerge w:val="continue"/>
                  <w:tcBorders>
                    <w:left w:val="nil"/>
                    <w:righ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widowControl/>
                    <w:jc w:val="left"/>
                    <w:rPr>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甲苯+乙苯</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0.0774</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0.0735</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0.0117</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0.1596</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0.0373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widowControl/>
                    <w:jc w:val="left"/>
                    <w:rPr>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0.1554</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0.1476</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0.023</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0.32</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restart"/>
                  <w:tcBorders>
                    <w:top w:val="single" w:color="auto" w:sz="4" w:space="0"/>
                    <w:right w:val="single" w:color="auto" w:sz="4" w:space="0"/>
                  </w:tcBorders>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晾干</w:t>
                  </w:r>
                </w:p>
              </w:tc>
              <w:tc>
                <w:tcPr>
                  <w:tcW w:w="1362" w:type="dxa"/>
                  <w:tcBorders>
                    <w:top w:val="single" w:color="auto" w:sz="4" w:space="0"/>
                    <w:left w:val="single" w:color="auto" w:sz="4" w:space="0"/>
                    <w:bottom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非甲烷总烃</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1.824</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1.7328</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0.26</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3.62</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0.867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widowControl/>
                    <w:jc w:val="left"/>
                    <w:rPr>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甲苯+乙苯</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0.0516</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0.0489</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0.0075</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0.107</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0.0255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426" w:type="dxa"/>
                  <w:vMerge w:val="continue"/>
                  <w:tcBorders>
                    <w:left w:val="nil"/>
                    <w:bottom w:val="single" w:color="auto" w:sz="4" w:space="0"/>
                    <w:right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left w:val="single" w:color="auto" w:sz="4" w:space="0"/>
                    <w:bottom w:val="single" w:color="auto" w:sz="4" w:space="0"/>
                  </w:tcBorders>
                  <w:vAlign w:val="center"/>
                </w:tcPr>
                <w:p>
                  <w:pPr>
                    <w:widowControl/>
                    <w:snapToGrid w:val="0"/>
                    <w:spacing w:line="320" w:lineRule="exact"/>
                    <w:jc w:val="center"/>
                    <w:rPr>
                      <w:color w:val="000000" w:themeColor="text1"/>
                      <w:kern w:val="0"/>
                      <w14:textFill>
                        <w14:solidFill>
                          <w14:schemeClr w14:val="tx1"/>
                        </w14:solidFill>
                      </w14:textFill>
                    </w:rPr>
                  </w:pPr>
                </w:p>
              </w:tc>
              <w:tc>
                <w:tcPr>
                  <w:tcW w:w="426" w:type="dxa"/>
                  <w:vMerge w:val="continue"/>
                  <w:tcBorders>
                    <w:bottom w:val="single" w:color="auto" w:sz="4" w:space="0"/>
                    <w:right w:val="single" w:color="auto" w:sz="4" w:space="0"/>
                  </w:tcBorders>
                  <w:vAlign w:val="center"/>
                </w:tcPr>
                <w:p>
                  <w:pPr>
                    <w:widowControl/>
                    <w:jc w:val="left"/>
                    <w:rPr>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359" w:type="dxa"/>
                  <w:tcBorders>
                    <w:right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0.1036</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0.0984</w:t>
                  </w:r>
                </w:p>
              </w:tc>
              <w:tc>
                <w:tcPr>
                  <w:tcW w:w="1244"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0.015</w:t>
                  </w:r>
                </w:p>
              </w:tc>
              <w:tc>
                <w:tcPr>
                  <w:tcW w:w="123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0.21</w:t>
                  </w:r>
                </w:p>
              </w:tc>
              <w:tc>
                <w:tcPr>
                  <w:tcW w:w="1065"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w:t>
                  </w:r>
                </w:p>
              </w:tc>
            </w:tr>
          </w:tbl>
          <w:p>
            <w:pPr>
              <w:pStyle w:val="3"/>
              <w:spacing w:after="0" w:line="520" w:lineRule="exact"/>
              <w:ind w:leftChars="0"/>
              <w:jc w:val="left"/>
              <w:rPr>
                <w:rFonts w:ascii="Times New Roman" w:hAnsi="Times New Roman"/>
                <w:b/>
                <w:sz w:val="24"/>
                <w:szCs w:val="20"/>
              </w:rPr>
            </w:pPr>
            <w:r>
              <w:rPr>
                <w:rFonts w:ascii="Times New Roman" w:hAnsi="Times New Roman"/>
                <w:b/>
                <w:sz w:val="24"/>
                <w:szCs w:val="20"/>
              </w:rPr>
              <w:t>2、废水</w:t>
            </w:r>
          </w:p>
          <w:p>
            <w:pPr>
              <w:spacing w:line="520" w:lineRule="exact"/>
              <w:ind w:firstLine="480" w:firstLineChars="200"/>
              <w:rPr>
                <w:sz w:val="24"/>
              </w:rPr>
            </w:pPr>
            <w:r>
              <w:rPr>
                <w:sz w:val="24"/>
              </w:rPr>
              <w:t>项目运营期产生的废水主要为清洗废水和员工生活污水。</w:t>
            </w:r>
          </w:p>
          <w:p>
            <w:pPr>
              <w:spacing w:line="520" w:lineRule="exact"/>
              <w:ind w:firstLine="480" w:firstLineChars="200"/>
              <w:rPr>
                <w:sz w:val="24"/>
              </w:rPr>
            </w:pPr>
            <w:r>
              <w:rPr>
                <w:sz w:val="24"/>
              </w:rPr>
              <w:t>（1）生活污水</w:t>
            </w:r>
          </w:p>
          <w:p>
            <w:pPr>
              <w:spacing w:line="520" w:lineRule="exact"/>
              <w:ind w:firstLine="480" w:firstLineChars="200"/>
              <w:rPr>
                <w:sz w:val="24"/>
              </w:rPr>
            </w:pPr>
            <w:r>
              <w:rPr>
                <w:sz w:val="24"/>
              </w:rPr>
              <w:t>项目原有定员54人，不涉及食宿，本次改建不新增人员。依据《陕西省行业用水定额》，生活用水按每人每天35L计，设值班人员1人，用水按每人每天110L计，全年生产365天，则生活用水量为717.225m</w:t>
            </w:r>
            <w:r>
              <w:rPr>
                <w:sz w:val="24"/>
                <w:vertAlign w:val="superscript"/>
              </w:rPr>
              <w:t>3</w:t>
            </w:r>
            <w:r>
              <w:rPr>
                <w:sz w:val="24"/>
              </w:rPr>
              <w:t>/a（1.965m</w:t>
            </w:r>
            <w:r>
              <w:rPr>
                <w:sz w:val="24"/>
                <w:vertAlign w:val="superscript"/>
              </w:rPr>
              <w:t>3</w:t>
            </w:r>
            <w:r>
              <w:rPr>
                <w:sz w:val="24"/>
              </w:rPr>
              <w:t>/d），产污系数按0.8计，废水产生量为573.78m</w:t>
            </w:r>
            <w:r>
              <w:rPr>
                <w:sz w:val="24"/>
                <w:vertAlign w:val="superscript"/>
              </w:rPr>
              <w:t>3</w:t>
            </w:r>
            <w:r>
              <w:rPr>
                <w:sz w:val="24"/>
              </w:rPr>
              <w:t>/a（1.572m</w:t>
            </w:r>
            <w:r>
              <w:rPr>
                <w:sz w:val="24"/>
                <w:vertAlign w:val="superscript"/>
              </w:rPr>
              <w:t>3</w:t>
            </w:r>
            <w:r>
              <w:rPr>
                <w:sz w:val="24"/>
              </w:rPr>
              <w:t xml:space="preserve">/d），生活污水经现有化粪池预处理后，进入咸阳机场污水处理厂。 </w:t>
            </w:r>
          </w:p>
          <w:p>
            <w:pPr>
              <w:spacing w:line="520" w:lineRule="exact"/>
              <w:ind w:firstLine="480" w:firstLineChars="200"/>
              <w:rPr>
                <w:sz w:val="24"/>
              </w:rPr>
            </w:pPr>
            <w:r>
              <w:rPr>
                <w:sz w:val="24"/>
              </w:rPr>
              <w:t>（2）清洗废水</w:t>
            </w:r>
          </w:p>
          <w:p>
            <w:pPr>
              <w:spacing w:line="520" w:lineRule="exact"/>
              <w:ind w:firstLine="480" w:firstLineChars="200"/>
              <w:rPr>
                <w:color w:val="000000" w:themeColor="text1"/>
                <w:sz w:val="24"/>
                <w14:textFill>
                  <w14:solidFill>
                    <w14:schemeClr w14:val="tx1"/>
                  </w14:solidFill>
                </w14:textFill>
              </w:rPr>
            </w:pPr>
            <w:r>
              <w:rPr>
                <w:sz w:val="24"/>
              </w:rPr>
              <w:t>飞机维修过程产生清洗废水，主要包括零部件清洗、机身清洗、打磨清洗以及车间清洗产生的废水，其污水特征污染物主要为清洗剂、洗掉的灰尘和油污，清洗剂选用工业清洗剂，清洗剂的主要成分为表面活性剂和水，清洗废水的主要污染因子为石油类、LAS、COD、SS。根据生产经验，每架飞机清洗使用水量约为2m</w:t>
            </w:r>
            <w:r>
              <w:rPr>
                <w:sz w:val="24"/>
                <w:vertAlign w:val="superscript"/>
              </w:rPr>
              <w:t>3</w:t>
            </w:r>
            <w:r>
              <w:rPr>
                <w:sz w:val="24"/>
              </w:rPr>
              <w:t>/架次，废水产生量按0.9计，则产生的污水约为1.8m</w:t>
            </w:r>
            <w:r>
              <w:rPr>
                <w:sz w:val="24"/>
                <w:vertAlign w:val="superscript"/>
              </w:rPr>
              <w:t>3</w:t>
            </w:r>
            <w:r>
              <w:rPr>
                <w:sz w:val="24"/>
              </w:rPr>
              <w:t>/架次，</w:t>
            </w:r>
            <w:r>
              <w:rPr>
                <w:rFonts w:hint="eastAsia"/>
                <w:sz w:val="24"/>
              </w:rPr>
              <w:t>仅在喷漆工作室对飞机进行清洗，维修工作无需清洗飞机，</w:t>
            </w:r>
            <w:r>
              <w:rPr>
                <w:sz w:val="24"/>
              </w:rPr>
              <w:t>则清洗废水产生量为</w:t>
            </w:r>
            <w:r>
              <w:rPr>
                <w:rFonts w:hint="eastAsia"/>
                <w:sz w:val="24"/>
              </w:rPr>
              <w:t>32.4</w:t>
            </w:r>
            <w:r>
              <w:rPr>
                <w:sz w:val="24"/>
              </w:rPr>
              <w:t>m</w:t>
            </w:r>
            <w:r>
              <w:rPr>
                <w:sz w:val="24"/>
                <w:vertAlign w:val="superscript"/>
              </w:rPr>
              <w:t>3</w:t>
            </w:r>
            <w:r>
              <w:rPr>
                <w:sz w:val="24"/>
              </w:rPr>
              <w:t>/a（</w:t>
            </w:r>
            <w:r>
              <w:rPr>
                <w:rFonts w:hint="eastAsia"/>
                <w:sz w:val="24"/>
              </w:rPr>
              <w:t>0.089</w:t>
            </w:r>
            <w:r>
              <w:rPr>
                <w:sz w:val="24"/>
              </w:rPr>
              <w:t>m</w:t>
            </w:r>
            <w:r>
              <w:rPr>
                <w:sz w:val="24"/>
                <w:vertAlign w:val="superscript"/>
              </w:rPr>
              <w:t>3</w:t>
            </w:r>
            <w:r>
              <w:rPr>
                <w:sz w:val="24"/>
              </w:rPr>
              <w:t>/d）。清洗废水经水泵抽至过滤桶，过滤桶内设过滤网，过滤棉放置</w:t>
            </w:r>
            <w:r>
              <w:rPr>
                <w:rFonts w:hint="eastAsia"/>
                <w:sz w:val="24"/>
              </w:rPr>
              <w:t>在</w:t>
            </w:r>
            <w:r>
              <w:rPr>
                <w:sz w:val="24"/>
              </w:rPr>
              <w:t>过滤网上，废水经过滤棉过滤</w:t>
            </w:r>
            <w:r>
              <w:rPr>
                <w:rFonts w:hint="eastAsia"/>
                <w:sz w:val="24"/>
              </w:rPr>
              <w:t>除去少量悬浮物后</w:t>
            </w:r>
            <w:r>
              <w:rPr>
                <w:sz w:val="24"/>
              </w:rPr>
              <w:t>通过管网排至咸阳机场污水处理厂。</w:t>
            </w:r>
          </w:p>
          <w:p>
            <w:pPr>
              <w:spacing w:line="520" w:lineRule="exact"/>
              <w:ind w:firstLine="480" w:firstLineChars="200"/>
              <w:rPr>
                <w:sz w:val="24"/>
              </w:rPr>
            </w:pPr>
            <w:r>
              <w:rPr>
                <w:sz w:val="24"/>
              </w:rPr>
              <w:t>本项目新鲜水用量为</w:t>
            </w:r>
            <w:r>
              <w:rPr>
                <w:rFonts w:hint="eastAsia"/>
                <w:sz w:val="24"/>
              </w:rPr>
              <w:t>7</w:t>
            </w:r>
            <w:r>
              <w:rPr>
                <w:sz w:val="24"/>
              </w:rPr>
              <w:t>53.225m</w:t>
            </w:r>
            <w:r>
              <w:rPr>
                <w:sz w:val="24"/>
                <w:vertAlign w:val="superscript"/>
              </w:rPr>
              <w:t>3</w:t>
            </w:r>
            <w:r>
              <w:rPr>
                <w:sz w:val="24"/>
              </w:rPr>
              <w:t>/a（</w:t>
            </w:r>
            <w:r>
              <w:rPr>
                <w:rFonts w:hint="eastAsia"/>
                <w:sz w:val="24"/>
              </w:rPr>
              <w:t>2.064</w:t>
            </w:r>
            <w:r>
              <w:rPr>
                <w:sz w:val="24"/>
              </w:rPr>
              <w:t>m</w:t>
            </w:r>
            <w:r>
              <w:rPr>
                <w:sz w:val="24"/>
                <w:vertAlign w:val="superscript"/>
              </w:rPr>
              <w:t>3</w:t>
            </w:r>
            <w:r>
              <w:rPr>
                <w:sz w:val="24"/>
              </w:rPr>
              <w:t>/d），废水产生量为</w:t>
            </w:r>
            <w:r>
              <w:rPr>
                <w:rFonts w:hint="eastAsia"/>
                <w:sz w:val="24"/>
              </w:rPr>
              <w:t>60</w:t>
            </w:r>
            <w:r>
              <w:rPr>
                <w:sz w:val="24"/>
              </w:rPr>
              <w:t>6.18m</w:t>
            </w:r>
            <w:r>
              <w:rPr>
                <w:sz w:val="24"/>
                <w:vertAlign w:val="superscript"/>
              </w:rPr>
              <w:t>3</w:t>
            </w:r>
            <w:r>
              <w:rPr>
                <w:sz w:val="24"/>
              </w:rPr>
              <w:t>/a（</w:t>
            </w:r>
            <w:r>
              <w:rPr>
                <w:rFonts w:hint="eastAsia"/>
                <w:sz w:val="24"/>
              </w:rPr>
              <w:t>1.661</w:t>
            </w:r>
            <w:r>
              <w:rPr>
                <w:sz w:val="24"/>
              </w:rPr>
              <w:t>m</w:t>
            </w:r>
            <w:r>
              <w:rPr>
                <w:sz w:val="24"/>
                <w:vertAlign w:val="superscript"/>
              </w:rPr>
              <w:t>3</w:t>
            </w:r>
            <w:r>
              <w:rPr>
                <w:sz w:val="24"/>
              </w:rPr>
              <w:t>/d）。根据刘芳等人《飞机退漆、洗机废水处理试验研究》（给水排水Vol.30NO.42004），并类比已报批项目《四川飞机维修工程有限公司飞机维修基地二期项目》和《天津飞机维修基地维修机库建设项目》等资料，确定本项目清洗废水的水质。项目废水产排情况如下表。</w:t>
            </w:r>
          </w:p>
          <w:p>
            <w:pPr>
              <w:pStyle w:val="17"/>
              <w:jc w:val="center"/>
              <w:rPr>
                <w:rFonts w:ascii="Times New Roman" w:hAnsi="Times New Roman" w:eastAsia="黑体" w:cs="Times New Roman"/>
                <w:sz w:val="24"/>
              </w:rPr>
            </w:pPr>
            <w:r>
              <w:rPr>
                <w:rFonts w:ascii="Times New Roman" w:hAnsi="Times New Roman" w:eastAsia="黑体" w:cs="Times New Roman"/>
                <w:sz w:val="24"/>
              </w:rPr>
              <w:t>表23  生活污水污染物产排情况一览表</w:t>
            </w:r>
          </w:p>
          <w:tbl>
            <w:tblPr>
              <w:tblStyle w:val="38"/>
              <w:tblW w:w="8775"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68"/>
              <w:gridCol w:w="1844"/>
              <w:gridCol w:w="611"/>
              <w:gridCol w:w="695"/>
              <w:gridCol w:w="702"/>
              <w:gridCol w:w="729"/>
              <w:gridCol w:w="851"/>
              <w:gridCol w:w="687"/>
              <w:gridCol w:w="847"/>
              <w:gridCol w:w="8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废水类别</w:t>
                  </w:r>
                </w:p>
              </w:tc>
              <w:tc>
                <w:tcPr>
                  <w:tcW w:w="1844" w:type="dxa"/>
                  <w:vMerge w:val="restart"/>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名称</w:t>
                  </w:r>
                </w:p>
              </w:tc>
              <w:tc>
                <w:tcPr>
                  <w:tcW w:w="5963" w:type="dxa"/>
                  <w:gridSpan w:val="8"/>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b/>
                      <w:color w:val="000000" w:themeColor="text1"/>
                      <w14:textFill>
                        <w14:solidFill>
                          <w14:schemeClr w14:val="tx1"/>
                        </w14:solidFill>
                      </w14:textFill>
                    </w:rPr>
                  </w:pPr>
                </w:p>
              </w:tc>
              <w:tc>
                <w:tcPr>
                  <w:tcW w:w="1844" w:type="dxa"/>
                  <w:vMerge w:val="continue"/>
                  <w:vAlign w:val="center"/>
                </w:tcPr>
                <w:p>
                  <w:pPr>
                    <w:pStyle w:val="86"/>
                    <w:rPr>
                      <w:b/>
                      <w:color w:val="000000" w:themeColor="text1"/>
                      <w14:textFill>
                        <w14:solidFill>
                          <w14:schemeClr w14:val="tx1"/>
                        </w14:solidFill>
                      </w14:textFill>
                    </w:rPr>
                  </w:pPr>
                </w:p>
              </w:tc>
              <w:tc>
                <w:tcPr>
                  <w:tcW w:w="611"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COD</w:t>
                  </w:r>
                </w:p>
              </w:tc>
              <w:tc>
                <w:tcPr>
                  <w:tcW w:w="695"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BOD</w:t>
                  </w:r>
                  <w:r>
                    <w:rPr>
                      <w:b/>
                      <w:color w:val="000000" w:themeColor="text1"/>
                      <w:vertAlign w:val="subscript"/>
                      <w14:textFill>
                        <w14:solidFill>
                          <w14:schemeClr w14:val="tx1"/>
                        </w14:solidFill>
                      </w14:textFill>
                    </w:rPr>
                    <w:t>5</w:t>
                  </w:r>
                </w:p>
              </w:tc>
              <w:tc>
                <w:tcPr>
                  <w:tcW w:w="702"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SS</w:t>
                  </w:r>
                </w:p>
              </w:tc>
              <w:tc>
                <w:tcPr>
                  <w:tcW w:w="729"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NH</w:t>
                  </w:r>
                  <w:r>
                    <w:rPr>
                      <w:b/>
                      <w:color w:val="000000" w:themeColor="text1"/>
                      <w:vertAlign w:val="subscript"/>
                      <w14:textFill>
                        <w14:solidFill>
                          <w14:schemeClr w14:val="tx1"/>
                        </w14:solidFill>
                      </w14:textFill>
                    </w:rPr>
                    <w:t>3</w:t>
                  </w:r>
                  <w:r>
                    <w:rPr>
                      <w:b/>
                      <w:color w:val="000000" w:themeColor="text1"/>
                      <w14:textFill>
                        <w14:solidFill>
                          <w14:schemeClr w14:val="tx1"/>
                        </w14:solidFill>
                      </w14:textFill>
                    </w:rPr>
                    <w:t>-N</w:t>
                  </w:r>
                </w:p>
              </w:tc>
              <w:tc>
                <w:tcPr>
                  <w:tcW w:w="851"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TP</w:t>
                  </w:r>
                </w:p>
              </w:tc>
              <w:tc>
                <w:tcPr>
                  <w:tcW w:w="687"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TN</w:t>
                  </w:r>
                </w:p>
              </w:tc>
              <w:tc>
                <w:tcPr>
                  <w:tcW w:w="847"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LAS</w:t>
                  </w:r>
                </w:p>
              </w:tc>
              <w:tc>
                <w:tcPr>
                  <w:tcW w:w="841" w:type="dxa"/>
                  <w:vAlign w:val="center"/>
                </w:tcPr>
                <w:p>
                  <w:pPr>
                    <w:pStyle w:val="86"/>
                    <w:rPr>
                      <w:b/>
                      <w:color w:val="000000" w:themeColor="text1"/>
                      <w14:textFill>
                        <w14:solidFill>
                          <w14:schemeClr w14:val="tx1"/>
                        </w14:solidFill>
                      </w14:textFill>
                    </w:rPr>
                  </w:pPr>
                  <w:r>
                    <w:rPr>
                      <w:b/>
                      <w:color w:val="000000" w:themeColor="text1"/>
                      <w14:textFill>
                        <w14:solidFill>
                          <w14:schemeClr w14:val="tx1"/>
                        </w14:solidFill>
                      </w14:textFill>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生活污水573.78m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产生浓度（mg/L）</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180</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120</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20</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highlight w:val="yellow"/>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污染物产生量（t/a）</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0.2</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0.11</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0.069</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0.012</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0.004</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0.018</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highlight w:val="yellow"/>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化粪池处理效率（%）</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15</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10</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highlight w:val="yellow"/>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处理后浓度（mg/L）</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298</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162</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84</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20</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highlight w:val="yellow"/>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处理后污染物排放量（t/a）</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0.17</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0.093</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0.049</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0.012</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0.004</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0.018</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清洗废水</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2.4m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产生浓度（mg/L）</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550</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25</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污染物产生量（t/a）</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018</w:t>
                  </w:r>
                </w:p>
              </w:tc>
              <w:tc>
                <w:tcPr>
                  <w:tcW w:w="69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w:t>
                  </w:r>
                </w:p>
              </w:tc>
              <w:tc>
                <w:tcPr>
                  <w:tcW w:w="702"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0.013</w:t>
                  </w:r>
                </w:p>
              </w:tc>
              <w:tc>
                <w:tcPr>
                  <w:tcW w:w="72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0.00081</w:t>
                  </w:r>
                </w:p>
              </w:tc>
              <w:tc>
                <w:tcPr>
                  <w:tcW w:w="85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0.00023</w:t>
                  </w:r>
                </w:p>
              </w:tc>
              <w:tc>
                <w:tcPr>
                  <w:tcW w:w="68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0.0012</w:t>
                  </w:r>
                </w:p>
              </w:tc>
              <w:tc>
                <w:tcPr>
                  <w:tcW w:w="84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4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过滤棉过滤效率（%）</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80</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处理后浓度（mg/L）</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550</w:t>
                  </w:r>
                </w:p>
              </w:tc>
              <w:tc>
                <w:tcPr>
                  <w:tcW w:w="69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702"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80</w:t>
                  </w:r>
                </w:p>
              </w:tc>
              <w:tc>
                <w:tcPr>
                  <w:tcW w:w="72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25</w:t>
                  </w:r>
                </w:p>
              </w:tc>
              <w:tc>
                <w:tcPr>
                  <w:tcW w:w="85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68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w:t>
                  </w:r>
                </w:p>
              </w:tc>
              <w:tc>
                <w:tcPr>
                  <w:tcW w:w="84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4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处理后污染物排放量（t/a）</w:t>
                  </w:r>
                </w:p>
              </w:tc>
              <w:tc>
                <w:tcPr>
                  <w:tcW w:w="611"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018</w:t>
                  </w:r>
                </w:p>
              </w:tc>
              <w:tc>
                <w:tcPr>
                  <w:tcW w:w="69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w:t>
                  </w:r>
                </w:p>
              </w:tc>
              <w:tc>
                <w:tcPr>
                  <w:tcW w:w="702"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0.0026</w:t>
                  </w:r>
                </w:p>
              </w:tc>
              <w:tc>
                <w:tcPr>
                  <w:tcW w:w="72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0.00081</w:t>
                  </w:r>
                </w:p>
              </w:tc>
              <w:tc>
                <w:tcPr>
                  <w:tcW w:w="85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0.00023</w:t>
                  </w:r>
                </w:p>
              </w:tc>
              <w:tc>
                <w:tcPr>
                  <w:tcW w:w="68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0.0012</w:t>
                  </w:r>
                </w:p>
              </w:tc>
              <w:tc>
                <w:tcPr>
                  <w:tcW w:w="84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4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合计</w:t>
                  </w:r>
                  <w:r>
                    <w:rPr>
                      <w:rFonts w:hint="eastAsia"/>
                      <w:color w:val="000000" w:themeColor="text1"/>
                      <w14:textFill>
                        <w14:solidFill>
                          <w14:schemeClr w14:val="tx1"/>
                        </w14:solidFill>
                      </w14:textFill>
                    </w:rPr>
                    <w:t>606</w:t>
                  </w:r>
                  <w:r>
                    <w:rPr>
                      <w:color w:val="000000" w:themeColor="text1"/>
                      <w14:textFill>
                        <w14:solidFill>
                          <w14:schemeClr w14:val="tx1"/>
                        </w14:solidFill>
                      </w14:textFill>
                    </w:rPr>
                    <w:t>.18</w:t>
                  </w:r>
                </w:p>
                <w:p>
                  <w:pPr>
                    <w:pStyle w:val="86"/>
                    <w:rPr>
                      <w:color w:val="000000" w:themeColor="text1"/>
                      <w14:textFill>
                        <w14:solidFill>
                          <w14:schemeClr w14:val="tx1"/>
                        </w14:solidFill>
                      </w14:textFill>
                    </w:rPr>
                  </w:pP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产生浓度（mg/L）</w:t>
                  </w:r>
                </w:p>
              </w:tc>
              <w:tc>
                <w:tcPr>
                  <w:tcW w:w="61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311</w:t>
                  </w:r>
                </w:p>
              </w:tc>
              <w:tc>
                <w:tcPr>
                  <w:tcW w:w="69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174</w:t>
                  </w:r>
                </w:p>
              </w:tc>
              <w:tc>
                <w:tcPr>
                  <w:tcW w:w="702"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86</w:t>
                  </w:r>
                </w:p>
              </w:tc>
              <w:tc>
                <w:tcPr>
                  <w:tcW w:w="72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85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68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84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841" w:type="dxa"/>
                  <w:vAlign w:val="center"/>
                </w:tcPr>
                <w:p>
                  <w:pPr>
                    <w:pStyle w:val="86"/>
                  </w:pPr>
                  <w:r>
                    <w:rPr>
                      <w:rFonts w:hint="eastAsi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color w:val="000000" w:themeColor="text1"/>
                      <w:highlight w:val="yellow"/>
                      <w14:textFill>
                        <w14:solidFill>
                          <w14:schemeClr w14:val="tx1"/>
                        </w14:solidFill>
                      </w14:textFill>
                    </w:rPr>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污染物产生量（t/a）</w:t>
                  </w:r>
                </w:p>
              </w:tc>
              <w:tc>
                <w:tcPr>
                  <w:tcW w:w="61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0.188</w:t>
                  </w:r>
                </w:p>
              </w:tc>
              <w:tc>
                <w:tcPr>
                  <w:tcW w:w="69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0.105</w:t>
                  </w:r>
                </w:p>
              </w:tc>
              <w:tc>
                <w:tcPr>
                  <w:tcW w:w="702"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0.0516</w:t>
                  </w:r>
                </w:p>
              </w:tc>
              <w:tc>
                <w:tcPr>
                  <w:tcW w:w="72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0.01281</w:t>
                  </w:r>
                </w:p>
              </w:tc>
              <w:tc>
                <w:tcPr>
                  <w:tcW w:w="85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0.00423</w:t>
                  </w:r>
                </w:p>
              </w:tc>
              <w:tc>
                <w:tcPr>
                  <w:tcW w:w="68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0.0192</w:t>
                  </w:r>
                </w:p>
              </w:tc>
              <w:tc>
                <w:tcPr>
                  <w:tcW w:w="84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41"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0.00065</w:t>
                  </w:r>
                </w:p>
              </w:tc>
            </w:tr>
          </w:tbl>
          <w:p>
            <w:pPr>
              <w:adjustRightInd w:val="0"/>
              <w:snapToGrid w:val="0"/>
              <w:spacing w:before="156" w:beforeLines="50" w:line="360" w:lineRule="auto"/>
              <w:ind w:firstLine="480" w:firstLineChars="200"/>
              <w:rPr>
                <w:sz w:val="24"/>
              </w:rPr>
            </w:pPr>
            <w:r>
              <w:rPr>
                <w:sz w:val="24"/>
              </w:rPr>
              <w:t>项目水平衡见下图。</w:t>
            </w:r>
          </w:p>
          <w:p>
            <w:pPr>
              <w:adjustRightInd w:val="0"/>
              <w:snapToGrid w:val="0"/>
              <w:spacing w:before="156" w:beforeLines="50" w:line="360" w:lineRule="auto"/>
              <w:jc w:val="center"/>
              <w:rPr>
                <w:sz w:val="24"/>
              </w:rPr>
            </w:pPr>
            <w:r>
              <w:rPr>
                <w:sz w:val="24"/>
              </w:rPr>
              <w:drawing>
                <wp:inline distT="0" distB="0" distL="0" distR="0">
                  <wp:extent cx="4524375" cy="104838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4593942" cy="1064807"/>
                          </a:xfrm>
                          <a:prstGeom prst="rect">
                            <a:avLst/>
                          </a:prstGeom>
                        </pic:spPr>
                      </pic:pic>
                    </a:graphicData>
                  </a:graphic>
                </wp:inline>
              </w:drawing>
            </w:r>
          </w:p>
          <w:p>
            <w:pPr>
              <w:adjustRightInd w:val="0"/>
              <w:snapToGrid w:val="0"/>
              <w:jc w:val="center"/>
              <w:rPr>
                <w:rFonts w:eastAsia="黑体"/>
                <w:sz w:val="24"/>
              </w:rPr>
            </w:pPr>
            <w:r>
              <w:rPr>
                <w:rFonts w:eastAsia="黑体"/>
                <w:sz w:val="24"/>
              </w:rPr>
              <w:t>图4    项目水量平衡图（单位：m</w:t>
            </w:r>
            <w:r>
              <w:rPr>
                <w:rFonts w:eastAsia="黑体"/>
                <w:sz w:val="24"/>
                <w:vertAlign w:val="superscript"/>
              </w:rPr>
              <w:t>3</w:t>
            </w:r>
            <w:r>
              <w:rPr>
                <w:rFonts w:eastAsia="黑体"/>
                <w:sz w:val="24"/>
              </w:rPr>
              <w:t>/d）</w:t>
            </w:r>
          </w:p>
          <w:p>
            <w:pPr>
              <w:pStyle w:val="3"/>
              <w:spacing w:after="0" w:line="520" w:lineRule="exact"/>
              <w:ind w:left="0" w:leftChars="0" w:firstLine="482" w:firstLineChars="200"/>
              <w:jc w:val="left"/>
              <w:rPr>
                <w:rFonts w:ascii="Times New Roman" w:hAnsi="Times New Roman"/>
                <w:b/>
                <w:sz w:val="24"/>
                <w:szCs w:val="20"/>
              </w:rPr>
            </w:pPr>
            <w:r>
              <w:rPr>
                <w:rFonts w:ascii="Times New Roman" w:hAnsi="Times New Roman"/>
                <w:b/>
                <w:sz w:val="24"/>
                <w:szCs w:val="20"/>
              </w:rPr>
              <w:t>3、噪声</w:t>
            </w:r>
          </w:p>
          <w:p>
            <w:pPr>
              <w:spacing w:line="520" w:lineRule="exact"/>
              <w:ind w:firstLine="480" w:firstLineChars="200"/>
              <w:rPr>
                <w:sz w:val="24"/>
              </w:rPr>
            </w:pPr>
            <w:r>
              <w:rPr>
                <w:sz w:val="24"/>
              </w:rPr>
              <w:t>本项目噪声源主要为打磨机、空压机、泵类、风机等设备运行时的噪声，噪声源强在70~90dB(A)之间。项目噪声设备源强见表24。</w:t>
            </w:r>
          </w:p>
          <w:p>
            <w:pPr>
              <w:pStyle w:val="17"/>
              <w:jc w:val="center"/>
              <w:rPr>
                <w:rFonts w:ascii="Times New Roman" w:hAnsi="Times New Roman" w:eastAsia="黑体" w:cs="Times New Roman"/>
                <w:sz w:val="24"/>
              </w:rPr>
            </w:pPr>
            <w:r>
              <w:rPr>
                <w:rFonts w:ascii="Times New Roman" w:hAnsi="Times New Roman" w:eastAsia="黑体" w:cs="Times New Roman"/>
                <w:sz w:val="24"/>
              </w:rPr>
              <w:t>表24   项目噪声污染源状况</w:t>
            </w:r>
          </w:p>
          <w:tbl>
            <w:tblPr>
              <w:tblStyle w:val="38"/>
              <w:tblW w:w="878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279"/>
              <w:gridCol w:w="2129"/>
              <w:gridCol w:w="1381"/>
              <w:gridCol w:w="1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rPr>
                      <w:b/>
                      <w:bCs/>
                    </w:rPr>
                  </w:pPr>
                  <w:r>
                    <w:rPr>
                      <w:b/>
                      <w:bCs/>
                    </w:rPr>
                    <w:t>序号</w:t>
                  </w:r>
                </w:p>
              </w:tc>
              <w:tc>
                <w:tcPr>
                  <w:tcW w:w="2279" w:type="dxa"/>
                  <w:vAlign w:val="center"/>
                </w:tcPr>
                <w:p>
                  <w:pPr>
                    <w:spacing w:line="320" w:lineRule="exact"/>
                    <w:jc w:val="center"/>
                    <w:rPr>
                      <w:b/>
                      <w:bCs/>
                    </w:rPr>
                  </w:pPr>
                  <w:r>
                    <w:rPr>
                      <w:b/>
                      <w:bCs/>
                    </w:rPr>
                    <w:t>设备噪声</w:t>
                  </w:r>
                </w:p>
              </w:tc>
              <w:tc>
                <w:tcPr>
                  <w:tcW w:w="2129" w:type="dxa"/>
                  <w:vAlign w:val="center"/>
                </w:tcPr>
                <w:p>
                  <w:pPr>
                    <w:spacing w:line="320" w:lineRule="exact"/>
                    <w:jc w:val="center"/>
                    <w:rPr>
                      <w:b/>
                      <w:bCs/>
                    </w:rPr>
                  </w:pPr>
                  <w:r>
                    <w:rPr>
                      <w:b/>
                      <w:bCs/>
                    </w:rPr>
                    <w:t>噪声值dB(A)</w:t>
                  </w:r>
                </w:p>
              </w:tc>
              <w:tc>
                <w:tcPr>
                  <w:tcW w:w="1381" w:type="dxa"/>
                  <w:vAlign w:val="center"/>
                </w:tcPr>
                <w:p>
                  <w:pPr>
                    <w:spacing w:line="320" w:lineRule="exact"/>
                    <w:jc w:val="center"/>
                    <w:rPr>
                      <w:b/>
                      <w:bCs/>
                    </w:rPr>
                  </w:pPr>
                  <w:r>
                    <w:rPr>
                      <w:b/>
                      <w:bCs/>
                    </w:rPr>
                    <w:t>数量</w:t>
                  </w:r>
                </w:p>
              </w:tc>
              <w:tc>
                <w:tcPr>
                  <w:tcW w:w="1748" w:type="dxa"/>
                  <w:vAlign w:val="center"/>
                </w:tcPr>
                <w:p>
                  <w:pPr>
                    <w:spacing w:line="320" w:lineRule="exact"/>
                    <w:jc w:val="center"/>
                    <w:rPr>
                      <w:b/>
                      <w:bCs/>
                    </w:rPr>
                  </w:pPr>
                  <w:r>
                    <w:rPr>
                      <w:b/>
                      <w:bCs/>
                    </w:rPr>
                    <w:t>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1247" w:type="dxa"/>
                  <w:vAlign w:val="center"/>
                </w:tcPr>
                <w:p>
                  <w:pPr>
                    <w:spacing w:line="320" w:lineRule="exact"/>
                    <w:jc w:val="center"/>
                  </w:pPr>
                  <w:r>
                    <w:t>1</w:t>
                  </w:r>
                </w:p>
              </w:tc>
              <w:tc>
                <w:tcPr>
                  <w:tcW w:w="2279" w:type="dxa"/>
                  <w:vAlign w:val="center"/>
                </w:tcPr>
                <w:p>
                  <w:pPr>
                    <w:jc w:val="center"/>
                    <w:rPr>
                      <w:kern w:val="0"/>
                    </w:rPr>
                  </w:pPr>
                  <w:r>
                    <w:rPr>
                      <w:kern w:val="0"/>
                    </w:rPr>
                    <w:t>打磨机</w:t>
                  </w:r>
                </w:p>
              </w:tc>
              <w:tc>
                <w:tcPr>
                  <w:tcW w:w="2129" w:type="dxa"/>
                  <w:vAlign w:val="center"/>
                </w:tcPr>
                <w:p>
                  <w:pPr>
                    <w:spacing w:line="320" w:lineRule="exact"/>
                    <w:jc w:val="center"/>
                  </w:pPr>
                  <w:r>
                    <w:t>70</w:t>
                  </w:r>
                </w:p>
              </w:tc>
              <w:tc>
                <w:tcPr>
                  <w:tcW w:w="1381" w:type="dxa"/>
                  <w:vAlign w:val="center"/>
                </w:tcPr>
                <w:p>
                  <w:pPr>
                    <w:jc w:val="center"/>
                    <w:rPr>
                      <w:kern w:val="0"/>
                    </w:rPr>
                  </w:pPr>
                  <w:r>
                    <w:rPr>
                      <w:kern w:val="0"/>
                    </w:rPr>
                    <w:t>30台</w:t>
                  </w:r>
                </w:p>
              </w:tc>
              <w:tc>
                <w:tcPr>
                  <w:tcW w:w="1748" w:type="dxa"/>
                  <w:vMerge w:val="restart"/>
                  <w:vAlign w:val="center"/>
                </w:tcPr>
                <w:p>
                  <w:pPr>
                    <w:spacing w:line="320" w:lineRule="exact"/>
                    <w:jc w:val="center"/>
                  </w:pPr>
                  <w:r>
                    <w:t>采用基础减振、建筑隔声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2</w:t>
                  </w:r>
                </w:p>
              </w:tc>
              <w:tc>
                <w:tcPr>
                  <w:tcW w:w="2279" w:type="dxa"/>
                  <w:vAlign w:val="center"/>
                </w:tcPr>
                <w:p>
                  <w:pPr>
                    <w:jc w:val="center"/>
                    <w:rPr>
                      <w:kern w:val="0"/>
                    </w:rPr>
                  </w:pPr>
                  <w:r>
                    <w:rPr>
                      <w:kern w:val="0"/>
                    </w:rPr>
                    <w:t>喷枪</w:t>
                  </w:r>
                </w:p>
              </w:tc>
              <w:tc>
                <w:tcPr>
                  <w:tcW w:w="2129" w:type="dxa"/>
                  <w:vAlign w:val="center"/>
                </w:tcPr>
                <w:p>
                  <w:pPr>
                    <w:spacing w:line="320" w:lineRule="exact"/>
                    <w:jc w:val="center"/>
                  </w:pPr>
                  <w:r>
                    <w:t>70</w:t>
                  </w:r>
                </w:p>
              </w:tc>
              <w:tc>
                <w:tcPr>
                  <w:tcW w:w="1381" w:type="dxa"/>
                  <w:vAlign w:val="center"/>
                </w:tcPr>
                <w:p>
                  <w:pPr>
                    <w:jc w:val="center"/>
                  </w:pPr>
                  <w:r>
                    <w:rPr>
                      <w:kern w:val="0"/>
                    </w:rPr>
                    <w:t>6台</w:t>
                  </w:r>
                </w:p>
              </w:tc>
              <w:tc>
                <w:tcPr>
                  <w:tcW w:w="1748"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3</w:t>
                  </w:r>
                </w:p>
              </w:tc>
              <w:tc>
                <w:tcPr>
                  <w:tcW w:w="2279" w:type="dxa"/>
                  <w:vAlign w:val="center"/>
                </w:tcPr>
                <w:p>
                  <w:pPr>
                    <w:jc w:val="center"/>
                  </w:pPr>
                  <w:r>
                    <w:t>风机</w:t>
                  </w:r>
                </w:p>
              </w:tc>
              <w:tc>
                <w:tcPr>
                  <w:tcW w:w="2129" w:type="dxa"/>
                  <w:vAlign w:val="center"/>
                </w:tcPr>
                <w:p>
                  <w:pPr>
                    <w:spacing w:line="320" w:lineRule="exact"/>
                    <w:jc w:val="center"/>
                  </w:pPr>
                  <w:r>
                    <w:t>90</w:t>
                  </w:r>
                </w:p>
              </w:tc>
              <w:tc>
                <w:tcPr>
                  <w:tcW w:w="1381" w:type="dxa"/>
                  <w:vAlign w:val="center"/>
                </w:tcPr>
                <w:p>
                  <w:pPr>
                    <w:jc w:val="center"/>
                  </w:pPr>
                  <w:r>
                    <w:rPr>
                      <w:rFonts w:hint="eastAsia"/>
                      <w:kern w:val="0"/>
                    </w:rPr>
                    <w:t>6</w:t>
                  </w:r>
                  <w:r>
                    <w:rPr>
                      <w:kern w:val="0"/>
                    </w:rPr>
                    <w:t>台</w:t>
                  </w:r>
                </w:p>
              </w:tc>
              <w:tc>
                <w:tcPr>
                  <w:tcW w:w="1748"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4</w:t>
                  </w:r>
                </w:p>
              </w:tc>
              <w:tc>
                <w:tcPr>
                  <w:tcW w:w="2279" w:type="dxa"/>
                  <w:vAlign w:val="center"/>
                </w:tcPr>
                <w:p>
                  <w:pPr>
                    <w:widowControl/>
                    <w:jc w:val="center"/>
                    <w:rPr>
                      <w:kern w:val="0"/>
                    </w:rPr>
                  </w:pPr>
                  <w:r>
                    <w:rPr>
                      <w:kern w:val="0"/>
                    </w:rPr>
                    <w:t>空压机</w:t>
                  </w:r>
                </w:p>
              </w:tc>
              <w:tc>
                <w:tcPr>
                  <w:tcW w:w="2129" w:type="dxa"/>
                  <w:vAlign w:val="center"/>
                </w:tcPr>
                <w:p>
                  <w:pPr>
                    <w:jc w:val="center"/>
                  </w:pPr>
                  <w:r>
                    <w:t>90</w:t>
                  </w:r>
                </w:p>
              </w:tc>
              <w:tc>
                <w:tcPr>
                  <w:tcW w:w="1381" w:type="dxa"/>
                  <w:vAlign w:val="center"/>
                </w:tcPr>
                <w:p>
                  <w:pPr>
                    <w:widowControl/>
                    <w:jc w:val="center"/>
                    <w:rPr>
                      <w:kern w:val="0"/>
                    </w:rPr>
                  </w:pPr>
                  <w:r>
                    <w:rPr>
                      <w:kern w:val="0"/>
                    </w:rPr>
                    <w:t>1台</w:t>
                  </w:r>
                </w:p>
              </w:tc>
              <w:tc>
                <w:tcPr>
                  <w:tcW w:w="1748"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5</w:t>
                  </w:r>
                </w:p>
              </w:tc>
              <w:tc>
                <w:tcPr>
                  <w:tcW w:w="2279" w:type="dxa"/>
                  <w:vAlign w:val="center"/>
                </w:tcPr>
                <w:p>
                  <w:pPr>
                    <w:widowControl/>
                    <w:jc w:val="center"/>
                    <w:rPr>
                      <w:kern w:val="0"/>
                    </w:rPr>
                  </w:pPr>
                  <w:r>
                    <w:rPr>
                      <w:kern w:val="0"/>
                    </w:rPr>
                    <w:t>压力泵</w:t>
                  </w:r>
                </w:p>
              </w:tc>
              <w:tc>
                <w:tcPr>
                  <w:tcW w:w="2129" w:type="dxa"/>
                  <w:vAlign w:val="center"/>
                </w:tcPr>
                <w:p>
                  <w:pPr>
                    <w:jc w:val="center"/>
                  </w:pPr>
                  <w:r>
                    <w:t>75</w:t>
                  </w:r>
                </w:p>
              </w:tc>
              <w:tc>
                <w:tcPr>
                  <w:tcW w:w="1381" w:type="dxa"/>
                  <w:vAlign w:val="center"/>
                </w:tcPr>
                <w:p>
                  <w:pPr>
                    <w:widowControl/>
                    <w:jc w:val="center"/>
                    <w:rPr>
                      <w:kern w:val="0"/>
                    </w:rPr>
                  </w:pPr>
                  <w:r>
                    <w:rPr>
                      <w:kern w:val="0"/>
                    </w:rPr>
                    <w:t>2台</w:t>
                  </w:r>
                </w:p>
              </w:tc>
              <w:tc>
                <w:tcPr>
                  <w:tcW w:w="1748"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6</w:t>
                  </w:r>
                </w:p>
              </w:tc>
              <w:tc>
                <w:tcPr>
                  <w:tcW w:w="2279" w:type="dxa"/>
                  <w:vAlign w:val="center"/>
                </w:tcPr>
                <w:p>
                  <w:pPr>
                    <w:widowControl/>
                    <w:jc w:val="center"/>
                    <w:rPr>
                      <w:kern w:val="0"/>
                    </w:rPr>
                  </w:pPr>
                  <w:r>
                    <w:rPr>
                      <w:kern w:val="0"/>
                    </w:rPr>
                    <w:t>起重机</w:t>
                  </w:r>
                </w:p>
              </w:tc>
              <w:tc>
                <w:tcPr>
                  <w:tcW w:w="2129" w:type="dxa"/>
                  <w:vAlign w:val="center"/>
                </w:tcPr>
                <w:p>
                  <w:pPr>
                    <w:jc w:val="center"/>
                  </w:pPr>
                  <w:r>
                    <w:t>80</w:t>
                  </w:r>
                </w:p>
              </w:tc>
              <w:tc>
                <w:tcPr>
                  <w:tcW w:w="1381" w:type="dxa"/>
                  <w:vAlign w:val="center"/>
                </w:tcPr>
                <w:p>
                  <w:pPr>
                    <w:widowControl/>
                    <w:jc w:val="center"/>
                    <w:rPr>
                      <w:kern w:val="0"/>
                    </w:rPr>
                  </w:pPr>
                  <w:r>
                    <w:rPr>
                      <w:kern w:val="0"/>
                    </w:rPr>
                    <w:t>1台</w:t>
                  </w:r>
                </w:p>
              </w:tc>
              <w:tc>
                <w:tcPr>
                  <w:tcW w:w="1748" w:type="dxa"/>
                  <w:vMerge w:val="continue"/>
                  <w:vAlign w:val="center"/>
                </w:tcPr>
                <w:p>
                  <w:pPr>
                    <w:spacing w:line="320" w:lineRule="exact"/>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7" w:type="dxa"/>
                  <w:vAlign w:val="center"/>
                </w:tcPr>
                <w:p>
                  <w:pPr>
                    <w:spacing w:line="320" w:lineRule="exact"/>
                    <w:jc w:val="center"/>
                  </w:pPr>
                  <w:r>
                    <w:t>7</w:t>
                  </w:r>
                </w:p>
              </w:tc>
              <w:tc>
                <w:tcPr>
                  <w:tcW w:w="2279" w:type="dxa"/>
                  <w:vAlign w:val="center"/>
                </w:tcPr>
                <w:p>
                  <w:pPr>
                    <w:widowControl/>
                    <w:jc w:val="center"/>
                    <w:rPr>
                      <w:kern w:val="0"/>
                    </w:rPr>
                  </w:pPr>
                  <w:r>
                    <w:rPr>
                      <w:kern w:val="0"/>
                    </w:rPr>
                    <w:t>清洗机</w:t>
                  </w:r>
                </w:p>
              </w:tc>
              <w:tc>
                <w:tcPr>
                  <w:tcW w:w="2129" w:type="dxa"/>
                  <w:vAlign w:val="center"/>
                </w:tcPr>
                <w:p>
                  <w:pPr>
                    <w:jc w:val="center"/>
                  </w:pPr>
                  <w:r>
                    <w:t>70</w:t>
                  </w:r>
                </w:p>
              </w:tc>
              <w:tc>
                <w:tcPr>
                  <w:tcW w:w="1381" w:type="dxa"/>
                  <w:vAlign w:val="center"/>
                </w:tcPr>
                <w:p>
                  <w:pPr>
                    <w:widowControl/>
                    <w:jc w:val="center"/>
                    <w:rPr>
                      <w:kern w:val="0"/>
                    </w:rPr>
                  </w:pPr>
                  <w:r>
                    <w:rPr>
                      <w:kern w:val="0"/>
                    </w:rPr>
                    <w:t>4台</w:t>
                  </w:r>
                </w:p>
              </w:tc>
              <w:tc>
                <w:tcPr>
                  <w:tcW w:w="1748" w:type="dxa"/>
                  <w:vMerge w:val="continue"/>
                  <w:vAlign w:val="center"/>
                </w:tcPr>
                <w:p>
                  <w:pPr>
                    <w:spacing w:line="320" w:lineRule="exact"/>
                    <w:jc w:val="center"/>
                  </w:pPr>
                </w:p>
              </w:tc>
            </w:tr>
          </w:tbl>
          <w:p>
            <w:pPr>
              <w:pStyle w:val="3"/>
              <w:spacing w:after="0" w:line="520" w:lineRule="exact"/>
              <w:ind w:left="0" w:leftChars="0" w:firstLine="482" w:firstLineChars="200"/>
              <w:jc w:val="left"/>
              <w:rPr>
                <w:rFonts w:ascii="Times New Roman" w:hAnsi="Times New Roman"/>
                <w:b/>
                <w:sz w:val="24"/>
                <w:szCs w:val="20"/>
              </w:rPr>
            </w:pPr>
            <w:r>
              <w:rPr>
                <w:rFonts w:ascii="Times New Roman" w:hAnsi="Times New Roman"/>
                <w:b/>
                <w:sz w:val="24"/>
                <w:szCs w:val="20"/>
              </w:rPr>
              <w:t>4、固体废物</w:t>
            </w:r>
          </w:p>
          <w:p>
            <w:pPr>
              <w:tabs>
                <w:tab w:val="left" w:pos="1440"/>
                <w:tab w:val="left" w:pos="1800"/>
              </w:tabs>
              <w:adjustRightInd w:val="0"/>
              <w:snapToGrid w:val="0"/>
              <w:spacing w:line="520" w:lineRule="exact"/>
              <w:ind w:firstLine="480" w:firstLineChars="200"/>
              <w:rPr>
                <w:sz w:val="24"/>
              </w:rPr>
            </w:pPr>
            <w:r>
              <w:rPr>
                <w:sz w:val="24"/>
              </w:rPr>
              <w:t>本项目固废主要包括一般固体废物、生活垃圾和危险废物。</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（1）一般固体废物</w:t>
            </w:r>
          </w:p>
          <w:p>
            <w:pPr>
              <w:tabs>
                <w:tab w:val="left" w:pos="1440"/>
                <w:tab w:val="left" w:pos="1800"/>
              </w:tabs>
              <w:adjustRightInd w:val="0"/>
              <w:snapToGrid w:val="0"/>
              <w:spacing w:line="520" w:lineRule="exact"/>
              <w:ind w:firstLine="480" w:firstLineChars="200"/>
              <w:rPr>
                <w:color w:val="000000"/>
                <w:sz w:val="24"/>
              </w:rPr>
            </w:pPr>
            <w:r>
              <w:rPr>
                <w:color w:val="000000"/>
                <w:sz w:val="24"/>
              </w:rPr>
              <w:t>项目维修过程中会产生废旧零部件，产生量约为1t/a，收集后外售至废品站。项目维修工序更新零部件会产生废旧包装盒等，产生量约为0.2t/a，统一收集后外售至废品站。</w:t>
            </w:r>
          </w:p>
          <w:p>
            <w:pPr>
              <w:tabs>
                <w:tab w:val="left" w:pos="1440"/>
                <w:tab w:val="left" w:pos="1800"/>
              </w:tabs>
              <w:adjustRightInd w:val="0"/>
              <w:snapToGrid w:val="0"/>
              <w:spacing w:line="520" w:lineRule="exact"/>
              <w:ind w:firstLine="496" w:firstLineChars="200"/>
              <w:rPr>
                <w:spacing w:val="4"/>
                <w:sz w:val="24"/>
              </w:rPr>
            </w:pPr>
            <w:r>
              <w:rPr>
                <w:spacing w:val="4"/>
                <w:sz w:val="24"/>
                <w:szCs w:val="24"/>
              </w:rPr>
              <w:t>（2）</w:t>
            </w:r>
            <w:r>
              <w:rPr>
                <w:spacing w:val="4"/>
                <w:sz w:val="24"/>
              </w:rPr>
              <w:t>生活垃圾</w:t>
            </w:r>
          </w:p>
          <w:p>
            <w:pPr>
              <w:tabs>
                <w:tab w:val="left" w:pos="1440"/>
                <w:tab w:val="left" w:pos="1800"/>
              </w:tabs>
              <w:adjustRightInd w:val="0"/>
              <w:snapToGrid w:val="0"/>
              <w:spacing w:line="520" w:lineRule="exact"/>
              <w:ind w:firstLine="496" w:firstLineChars="200"/>
              <w:rPr>
                <w:sz w:val="24"/>
              </w:rPr>
            </w:pPr>
            <w:r>
              <w:rPr>
                <w:spacing w:val="4"/>
                <w:sz w:val="24"/>
              </w:rPr>
              <w:t>厂区定员54人，</w:t>
            </w:r>
            <w:r>
              <w:rPr>
                <w:sz w:val="24"/>
              </w:rPr>
              <w:t xml:space="preserve">生活垃圾产生量按0.5kg/人·d，则生活垃圾产生量为27kg/d，全年产生9.855t，送往维修基地生活垃圾暂存区，统一交由环卫部门处置。 </w:t>
            </w:r>
          </w:p>
          <w:p>
            <w:pPr>
              <w:tabs>
                <w:tab w:val="left" w:pos="1440"/>
                <w:tab w:val="left" w:pos="1800"/>
              </w:tabs>
              <w:adjustRightInd w:val="0"/>
              <w:snapToGrid w:val="0"/>
              <w:spacing w:line="520" w:lineRule="exact"/>
              <w:ind w:firstLine="480" w:firstLineChars="200"/>
              <w:rPr>
                <w:sz w:val="24"/>
              </w:rPr>
            </w:pPr>
            <w:r>
              <w:rPr>
                <w:sz w:val="24"/>
              </w:rPr>
              <w:t>（3）危险废物：</w:t>
            </w:r>
          </w:p>
          <w:p>
            <w:pPr>
              <w:tabs>
                <w:tab w:val="left" w:pos="1440"/>
                <w:tab w:val="left" w:pos="1800"/>
              </w:tabs>
              <w:adjustRightInd w:val="0"/>
              <w:snapToGrid w:val="0"/>
              <w:spacing w:line="520" w:lineRule="exact"/>
              <w:ind w:firstLine="480" w:firstLineChars="200"/>
              <w:rPr>
                <w:sz w:val="24"/>
              </w:rPr>
            </w:pPr>
            <w:r>
              <w:rPr>
                <w:sz w:val="24"/>
              </w:rPr>
              <w:t>项目废有机溶剂桶产生量为2t/a，根据《国家危险废物名录》（2016年），属于危险废物HW49，代码为900-041-49（含有或沾染毒性、感染性危险废物的废弃包装物、容器、过滤吸附介质），交由有资质单位处理。</w:t>
            </w:r>
          </w:p>
          <w:p>
            <w:pPr>
              <w:tabs>
                <w:tab w:val="left" w:pos="1440"/>
                <w:tab w:val="left" w:pos="1800"/>
              </w:tabs>
              <w:adjustRightInd w:val="0"/>
              <w:snapToGrid w:val="0"/>
              <w:spacing w:line="520" w:lineRule="exact"/>
              <w:ind w:firstLine="480" w:firstLineChars="200"/>
              <w:rPr>
                <w:sz w:val="24"/>
              </w:rPr>
            </w:pPr>
            <w:r>
              <w:rPr>
                <w:sz w:val="24"/>
              </w:rPr>
              <w:t>飞机维修时产生的废机油以及沾染机油的废抹布、手套等，年产生量约为0.5t/a，根据《国家危险废物名录》（2016年），属于危险废物HW08，代码为900-214-08（车辆、机械维修和拆解过程中产生的废发动机油、制动器油、自动变速器油、齿轮油等废润滑油），交由有资质单位处理。</w:t>
            </w:r>
          </w:p>
          <w:p>
            <w:pPr>
              <w:tabs>
                <w:tab w:val="left" w:pos="1440"/>
                <w:tab w:val="left" w:pos="1800"/>
              </w:tabs>
              <w:adjustRightInd w:val="0"/>
              <w:snapToGrid w:val="0"/>
              <w:spacing w:line="520" w:lineRule="exact"/>
              <w:ind w:firstLine="480" w:firstLineChars="200"/>
              <w:rPr>
                <w:sz w:val="24"/>
              </w:rPr>
            </w:pPr>
            <w:r>
              <w:rPr>
                <w:sz w:val="24"/>
              </w:rPr>
              <w:t>清洗废水预处理过程中的过滤棉需定期更换，废过滤棉（含杂质）的产生量为0.8t/a，根据《国家危险废物名录》（2016年），属于危险废物HW08，代码为900-210-08（油/水分离设施产生的废油、油泥及废水处理产生的浮渣和污泥，不包括废水生化处理污泥），交由有资质单位处理。</w:t>
            </w:r>
          </w:p>
          <w:p>
            <w:pPr>
              <w:tabs>
                <w:tab w:val="left" w:pos="1440"/>
                <w:tab w:val="left" w:pos="1800"/>
              </w:tabs>
              <w:adjustRightInd w:val="0"/>
              <w:snapToGrid w:val="0"/>
              <w:spacing w:line="520" w:lineRule="exact"/>
              <w:ind w:firstLine="480" w:firstLineChars="200"/>
              <w:rPr>
                <w:sz w:val="24"/>
              </w:rPr>
            </w:pPr>
            <w:r>
              <w:rPr>
                <w:sz w:val="24"/>
              </w:rPr>
              <w:t>项目喷漆产生的漆雾采用干式过滤器进行处理，</w:t>
            </w:r>
            <w:r>
              <w:rPr>
                <w:rFonts w:hint="eastAsia"/>
                <w:sz w:val="24"/>
              </w:rPr>
              <w:t>滤芯</w:t>
            </w:r>
            <w:r>
              <w:rPr>
                <w:sz w:val="24"/>
              </w:rPr>
              <w:t>（含</w:t>
            </w:r>
            <w:r>
              <w:rPr>
                <w:sz w:val="24"/>
                <w:highlight w:val="none"/>
              </w:rPr>
              <w:t>漆渣</w:t>
            </w:r>
            <w:r>
              <w:rPr>
                <w:sz w:val="24"/>
              </w:rPr>
              <w:t>）要求定期更换。项目</w:t>
            </w:r>
            <w:r>
              <w:rPr>
                <w:rFonts w:hint="eastAsia"/>
                <w:sz w:val="24"/>
              </w:rPr>
              <w:t>滤芯</w:t>
            </w:r>
            <w:r>
              <w:rPr>
                <w:sz w:val="24"/>
              </w:rPr>
              <w:t>使用量约是吸附漆雾量的2 倍，</w:t>
            </w:r>
            <w:r>
              <w:rPr>
                <w:rFonts w:hint="eastAsia"/>
                <w:sz w:val="24"/>
              </w:rPr>
              <w:t>滤芯</w:t>
            </w:r>
            <w:r>
              <w:rPr>
                <w:sz w:val="24"/>
              </w:rPr>
              <w:t>吸附漆雾的量为1.368t/a，则</w:t>
            </w:r>
            <w:r>
              <w:rPr>
                <w:rFonts w:hint="eastAsia"/>
                <w:sz w:val="24"/>
              </w:rPr>
              <w:t>滤芯</w:t>
            </w:r>
            <w:r>
              <w:rPr>
                <w:sz w:val="24"/>
              </w:rPr>
              <w:t>的使用量约为2.736t/a，废</w:t>
            </w:r>
            <w:r>
              <w:rPr>
                <w:rFonts w:hint="eastAsia"/>
                <w:sz w:val="24"/>
              </w:rPr>
              <w:t>滤芯</w:t>
            </w:r>
            <w:r>
              <w:rPr>
                <w:sz w:val="24"/>
              </w:rPr>
              <w:t>（含</w:t>
            </w:r>
            <w:r>
              <w:rPr>
                <w:sz w:val="24"/>
                <w:highlight w:val="none"/>
              </w:rPr>
              <w:t>漆渣</w:t>
            </w:r>
            <w:r>
              <w:rPr>
                <w:sz w:val="24"/>
              </w:rPr>
              <w:t>）产生量为4.104t/a，项目打磨过程采用</w:t>
            </w:r>
            <w:r>
              <w:rPr>
                <w:rFonts w:hint="eastAsia"/>
                <w:sz w:val="24"/>
              </w:rPr>
              <w:t>干式</w:t>
            </w:r>
            <w:r>
              <w:rPr>
                <w:sz w:val="24"/>
              </w:rPr>
              <w:t>过滤器进行过滤，滤芯要求定期更换清理</w:t>
            </w:r>
            <w:r>
              <w:rPr>
                <w:rFonts w:hint="eastAsia"/>
                <w:sz w:val="24"/>
              </w:rPr>
              <w:t>，</w:t>
            </w:r>
            <w:r>
              <w:rPr>
                <w:sz w:val="24"/>
              </w:rPr>
              <w:t>根据计算，废滤芯产生量（含</w:t>
            </w:r>
            <w:r>
              <w:rPr>
                <w:rFonts w:hint="eastAsia"/>
                <w:sz w:val="24"/>
              </w:rPr>
              <w:t>漆粉尘</w:t>
            </w:r>
            <w:r>
              <w:rPr>
                <w:sz w:val="24"/>
              </w:rPr>
              <w:t>）为1.7t/a</w:t>
            </w:r>
            <w:r>
              <w:rPr>
                <w:rFonts w:hint="eastAsia"/>
                <w:sz w:val="24"/>
              </w:rPr>
              <w:t>。</w:t>
            </w:r>
            <w:r>
              <w:rPr>
                <w:sz w:val="24"/>
              </w:rPr>
              <w:t>根据《国家危险废物名录》（2016年），含</w:t>
            </w:r>
            <w:r>
              <w:rPr>
                <w:sz w:val="24"/>
                <w:highlight w:val="none"/>
              </w:rPr>
              <w:t>漆渣</w:t>
            </w:r>
            <w:r>
              <w:rPr>
                <w:rFonts w:hint="eastAsia"/>
                <w:sz w:val="24"/>
              </w:rPr>
              <w:t>废滤芯和含漆粉尘废滤芯均</w:t>
            </w:r>
            <w:r>
              <w:rPr>
                <w:sz w:val="24"/>
              </w:rPr>
              <w:t>属于危险废物HW12，代码为900-251-12（使用油漆不包括水性漆，有机溶剂进行喷漆、上漆过程中产生的废物），交由有资质单位处理。</w:t>
            </w:r>
          </w:p>
          <w:p>
            <w:pPr>
              <w:tabs>
                <w:tab w:val="left" w:pos="1440"/>
                <w:tab w:val="left" w:pos="1800"/>
              </w:tabs>
              <w:adjustRightInd w:val="0"/>
              <w:snapToGrid w:val="0"/>
              <w:spacing w:line="480" w:lineRule="exact"/>
              <w:ind w:firstLine="480" w:firstLineChars="200"/>
              <w:rPr>
                <w:sz w:val="24"/>
              </w:rPr>
            </w:pPr>
            <w:r>
              <w:rPr>
                <w:sz w:val="24"/>
              </w:rPr>
              <w:t>项目设活性炭吸附箱，内设</w:t>
            </w:r>
            <w:r>
              <w:rPr>
                <w:rFonts w:hint="eastAsia"/>
                <w:bCs/>
                <w:sz w:val="24"/>
              </w:rPr>
              <w:t>蜂窝活性炭单元</w:t>
            </w:r>
            <w:r>
              <w:rPr>
                <w:bCs/>
                <w:sz w:val="24"/>
              </w:rPr>
              <w:t>，用于处理有机废气。</w:t>
            </w:r>
            <w:r>
              <w:rPr>
                <w:sz w:val="24"/>
              </w:rPr>
              <w:t>根据《国家危险废物名录》（2016年），废活性炭属于危险废物HW49，代码为900-041-49（含有或沾染毒性、感染性危险废物的废弃包装物、容器、过滤吸附介质），交由有资质单位处理。根据工程分析，项目活性炭吸附箱吸附废气量约为3.6821t/a，活性炭吸附箱的吸附能力为1:0.3，则活性炭的用量约为12.2737t/a，故项目废活性炭产生量共约15.96t/a。</w:t>
            </w:r>
          </w:p>
          <w:p>
            <w:pPr>
              <w:tabs>
                <w:tab w:val="left" w:pos="1440"/>
                <w:tab w:val="left" w:pos="1800"/>
              </w:tabs>
              <w:adjustRightInd w:val="0"/>
              <w:snapToGrid w:val="0"/>
              <w:spacing w:line="520" w:lineRule="exact"/>
              <w:ind w:firstLine="496" w:firstLineChars="200"/>
              <w:rPr>
                <w:spacing w:val="4"/>
                <w:sz w:val="24"/>
              </w:rPr>
            </w:pPr>
            <w:r>
              <w:rPr>
                <w:spacing w:val="4"/>
                <w:sz w:val="24"/>
              </w:rPr>
              <w:t>本项目固体废物产生情况汇总如下表。</w:t>
            </w:r>
          </w:p>
          <w:p>
            <w:pPr>
              <w:adjustRightInd w:val="0"/>
              <w:snapToGrid w:val="0"/>
              <w:spacing w:before="62" w:beforeLines="20" w:after="31" w:afterLines="10"/>
              <w:jc w:val="center"/>
              <w:rPr>
                <w:rFonts w:eastAsia="黑体"/>
                <w:sz w:val="24"/>
                <w:szCs w:val="24"/>
              </w:rPr>
            </w:pPr>
            <w:r>
              <w:rPr>
                <w:rFonts w:eastAsia="黑体"/>
                <w:sz w:val="24"/>
                <w:szCs w:val="24"/>
              </w:rPr>
              <w:t>表25   固体废物产生情况汇总表</w:t>
            </w:r>
          </w:p>
          <w:tbl>
            <w:tblPr>
              <w:tblStyle w:val="38"/>
              <w:tblW w:w="8784"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97"/>
              <w:gridCol w:w="1251"/>
              <w:gridCol w:w="1096"/>
              <w:gridCol w:w="1674"/>
              <w:gridCol w:w="1354"/>
              <w:gridCol w:w="27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86" w:hRule="atLeast"/>
                <w:jc w:val="center"/>
              </w:trPr>
              <w:tc>
                <w:tcPr>
                  <w:tcW w:w="697" w:type="dxa"/>
                  <w:vAlign w:val="center"/>
                </w:tcPr>
                <w:p>
                  <w:pPr>
                    <w:snapToGrid w:val="0"/>
                    <w:spacing w:line="0" w:lineRule="atLeast"/>
                    <w:jc w:val="center"/>
                  </w:pPr>
                  <w:r>
                    <w:t>序号</w:t>
                  </w:r>
                </w:p>
              </w:tc>
              <w:tc>
                <w:tcPr>
                  <w:tcW w:w="1251" w:type="dxa"/>
                  <w:vAlign w:val="center"/>
                </w:tcPr>
                <w:p>
                  <w:pPr>
                    <w:snapToGrid w:val="0"/>
                    <w:spacing w:line="0" w:lineRule="atLeast"/>
                    <w:jc w:val="center"/>
                  </w:pPr>
                  <w:r>
                    <w:t>废物名称</w:t>
                  </w:r>
                </w:p>
              </w:tc>
              <w:tc>
                <w:tcPr>
                  <w:tcW w:w="1096" w:type="dxa"/>
                  <w:vAlign w:val="center"/>
                </w:tcPr>
                <w:p>
                  <w:pPr>
                    <w:snapToGrid w:val="0"/>
                    <w:spacing w:line="0" w:lineRule="atLeast"/>
                    <w:jc w:val="center"/>
                  </w:pPr>
                  <w:r>
                    <w:t>产生工序</w:t>
                  </w:r>
                </w:p>
              </w:tc>
              <w:tc>
                <w:tcPr>
                  <w:tcW w:w="1674" w:type="dxa"/>
                  <w:vAlign w:val="center"/>
                </w:tcPr>
                <w:p>
                  <w:pPr>
                    <w:snapToGrid w:val="0"/>
                    <w:spacing w:line="0" w:lineRule="atLeast"/>
                    <w:jc w:val="center"/>
                  </w:pPr>
                  <w:r>
                    <w:t>属性</w:t>
                  </w:r>
                </w:p>
              </w:tc>
              <w:tc>
                <w:tcPr>
                  <w:tcW w:w="1354" w:type="dxa"/>
                  <w:vAlign w:val="center"/>
                </w:tcPr>
                <w:p>
                  <w:pPr>
                    <w:snapToGrid w:val="0"/>
                    <w:spacing w:line="0" w:lineRule="atLeast"/>
                    <w:jc w:val="center"/>
                  </w:pPr>
                  <w:r>
                    <w:t>产生量（t/a）</w:t>
                  </w:r>
                </w:p>
              </w:tc>
              <w:tc>
                <w:tcPr>
                  <w:tcW w:w="2712" w:type="dxa"/>
                  <w:vAlign w:val="center"/>
                </w:tcPr>
                <w:p>
                  <w:pPr>
                    <w:snapToGrid w:val="0"/>
                    <w:spacing w:line="0" w:lineRule="atLeast"/>
                    <w:jc w:val="center"/>
                  </w:pPr>
                  <w:r>
                    <w:t>最终去向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24" w:hRule="atLeast"/>
                <w:jc w:val="center"/>
              </w:trPr>
              <w:tc>
                <w:tcPr>
                  <w:tcW w:w="697" w:type="dxa"/>
                  <w:vAlign w:val="center"/>
                </w:tcPr>
                <w:p>
                  <w:pPr>
                    <w:snapToGrid w:val="0"/>
                    <w:spacing w:line="0" w:lineRule="atLeast"/>
                    <w:jc w:val="center"/>
                    <w:rPr>
                      <w:color w:val="000000"/>
                    </w:rPr>
                  </w:pPr>
                  <w:r>
                    <w:rPr>
                      <w:color w:val="000000"/>
                    </w:rPr>
                    <w:t>1</w:t>
                  </w:r>
                </w:p>
              </w:tc>
              <w:tc>
                <w:tcPr>
                  <w:tcW w:w="1251" w:type="dxa"/>
                  <w:vAlign w:val="center"/>
                </w:tcPr>
                <w:p>
                  <w:pPr>
                    <w:snapToGrid w:val="0"/>
                    <w:spacing w:line="0" w:lineRule="atLeast"/>
                    <w:jc w:val="center"/>
                    <w:rPr>
                      <w:color w:val="000000"/>
                    </w:rPr>
                  </w:pPr>
                  <w:r>
                    <w:rPr>
                      <w:color w:val="000000"/>
                    </w:rPr>
                    <w:t>废旧零部件</w:t>
                  </w:r>
                </w:p>
              </w:tc>
              <w:tc>
                <w:tcPr>
                  <w:tcW w:w="1096" w:type="dxa"/>
                  <w:vAlign w:val="center"/>
                </w:tcPr>
                <w:p>
                  <w:pPr>
                    <w:snapToGrid w:val="0"/>
                    <w:spacing w:line="0" w:lineRule="atLeast"/>
                    <w:jc w:val="center"/>
                    <w:rPr>
                      <w:color w:val="000000"/>
                    </w:rPr>
                  </w:pPr>
                  <w:r>
                    <w:rPr>
                      <w:color w:val="000000"/>
                    </w:rPr>
                    <w:t>维修工序</w:t>
                  </w:r>
                </w:p>
              </w:tc>
              <w:tc>
                <w:tcPr>
                  <w:tcW w:w="1674" w:type="dxa"/>
                  <w:vMerge w:val="restart"/>
                  <w:vAlign w:val="center"/>
                </w:tcPr>
                <w:p>
                  <w:pPr>
                    <w:snapToGrid w:val="0"/>
                    <w:spacing w:line="0" w:lineRule="atLeast"/>
                    <w:jc w:val="center"/>
                    <w:rPr>
                      <w:color w:val="000000"/>
                    </w:rPr>
                  </w:pPr>
                  <w:r>
                    <w:rPr>
                      <w:color w:val="000000"/>
                    </w:rPr>
                    <w:t>一般工业固废</w:t>
                  </w:r>
                </w:p>
              </w:tc>
              <w:tc>
                <w:tcPr>
                  <w:tcW w:w="1354" w:type="dxa"/>
                  <w:vAlign w:val="center"/>
                </w:tcPr>
                <w:p>
                  <w:pPr>
                    <w:snapToGrid w:val="0"/>
                    <w:spacing w:line="0" w:lineRule="atLeast"/>
                    <w:jc w:val="center"/>
                    <w:rPr>
                      <w:color w:val="000000"/>
                    </w:rPr>
                  </w:pPr>
                  <w:r>
                    <w:rPr>
                      <w:color w:val="000000"/>
                    </w:rPr>
                    <w:t>1</w:t>
                  </w:r>
                </w:p>
              </w:tc>
              <w:tc>
                <w:tcPr>
                  <w:tcW w:w="2712" w:type="dxa"/>
                  <w:vMerge w:val="restart"/>
                  <w:vAlign w:val="center"/>
                </w:tcPr>
                <w:p>
                  <w:pPr>
                    <w:pStyle w:val="13"/>
                    <w:spacing w:after="0" w:line="240" w:lineRule="atLeast"/>
                    <w:jc w:val="center"/>
                    <w:rPr>
                      <w:rFonts w:ascii="Times New Roman" w:hAnsi="Times New Roman" w:cs="Times New Roman"/>
                      <w:color w:val="000000"/>
                      <w:sz w:val="21"/>
                      <w:szCs w:val="21"/>
                    </w:rPr>
                  </w:pPr>
                  <w:r>
                    <w:rPr>
                      <w:rFonts w:ascii="Times New Roman" w:hAnsi="Times New Roman" w:cs="Times New Roman"/>
                      <w:color w:val="000000"/>
                      <w:sz w:val="21"/>
                      <w:szCs w:val="21"/>
                    </w:rPr>
                    <w:t>收集后统一外售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24" w:hRule="atLeast"/>
                <w:jc w:val="center"/>
              </w:trPr>
              <w:tc>
                <w:tcPr>
                  <w:tcW w:w="697" w:type="dxa"/>
                  <w:vAlign w:val="center"/>
                </w:tcPr>
                <w:p>
                  <w:pPr>
                    <w:snapToGrid w:val="0"/>
                    <w:spacing w:line="0" w:lineRule="atLeast"/>
                    <w:jc w:val="center"/>
                    <w:rPr>
                      <w:color w:val="000000"/>
                    </w:rPr>
                  </w:pPr>
                  <w:r>
                    <w:rPr>
                      <w:color w:val="000000"/>
                    </w:rPr>
                    <w:t>2</w:t>
                  </w:r>
                </w:p>
              </w:tc>
              <w:tc>
                <w:tcPr>
                  <w:tcW w:w="1251" w:type="dxa"/>
                  <w:vAlign w:val="center"/>
                </w:tcPr>
                <w:p>
                  <w:pPr>
                    <w:snapToGrid w:val="0"/>
                    <w:spacing w:line="0" w:lineRule="atLeast"/>
                    <w:jc w:val="center"/>
                    <w:rPr>
                      <w:color w:val="000000"/>
                    </w:rPr>
                  </w:pPr>
                  <w:r>
                    <w:rPr>
                      <w:color w:val="000000"/>
                    </w:rPr>
                    <w:t>废旧包装盒</w:t>
                  </w:r>
                </w:p>
              </w:tc>
              <w:tc>
                <w:tcPr>
                  <w:tcW w:w="1096" w:type="dxa"/>
                  <w:vAlign w:val="center"/>
                </w:tcPr>
                <w:p>
                  <w:pPr>
                    <w:snapToGrid w:val="0"/>
                    <w:spacing w:line="0" w:lineRule="atLeast"/>
                    <w:jc w:val="center"/>
                    <w:rPr>
                      <w:color w:val="000000"/>
                    </w:rPr>
                  </w:pPr>
                  <w:r>
                    <w:rPr>
                      <w:color w:val="000000"/>
                    </w:rPr>
                    <w:t>维修工序</w:t>
                  </w:r>
                </w:p>
              </w:tc>
              <w:tc>
                <w:tcPr>
                  <w:tcW w:w="1674" w:type="dxa"/>
                  <w:vMerge w:val="continue"/>
                  <w:vAlign w:val="center"/>
                </w:tcPr>
                <w:p>
                  <w:pPr>
                    <w:snapToGrid w:val="0"/>
                    <w:spacing w:line="0" w:lineRule="atLeast"/>
                    <w:jc w:val="center"/>
                    <w:rPr>
                      <w:color w:val="000000"/>
                    </w:rPr>
                  </w:pPr>
                </w:p>
              </w:tc>
              <w:tc>
                <w:tcPr>
                  <w:tcW w:w="1354" w:type="dxa"/>
                  <w:vAlign w:val="center"/>
                </w:tcPr>
                <w:p>
                  <w:pPr>
                    <w:snapToGrid w:val="0"/>
                    <w:spacing w:line="0" w:lineRule="atLeast"/>
                    <w:jc w:val="center"/>
                    <w:rPr>
                      <w:color w:val="000000"/>
                    </w:rPr>
                  </w:pPr>
                  <w:r>
                    <w:rPr>
                      <w:color w:val="000000"/>
                    </w:rPr>
                    <w:t>0.2</w:t>
                  </w:r>
                </w:p>
              </w:tc>
              <w:tc>
                <w:tcPr>
                  <w:tcW w:w="2712" w:type="dxa"/>
                  <w:vMerge w:val="continue"/>
                  <w:vAlign w:val="center"/>
                </w:tcPr>
                <w:p>
                  <w:pPr>
                    <w:pStyle w:val="13"/>
                    <w:spacing w:line="240" w:lineRule="atLeast"/>
                    <w:jc w:val="center"/>
                    <w:rPr>
                      <w:rFonts w:ascii="Times New Roman" w:hAnsi="Times New Roman" w:cs="Times New Roman"/>
                      <w:color w:val="00000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24" w:hRule="atLeast"/>
                <w:jc w:val="center"/>
              </w:trPr>
              <w:tc>
                <w:tcPr>
                  <w:tcW w:w="697" w:type="dxa"/>
                  <w:vAlign w:val="center"/>
                </w:tcPr>
                <w:p>
                  <w:pPr>
                    <w:snapToGrid w:val="0"/>
                    <w:spacing w:line="0" w:lineRule="atLeast"/>
                    <w:jc w:val="center"/>
                    <w:rPr>
                      <w:color w:val="000000"/>
                    </w:rPr>
                  </w:pPr>
                  <w:r>
                    <w:rPr>
                      <w:rFonts w:hint="eastAsia"/>
                      <w:color w:val="000000"/>
                    </w:rPr>
                    <w:t>3</w:t>
                  </w:r>
                </w:p>
              </w:tc>
              <w:tc>
                <w:tcPr>
                  <w:tcW w:w="1251" w:type="dxa"/>
                  <w:vAlign w:val="center"/>
                </w:tcPr>
                <w:p>
                  <w:pPr>
                    <w:snapToGrid w:val="0"/>
                    <w:spacing w:line="0" w:lineRule="atLeast"/>
                    <w:jc w:val="center"/>
                    <w:rPr>
                      <w:color w:val="000000"/>
                    </w:rPr>
                  </w:pPr>
                  <w:r>
                    <w:rPr>
                      <w:color w:val="000000"/>
                    </w:rPr>
                    <w:t>生活垃圾</w:t>
                  </w:r>
                </w:p>
              </w:tc>
              <w:tc>
                <w:tcPr>
                  <w:tcW w:w="1096" w:type="dxa"/>
                  <w:vAlign w:val="center"/>
                </w:tcPr>
                <w:p>
                  <w:pPr>
                    <w:snapToGrid w:val="0"/>
                    <w:spacing w:line="0" w:lineRule="atLeast"/>
                    <w:jc w:val="center"/>
                    <w:rPr>
                      <w:color w:val="000000"/>
                    </w:rPr>
                  </w:pPr>
                  <w:r>
                    <w:rPr>
                      <w:color w:val="000000"/>
                    </w:rPr>
                    <w:t>日常办公</w:t>
                  </w:r>
                </w:p>
              </w:tc>
              <w:tc>
                <w:tcPr>
                  <w:tcW w:w="1674" w:type="dxa"/>
                  <w:vAlign w:val="center"/>
                </w:tcPr>
                <w:p>
                  <w:pPr>
                    <w:snapToGrid w:val="0"/>
                    <w:spacing w:line="0" w:lineRule="atLeast"/>
                    <w:jc w:val="center"/>
                    <w:rPr>
                      <w:color w:val="000000"/>
                    </w:rPr>
                  </w:pPr>
                  <w:r>
                    <w:rPr>
                      <w:color w:val="000000"/>
                    </w:rPr>
                    <w:t>生活垃圾</w:t>
                  </w:r>
                </w:p>
              </w:tc>
              <w:tc>
                <w:tcPr>
                  <w:tcW w:w="1354" w:type="dxa"/>
                  <w:vAlign w:val="center"/>
                </w:tcPr>
                <w:p>
                  <w:pPr>
                    <w:snapToGrid w:val="0"/>
                    <w:spacing w:line="0" w:lineRule="atLeast"/>
                    <w:jc w:val="center"/>
                    <w:rPr>
                      <w:color w:val="000000"/>
                    </w:rPr>
                  </w:pPr>
                  <w:r>
                    <w:rPr>
                      <w:color w:val="000000"/>
                    </w:rPr>
                    <w:t>9.855</w:t>
                  </w:r>
                </w:p>
              </w:tc>
              <w:tc>
                <w:tcPr>
                  <w:tcW w:w="2712" w:type="dxa"/>
                  <w:vAlign w:val="center"/>
                </w:tcPr>
                <w:p>
                  <w:pPr>
                    <w:pStyle w:val="13"/>
                    <w:spacing w:after="0" w:line="240" w:lineRule="atLeast"/>
                    <w:jc w:val="center"/>
                    <w:rPr>
                      <w:rFonts w:ascii="Times New Roman" w:hAnsi="Times New Roman" w:cs="Times New Roman"/>
                      <w:color w:val="000000"/>
                      <w:sz w:val="21"/>
                      <w:szCs w:val="21"/>
                    </w:rPr>
                  </w:pPr>
                  <w:r>
                    <w:rPr>
                      <w:rFonts w:ascii="Times New Roman" w:hAnsi="Times New Roman" w:cs="Times New Roman"/>
                      <w:color w:val="000000"/>
                      <w:sz w:val="21"/>
                      <w:szCs w:val="21"/>
                    </w:rPr>
                    <w:t>送往维修基地生活垃圾暂存区，统一交由环卫部门处置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24" w:hRule="atLeast"/>
                <w:jc w:val="center"/>
              </w:trPr>
              <w:tc>
                <w:tcPr>
                  <w:tcW w:w="697" w:type="dxa"/>
                  <w:vAlign w:val="center"/>
                </w:tcPr>
                <w:p>
                  <w:pPr>
                    <w:snapToGrid w:val="0"/>
                    <w:spacing w:line="0" w:lineRule="atLeast"/>
                    <w:jc w:val="center"/>
                    <w:rPr>
                      <w:color w:val="000000"/>
                    </w:rPr>
                  </w:pPr>
                  <w:r>
                    <w:rPr>
                      <w:rFonts w:hint="eastAsia"/>
                      <w:color w:val="000000"/>
                    </w:rPr>
                    <w:t>4</w:t>
                  </w:r>
                </w:p>
              </w:tc>
              <w:tc>
                <w:tcPr>
                  <w:tcW w:w="1251" w:type="dxa"/>
                  <w:vAlign w:val="center"/>
                </w:tcPr>
                <w:p>
                  <w:pPr>
                    <w:snapToGrid w:val="0"/>
                    <w:spacing w:line="0" w:lineRule="atLeast"/>
                    <w:jc w:val="center"/>
                    <w:rPr>
                      <w:color w:val="000000"/>
                    </w:rPr>
                  </w:pPr>
                  <w:r>
                    <w:rPr>
                      <w:color w:val="000000"/>
                    </w:rPr>
                    <w:t>废有机溶剂桶</w:t>
                  </w:r>
                </w:p>
              </w:tc>
              <w:tc>
                <w:tcPr>
                  <w:tcW w:w="1096" w:type="dxa"/>
                  <w:vAlign w:val="center"/>
                </w:tcPr>
                <w:p>
                  <w:pPr>
                    <w:snapToGrid w:val="0"/>
                    <w:spacing w:line="0" w:lineRule="atLeast"/>
                    <w:jc w:val="center"/>
                    <w:rPr>
                      <w:color w:val="000000"/>
                    </w:rPr>
                  </w:pPr>
                  <w:r>
                    <w:rPr>
                      <w:color w:val="000000"/>
                    </w:rPr>
                    <w:t>喷漆工序</w:t>
                  </w:r>
                </w:p>
              </w:tc>
              <w:tc>
                <w:tcPr>
                  <w:tcW w:w="1674" w:type="dxa"/>
                  <w:vAlign w:val="center"/>
                </w:tcPr>
                <w:p>
                  <w:pPr>
                    <w:snapToGrid w:val="0"/>
                    <w:spacing w:line="0" w:lineRule="atLeast"/>
                    <w:jc w:val="center"/>
                    <w:rPr>
                      <w:color w:val="000000"/>
                    </w:rPr>
                  </w:pPr>
                  <w:r>
                    <w:rPr>
                      <w:color w:val="000000"/>
                    </w:rPr>
                    <w:t>危险废物HW49（900-041-49）</w:t>
                  </w:r>
                </w:p>
              </w:tc>
              <w:tc>
                <w:tcPr>
                  <w:tcW w:w="1354" w:type="dxa"/>
                  <w:vAlign w:val="center"/>
                </w:tcPr>
                <w:p>
                  <w:pPr>
                    <w:snapToGrid w:val="0"/>
                    <w:spacing w:line="0" w:lineRule="atLeast"/>
                    <w:jc w:val="center"/>
                    <w:rPr>
                      <w:color w:val="000000"/>
                    </w:rPr>
                  </w:pPr>
                  <w:r>
                    <w:rPr>
                      <w:color w:val="000000"/>
                    </w:rPr>
                    <w:t>2</w:t>
                  </w:r>
                </w:p>
              </w:tc>
              <w:tc>
                <w:tcPr>
                  <w:tcW w:w="2712" w:type="dxa"/>
                  <w:vMerge w:val="restart"/>
                  <w:vAlign w:val="center"/>
                </w:tcPr>
                <w:p>
                  <w:pPr>
                    <w:pStyle w:val="13"/>
                    <w:spacing w:after="0" w:line="240" w:lineRule="atLeast"/>
                    <w:jc w:val="center"/>
                    <w:rPr>
                      <w:rFonts w:ascii="Times New Roman" w:hAnsi="Times New Roman" w:cs="Times New Roman"/>
                      <w:color w:val="000000"/>
                      <w:sz w:val="21"/>
                      <w:szCs w:val="21"/>
                    </w:rPr>
                  </w:pPr>
                  <w:r>
                    <w:rPr>
                      <w:rFonts w:ascii="Times New Roman" w:hAnsi="Times New Roman" w:cs="Times New Roman"/>
                      <w:color w:val="000000"/>
                      <w:sz w:val="21"/>
                      <w:szCs w:val="21"/>
                    </w:rPr>
                    <w:t>由维修基地危废暂存间暂存后，交由有资质单位处理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697" w:type="dxa"/>
                  <w:vAlign w:val="center"/>
                </w:tcPr>
                <w:p>
                  <w:pPr>
                    <w:snapToGrid w:val="0"/>
                    <w:spacing w:line="0" w:lineRule="atLeast"/>
                    <w:jc w:val="center"/>
                    <w:rPr>
                      <w:color w:val="000000"/>
                    </w:rPr>
                  </w:pPr>
                  <w:r>
                    <w:rPr>
                      <w:rFonts w:hint="eastAsia"/>
                      <w:color w:val="000000"/>
                    </w:rPr>
                    <w:t>5</w:t>
                  </w:r>
                </w:p>
              </w:tc>
              <w:tc>
                <w:tcPr>
                  <w:tcW w:w="1251" w:type="dxa"/>
                  <w:vAlign w:val="center"/>
                </w:tcPr>
                <w:p>
                  <w:pPr>
                    <w:snapToGrid w:val="0"/>
                    <w:spacing w:line="0" w:lineRule="atLeast"/>
                    <w:jc w:val="center"/>
                    <w:rPr>
                      <w:color w:val="000000"/>
                    </w:rPr>
                  </w:pPr>
                  <w:r>
                    <w:rPr>
                      <w:color w:val="000000"/>
                    </w:rPr>
                    <w:t>废机油、含有手套、抹布</w:t>
                  </w:r>
                </w:p>
              </w:tc>
              <w:tc>
                <w:tcPr>
                  <w:tcW w:w="1096" w:type="dxa"/>
                  <w:vAlign w:val="center"/>
                </w:tcPr>
                <w:p>
                  <w:pPr>
                    <w:snapToGrid w:val="0"/>
                    <w:spacing w:line="0" w:lineRule="atLeast"/>
                    <w:jc w:val="center"/>
                    <w:rPr>
                      <w:color w:val="000000"/>
                    </w:rPr>
                  </w:pPr>
                  <w:r>
                    <w:rPr>
                      <w:color w:val="000000"/>
                    </w:rPr>
                    <w:t>维修工序</w:t>
                  </w:r>
                </w:p>
              </w:tc>
              <w:tc>
                <w:tcPr>
                  <w:tcW w:w="1674" w:type="dxa"/>
                  <w:vAlign w:val="center"/>
                </w:tcPr>
                <w:p>
                  <w:pPr>
                    <w:snapToGrid w:val="0"/>
                    <w:spacing w:line="0" w:lineRule="atLeast"/>
                    <w:jc w:val="center"/>
                    <w:rPr>
                      <w:color w:val="000000"/>
                    </w:rPr>
                  </w:pPr>
                  <w:r>
                    <w:rPr>
                      <w:color w:val="000000"/>
                    </w:rPr>
                    <w:t>危险废物HW08（900-214-08）</w:t>
                  </w:r>
                </w:p>
              </w:tc>
              <w:tc>
                <w:tcPr>
                  <w:tcW w:w="1354" w:type="dxa"/>
                  <w:vAlign w:val="center"/>
                </w:tcPr>
                <w:p>
                  <w:pPr>
                    <w:snapToGrid w:val="0"/>
                    <w:spacing w:line="0" w:lineRule="atLeast"/>
                    <w:jc w:val="center"/>
                  </w:pPr>
                  <w:r>
                    <w:t>0.5</w:t>
                  </w:r>
                </w:p>
              </w:tc>
              <w:tc>
                <w:tcPr>
                  <w:tcW w:w="2712" w:type="dxa"/>
                  <w:vMerge w:val="continue"/>
                  <w:vAlign w:val="center"/>
                </w:tcPr>
                <w:p>
                  <w:pPr>
                    <w:pStyle w:val="13"/>
                    <w:spacing w:after="0" w:line="240" w:lineRule="atLeast"/>
                    <w:jc w:val="center"/>
                    <w:rPr>
                      <w:rFonts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697" w:type="dxa"/>
                  <w:vAlign w:val="center"/>
                </w:tcPr>
                <w:p>
                  <w:pPr>
                    <w:snapToGrid w:val="0"/>
                    <w:spacing w:line="0" w:lineRule="atLeast"/>
                    <w:jc w:val="center"/>
                    <w:rPr>
                      <w:color w:val="000000"/>
                    </w:rPr>
                  </w:pPr>
                  <w:r>
                    <w:rPr>
                      <w:rFonts w:hint="eastAsia"/>
                      <w:color w:val="000000"/>
                    </w:rPr>
                    <w:t>6</w:t>
                  </w:r>
                </w:p>
              </w:tc>
              <w:tc>
                <w:tcPr>
                  <w:tcW w:w="1251" w:type="dxa"/>
                  <w:vAlign w:val="center"/>
                </w:tcPr>
                <w:p>
                  <w:pPr>
                    <w:snapToGrid w:val="0"/>
                    <w:spacing w:line="0" w:lineRule="atLeast"/>
                    <w:jc w:val="center"/>
                    <w:rPr>
                      <w:color w:val="000000"/>
                    </w:rPr>
                  </w:pPr>
                  <w:r>
                    <w:rPr>
                      <w:color w:val="000000"/>
                    </w:rPr>
                    <w:t>废过滤棉（含杂质）</w:t>
                  </w:r>
                </w:p>
              </w:tc>
              <w:tc>
                <w:tcPr>
                  <w:tcW w:w="1096" w:type="dxa"/>
                  <w:vAlign w:val="center"/>
                </w:tcPr>
                <w:p>
                  <w:pPr>
                    <w:snapToGrid w:val="0"/>
                    <w:spacing w:line="0" w:lineRule="atLeast"/>
                    <w:jc w:val="center"/>
                    <w:rPr>
                      <w:color w:val="000000"/>
                    </w:rPr>
                  </w:pPr>
                  <w:r>
                    <w:rPr>
                      <w:color w:val="000000"/>
                    </w:rPr>
                    <w:t>废水过滤</w:t>
                  </w:r>
                </w:p>
              </w:tc>
              <w:tc>
                <w:tcPr>
                  <w:tcW w:w="1674" w:type="dxa"/>
                  <w:vAlign w:val="center"/>
                </w:tcPr>
                <w:p>
                  <w:pPr>
                    <w:snapToGrid w:val="0"/>
                    <w:spacing w:line="0" w:lineRule="atLeast"/>
                    <w:jc w:val="center"/>
                    <w:rPr>
                      <w:color w:val="000000"/>
                    </w:rPr>
                  </w:pPr>
                  <w:r>
                    <w:rPr>
                      <w:color w:val="000000"/>
                    </w:rPr>
                    <w:t>危险废物HW08（900-210-08）</w:t>
                  </w:r>
                </w:p>
              </w:tc>
              <w:tc>
                <w:tcPr>
                  <w:tcW w:w="1354" w:type="dxa"/>
                  <w:vAlign w:val="center"/>
                </w:tcPr>
                <w:p>
                  <w:pPr>
                    <w:snapToGrid w:val="0"/>
                    <w:spacing w:line="0" w:lineRule="atLeast"/>
                    <w:jc w:val="center"/>
                  </w:pPr>
                  <w:r>
                    <w:t>0.8</w:t>
                  </w:r>
                </w:p>
              </w:tc>
              <w:tc>
                <w:tcPr>
                  <w:tcW w:w="2712" w:type="dxa"/>
                  <w:vMerge w:val="continue"/>
                  <w:vAlign w:val="center"/>
                </w:tcPr>
                <w:p>
                  <w:pPr>
                    <w:pStyle w:val="13"/>
                    <w:spacing w:after="0" w:line="240" w:lineRule="atLeast"/>
                    <w:jc w:val="center"/>
                    <w:rPr>
                      <w:rFonts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697" w:type="dxa"/>
                  <w:vAlign w:val="center"/>
                </w:tcPr>
                <w:p>
                  <w:pPr>
                    <w:snapToGrid w:val="0"/>
                    <w:spacing w:line="0" w:lineRule="atLeast"/>
                    <w:jc w:val="center"/>
                    <w:rPr>
                      <w:color w:val="000000"/>
                    </w:rPr>
                  </w:pPr>
                  <w:r>
                    <w:rPr>
                      <w:color w:val="000000"/>
                    </w:rPr>
                    <w:t>8</w:t>
                  </w:r>
                </w:p>
              </w:tc>
              <w:tc>
                <w:tcPr>
                  <w:tcW w:w="1251" w:type="dxa"/>
                  <w:vAlign w:val="center"/>
                </w:tcPr>
                <w:p>
                  <w:pPr>
                    <w:snapToGrid w:val="0"/>
                    <w:spacing w:line="0" w:lineRule="atLeast"/>
                    <w:jc w:val="center"/>
                    <w:rPr>
                      <w:color w:val="000000"/>
                    </w:rPr>
                  </w:pPr>
                  <w:r>
                    <w:rPr>
                      <w:color w:val="000000"/>
                    </w:rPr>
                    <w:t>废</w:t>
                  </w:r>
                  <w:r>
                    <w:rPr>
                      <w:rFonts w:hint="eastAsia"/>
                      <w:color w:val="000000"/>
                    </w:rPr>
                    <w:t>滤芯</w:t>
                  </w:r>
                  <w:r>
                    <w:rPr>
                      <w:color w:val="000000"/>
                    </w:rPr>
                    <w:t>（含</w:t>
                  </w:r>
                  <w:r>
                    <w:rPr>
                      <w:color w:val="000000"/>
                      <w:highlight w:val="none"/>
                    </w:rPr>
                    <w:t>漆雾</w:t>
                  </w:r>
                  <w:r>
                    <w:rPr>
                      <w:color w:val="000000"/>
                    </w:rPr>
                    <w:t>）</w:t>
                  </w:r>
                  <w:r>
                    <w:rPr>
                      <w:rFonts w:hint="eastAsia"/>
                      <w:color w:val="000000"/>
                    </w:rPr>
                    <w:t>、废滤芯（含漆粉尘）</w:t>
                  </w:r>
                </w:p>
              </w:tc>
              <w:tc>
                <w:tcPr>
                  <w:tcW w:w="1096" w:type="dxa"/>
                  <w:vAlign w:val="center"/>
                </w:tcPr>
                <w:p>
                  <w:pPr>
                    <w:snapToGrid w:val="0"/>
                    <w:spacing w:line="0" w:lineRule="atLeast"/>
                    <w:jc w:val="center"/>
                    <w:rPr>
                      <w:color w:val="000000"/>
                    </w:rPr>
                  </w:pPr>
                  <w:r>
                    <w:rPr>
                      <w:color w:val="000000"/>
                    </w:rPr>
                    <w:t>环保设备</w:t>
                  </w:r>
                </w:p>
              </w:tc>
              <w:tc>
                <w:tcPr>
                  <w:tcW w:w="1674" w:type="dxa"/>
                  <w:vAlign w:val="center"/>
                </w:tcPr>
                <w:p>
                  <w:pPr>
                    <w:snapToGrid w:val="0"/>
                    <w:spacing w:line="0" w:lineRule="atLeast"/>
                    <w:jc w:val="center"/>
                    <w:rPr>
                      <w:color w:val="000000"/>
                    </w:rPr>
                  </w:pPr>
                  <w:r>
                    <w:rPr>
                      <w:color w:val="000000"/>
                    </w:rPr>
                    <w:t>危险废物HW12（900-251-12）</w:t>
                  </w:r>
                </w:p>
              </w:tc>
              <w:tc>
                <w:tcPr>
                  <w:tcW w:w="1354" w:type="dxa"/>
                  <w:vAlign w:val="center"/>
                </w:tcPr>
                <w:p>
                  <w:pPr>
                    <w:snapToGrid w:val="0"/>
                    <w:spacing w:line="0" w:lineRule="atLeast"/>
                    <w:jc w:val="center"/>
                  </w:pPr>
                  <w:r>
                    <w:rPr>
                      <w:rFonts w:hint="eastAsia"/>
                    </w:rPr>
                    <w:t>5.804</w:t>
                  </w:r>
                </w:p>
              </w:tc>
              <w:tc>
                <w:tcPr>
                  <w:tcW w:w="2712" w:type="dxa"/>
                  <w:vMerge w:val="continue"/>
                  <w:vAlign w:val="center"/>
                </w:tcPr>
                <w:p>
                  <w:pPr>
                    <w:pStyle w:val="13"/>
                    <w:spacing w:after="0" w:line="240" w:lineRule="atLeast"/>
                    <w:jc w:val="center"/>
                    <w:rPr>
                      <w:rFonts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697" w:type="dxa"/>
                  <w:vAlign w:val="center"/>
                </w:tcPr>
                <w:p>
                  <w:pPr>
                    <w:snapToGrid w:val="0"/>
                    <w:spacing w:line="0" w:lineRule="atLeast"/>
                    <w:jc w:val="center"/>
                    <w:rPr>
                      <w:color w:val="000000"/>
                    </w:rPr>
                  </w:pPr>
                  <w:r>
                    <w:rPr>
                      <w:rFonts w:hint="eastAsia"/>
                      <w:color w:val="000000"/>
                    </w:rPr>
                    <w:t>8</w:t>
                  </w:r>
                </w:p>
              </w:tc>
              <w:tc>
                <w:tcPr>
                  <w:tcW w:w="1251" w:type="dxa"/>
                  <w:vAlign w:val="center"/>
                </w:tcPr>
                <w:p>
                  <w:pPr>
                    <w:snapToGrid w:val="0"/>
                    <w:spacing w:line="0" w:lineRule="atLeast"/>
                    <w:jc w:val="center"/>
                    <w:rPr>
                      <w:color w:val="000000"/>
                    </w:rPr>
                  </w:pPr>
                  <w:r>
                    <w:rPr>
                      <w:color w:val="000000"/>
                    </w:rPr>
                    <w:t>废活性炭</w:t>
                  </w:r>
                </w:p>
              </w:tc>
              <w:tc>
                <w:tcPr>
                  <w:tcW w:w="1096" w:type="dxa"/>
                  <w:vAlign w:val="center"/>
                </w:tcPr>
                <w:p>
                  <w:pPr>
                    <w:snapToGrid w:val="0"/>
                    <w:spacing w:line="0" w:lineRule="atLeast"/>
                    <w:jc w:val="center"/>
                    <w:rPr>
                      <w:color w:val="000000"/>
                    </w:rPr>
                  </w:pPr>
                  <w:r>
                    <w:rPr>
                      <w:color w:val="000000"/>
                    </w:rPr>
                    <w:t>环保设备</w:t>
                  </w:r>
                </w:p>
              </w:tc>
              <w:tc>
                <w:tcPr>
                  <w:tcW w:w="1674" w:type="dxa"/>
                  <w:vAlign w:val="center"/>
                </w:tcPr>
                <w:p>
                  <w:pPr>
                    <w:snapToGrid w:val="0"/>
                    <w:spacing w:line="0" w:lineRule="atLeast"/>
                    <w:jc w:val="center"/>
                    <w:rPr>
                      <w:color w:val="000000"/>
                    </w:rPr>
                  </w:pPr>
                  <w:r>
                    <w:rPr>
                      <w:color w:val="000000"/>
                    </w:rPr>
                    <w:t>危险废物HW49（900-041-49）</w:t>
                  </w:r>
                </w:p>
              </w:tc>
              <w:tc>
                <w:tcPr>
                  <w:tcW w:w="1354" w:type="dxa"/>
                  <w:vAlign w:val="center"/>
                </w:tcPr>
                <w:p>
                  <w:pPr>
                    <w:snapToGrid w:val="0"/>
                    <w:spacing w:line="0" w:lineRule="atLeast"/>
                    <w:jc w:val="center"/>
                  </w:pPr>
                  <w:r>
                    <w:t>15.96</w:t>
                  </w:r>
                </w:p>
              </w:tc>
              <w:tc>
                <w:tcPr>
                  <w:tcW w:w="2712" w:type="dxa"/>
                  <w:vMerge w:val="continue"/>
                  <w:vAlign w:val="center"/>
                </w:tcPr>
                <w:p>
                  <w:pPr>
                    <w:pStyle w:val="13"/>
                    <w:spacing w:after="0" w:line="240" w:lineRule="atLeast"/>
                    <w:jc w:val="center"/>
                    <w:rPr>
                      <w:rFonts w:ascii="Times New Roman" w:hAnsi="Times New Roman" w:cs="Times New Roman"/>
                      <w:sz w:val="21"/>
                      <w:szCs w:val="21"/>
                    </w:rPr>
                  </w:pPr>
                </w:p>
              </w:tc>
            </w:tr>
          </w:tbl>
          <w:p>
            <w:pPr>
              <w:adjustRightInd w:val="0"/>
              <w:snapToGrid w:val="0"/>
              <w:rPr>
                <w:bCs/>
                <w:sz w:val="10"/>
                <w:szCs w:val="10"/>
              </w:rPr>
            </w:pPr>
          </w:p>
          <w:p>
            <w:pPr>
              <w:pStyle w:val="3"/>
              <w:spacing w:after="0" w:line="520" w:lineRule="exact"/>
              <w:ind w:left="0" w:leftChars="0" w:firstLine="482" w:firstLineChars="200"/>
              <w:jc w:val="left"/>
              <w:rPr>
                <w:rFonts w:ascii="Times New Roman" w:hAnsi="Times New Roman"/>
                <w:b/>
                <w:sz w:val="24"/>
                <w:szCs w:val="20"/>
              </w:rPr>
            </w:pPr>
            <w:r>
              <w:rPr>
                <w:rFonts w:ascii="Times New Roman" w:hAnsi="Times New Roman"/>
                <w:b/>
                <w:sz w:val="24"/>
                <w:szCs w:val="20"/>
              </w:rPr>
              <w:t>5、土壤环境</w:t>
            </w:r>
          </w:p>
          <w:p>
            <w:pPr>
              <w:tabs>
                <w:tab w:val="left" w:pos="1440"/>
                <w:tab w:val="left" w:pos="1800"/>
              </w:tabs>
              <w:adjustRightInd w:val="0"/>
              <w:snapToGrid w:val="0"/>
              <w:spacing w:line="520" w:lineRule="exact"/>
              <w:ind w:firstLine="480" w:firstLineChars="200"/>
              <w:rPr>
                <w:sz w:val="24"/>
              </w:rPr>
            </w:pPr>
            <w:r>
              <w:rPr>
                <w:sz w:val="24"/>
              </w:rPr>
              <w:t>本项目在非正常状况下油漆的跑、冒、滴、漏可能对土壤环境产生影响。在采取对整个机</w:t>
            </w:r>
            <w:r>
              <w:rPr>
                <w:color w:val="000000" w:themeColor="text1"/>
                <w:sz w:val="24"/>
                <w14:textFill>
                  <w14:solidFill>
                    <w14:schemeClr w14:val="tx1"/>
                  </w14:solidFill>
                </w14:textFill>
              </w:rPr>
              <w:t>库、油漆暂存区、地下导流沟等做硬化、防渗、防腐处理，并做好废水管网的防渗的前提下，项目运行过程对土壤环境影响较小。</w:t>
            </w:r>
          </w:p>
        </w:tc>
      </w:tr>
    </w:tbl>
    <w:p>
      <w:pPr>
        <w:tabs>
          <w:tab w:val="left" w:pos="5760"/>
        </w:tabs>
        <w:adjustRightInd w:val="0"/>
        <w:snapToGrid w:val="0"/>
        <w:spacing w:line="520" w:lineRule="exact"/>
        <w:rPr>
          <w:b/>
          <w:sz w:val="30"/>
          <w:szCs w:val="30"/>
        </w:rPr>
        <w:sectPr>
          <w:pgSz w:w="11906" w:h="16838"/>
          <w:pgMar w:top="1440" w:right="1286" w:bottom="1440" w:left="1440" w:header="851" w:footer="992" w:gutter="170"/>
          <w:cols w:space="720" w:num="1"/>
          <w:titlePg/>
          <w:docGrid w:type="lines" w:linePitch="312" w:charSpace="0"/>
        </w:sectPr>
      </w:pPr>
      <w:bookmarkStart w:id="88" w:name="_Toc193872738"/>
      <w:bookmarkStart w:id="89" w:name="_Toc171761618"/>
      <w:bookmarkStart w:id="90" w:name="_Toc178817701"/>
    </w:p>
    <w:p>
      <w:pPr>
        <w:tabs>
          <w:tab w:val="left" w:pos="5760"/>
        </w:tabs>
        <w:adjustRightInd w:val="0"/>
        <w:snapToGrid w:val="0"/>
        <w:spacing w:line="520" w:lineRule="exact"/>
        <w:rPr>
          <w:b/>
          <w:sz w:val="30"/>
          <w:szCs w:val="30"/>
        </w:rPr>
      </w:pPr>
      <w:r>
        <w:rPr>
          <w:b/>
          <w:sz w:val="30"/>
          <w:szCs w:val="30"/>
        </w:rPr>
        <w:t>项目主要污染物产生及预计排放情况</w:t>
      </w:r>
    </w:p>
    <w:bookmarkEnd w:id="88"/>
    <w:tbl>
      <w:tblPr>
        <w:tblStyle w:val="38"/>
        <w:tblW w:w="90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7"/>
        <w:gridCol w:w="1276"/>
        <w:gridCol w:w="1844"/>
        <w:gridCol w:w="2409"/>
        <w:gridCol w:w="28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2" w:hRule="atLeast"/>
          <w:jc w:val="center"/>
        </w:trPr>
        <w:tc>
          <w:tcPr>
            <w:tcW w:w="707" w:type="dxa"/>
            <w:tcBorders>
              <w:top w:val="single" w:color="auto" w:sz="4" w:space="0"/>
              <w:left w:val="single" w:color="auto" w:sz="4" w:space="0"/>
              <w:bottom w:val="single" w:color="auto" w:sz="6" w:space="0"/>
              <w:right w:val="single" w:color="auto" w:sz="6" w:space="0"/>
              <w:tl2br w:val="single" w:color="auto" w:sz="6" w:space="0"/>
            </w:tcBorders>
          </w:tcPr>
          <w:p>
            <w:pPr>
              <w:jc w:val="right"/>
              <w:rPr>
                <w:sz w:val="24"/>
              </w:rPr>
            </w:pPr>
            <w:bookmarkStart w:id="91" w:name="_Toc182830658"/>
            <w:bookmarkStart w:id="92" w:name="_Toc182888696"/>
            <w:bookmarkStart w:id="93" w:name="_Toc193872739"/>
            <w:bookmarkStart w:id="94" w:name="_Toc183170411"/>
            <w:bookmarkStart w:id="95" w:name="_Toc183088182"/>
            <w:bookmarkStart w:id="96" w:name="_Toc182819246"/>
            <w:bookmarkStart w:id="97" w:name="_Toc183006405"/>
            <w:r>
              <w:rPr>
                <w:sz w:val="24"/>
              </w:rPr>
              <w:t>内容</w:t>
            </w:r>
          </w:p>
          <w:p>
            <w:pPr>
              <w:rPr>
                <w:sz w:val="24"/>
              </w:rPr>
            </w:pPr>
            <w:r>
              <w:rPr>
                <w:sz w:val="24"/>
              </w:rPr>
              <w:t>类型</w:t>
            </w:r>
          </w:p>
        </w:tc>
        <w:tc>
          <w:tcPr>
            <w:tcW w:w="1276" w:type="dxa"/>
            <w:tcBorders>
              <w:top w:val="single" w:color="auto" w:sz="4" w:space="0"/>
              <w:left w:val="single" w:color="auto" w:sz="6" w:space="0"/>
              <w:bottom w:val="single" w:color="auto" w:sz="6" w:space="0"/>
              <w:right w:val="single" w:color="auto" w:sz="6" w:space="0"/>
            </w:tcBorders>
            <w:vAlign w:val="center"/>
          </w:tcPr>
          <w:p>
            <w:pPr>
              <w:jc w:val="center"/>
              <w:rPr>
                <w:sz w:val="24"/>
              </w:rPr>
            </w:pPr>
            <w:r>
              <w:rPr>
                <w:sz w:val="24"/>
              </w:rPr>
              <w:t>排放源</w:t>
            </w:r>
          </w:p>
          <w:p>
            <w:pPr>
              <w:jc w:val="center"/>
              <w:rPr>
                <w:sz w:val="24"/>
              </w:rPr>
            </w:pPr>
            <w:r>
              <w:rPr>
                <w:sz w:val="24"/>
              </w:rPr>
              <w:t>(编号)</w:t>
            </w:r>
          </w:p>
        </w:tc>
        <w:tc>
          <w:tcPr>
            <w:tcW w:w="1844" w:type="dxa"/>
            <w:tcBorders>
              <w:top w:val="single" w:color="auto" w:sz="4" w:space="0"/>
              <w:left w:val="single" w:color="auto" w:sz="6" w:space="0"/>
              <w:bottom w:val="single" w:color="auto" w:sz="6" w:space="0"/>
              <w:right w:val="single" w:color="auto" w:sz="6" w:space="0"/>
            </w:tcBorders>
            <w:vAlign w:val="center"/>
          </w:tcPr>
          <w:p>
            <w:pPr>
              <w:jc w:val="center"/>
              <w:rPr>
                <w:sz w:val="24"/>
              </w:rPr>
            </w:pPr>
            <w:r>
              <w:rPr>
                <w:sz w:val="24"/>
              </w:rPr>
              <w:t>污染物</w:t>
            </w:r>
          </w:p>
          <w:p>
            <w:pPr>
              <w:jc w:val="center"/>
              <w:rPr>
                <w:sz w:val="24"/>
              </w:rPr>
            </w:pPr>
            <w:r>
              <w:rPr>
                <w:sz w:val="24"/>
              </w:rPr>
              <w:t>名称</w:t>
            </w:r>
          </w:p>
        </w:tc>
        <w:tc>
          <w:tcPr>
            <w:tcW w:w="2409" w:type="dxa"/>
            <w:tcBorders>
              <w:top w:val="single" w:color="auto" w:sz="4" w:space="0"/>
              <w:left w:val="single" w:color="auto" w:sz="6" w:space="0"/>
              <w:bottom w:val="single" w:color="auto" w:sz="4" w:space="0"/>
              <w:right w:val="single" w:color="auto" w:sz="6" w:space="0"/>
            </w:tcBorders>
            <w:vAlign w:val="center"/>
          </w:tcPr>
          <w:p>
            <w:pPr>
              <w:jc w:val="center"/>
              <w:rPr>
                <w:sz w:val="24"/>
              </w:rPr>
            </w:pPr>
            <w:r>
              <w:rPr>
                <w:sz w:val="24"/>
              </w:rPr>
              <w:t>处理前产生浓度及产生量(单位)</w:t>
            </w:r>
          </w:p>
        </w:tc>
        <w:tc>
          <w:tcPr>
            <w:tcW w:w="2840" w:type="dxa"/>
            <w:tcBorders>
              <w:top w:val="single" w:color="auto" w:sz="4" w:space="0"/>
              <w:left w:val="single" w:color="auto" w:sz="6" w:space="0"/>
              <w:bottom w:val="single" w:color="auto" w:sz="4" w:space="0"/>
              <w:right w:val="single" w:color="auto" w:sz="4" w:space="0"/>
            </w:tcBorders>
            <w:vAlign w:val="center"/>
          </w:tcPr>
          <w:p>
            <w:pPr>
              <w:jc w:val="center"/>
              <w:rPr>
                <w:sz w:val="24"/>
              </w:rPr>
            </w:pPr>
            <w:r>
              <w:rPr>
                <w:sz w:val="24"/>
              </w:rPr>
              <w:t>处理后排放浓度及排放量(单位)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jc w:val="center"/>
        </w:trPr>
        <w:tc>
          <w:tcPr>
            <w:tcW w:w="707" w:type="dxa"/>
            <w:vMerge w:val="restart"/>
            <w:tcBorders>
              <w:top w:val="single" w:color="auto" w:sz="6" w:space="0"/>
              <w:left w:val="single" w:color="auto" w:sz="4" w:space="0"/>
              <w:right w:val="single" w:color="auto" w:sz="6" w:space="0"/>
            </w:tcBorders>
            <w:vAlign w:val="center"/>
          </w:tcPr>
          <w:p>
            <w:pPr>
              <w:jc w:val="center"/>
              <w:rPr>
                <w:sz w:val="24"/>
              </w:rPr>
            </w:pPr>
            <w:r>
              <w:rPr>
                <w:sz w:val="24"/>
              </w:rPr>
              <w:t>大</w:t>
            </w:r>
          </w:p>
          <w:p>
            <w:pPr>
              <w:jc w:val="center"/>
              <w:rPr>
                <w:sz w:val="24"/>
              </w:rPr>
            </w:pPr>
            <w:r>
              <w:rPr>
                <w:sz w:val="24"/>
              </w:rPr>
              <w:t>气</w:t>
            </w:r>
          </w:p>
          <w:p>
            <w:pPr>
              <w:jc w:val="center"/>
              <w:rPr>
                <w:sz w:val="24"/>
              </w:rPr>
            </w:pPr>
            <w:r>
              <w:rPr>
                <w:sz w:val="24"/>
              </w:rPr>
              <w:t>污</w:t>
            </w:r>
          </w:p>
          <w:p>
            <w:pPr>
              <w:jc w:val="center"/>
              <w:rPr>
                <w:sz w:val="24"/>
              </w:rPr>
            </w:pPr>
            <w:r>
              <w:rPr>
                <w:sz w:val="24"/>
              </w:rPr>
              <w:t>染</w:t>
            </w:r>
          </w:p>
          <w:p>
            <w:pPr>
              <w:jc w:val="center"/>
              <w:rPr>
                <w:sz w:val="24"/>
              </w:rPr>
            </w:pPr>
            <w:r>
              <w:rPr>
                <w:sz w:val="24"/>
              </w:rPr>
              <w:t>物</w:t>
            </w:r>
          </w:p>
        </w:tc>
        <w:tc>
          <w:tcPr>
            <w:tcW w:w="1276" w:type="dxa"/>
            <w:tcBorders>
              <w:top w:val="single" w:color="auto" w:sz="6" w:space="0"/>
              <w:left w:val="single" w:color="auto" w:sz="6" w:space="0"/>
              <w:bottom w:val="single" w:color="auto" w:sz="4" w:space="0"/>
              <w:right w:val="single" w:color="auto" w:sz="6" w:space="0"/>
            </w:tcBorders>
            <w:vAlign w:val="center"/>
          </w:tcPr>
          <w:p>
            <w:pPr>
              <w:jc w:val="center"/>
              <w:rPr>
                <w:bCs/>
              </w:rPr>
            </w:pPr>
            <w:r>
              <w:rPr>
                <w:bCs/>
              </w:rPr>
              <w:t>打磨工序</w:t>
            </w:r>
          </w:p>
        </w:tc>
        <w:tc>
          <w:tcPr>
            <w:tcW w:w="1844" w:type="dxa"/>
            <w:tcBorders>
              <w:top w:val="single" w:color="auto" w:sz="6" w:space="0"/>
              <w:left w:val="single" w:color="auto" w:sz="6" w:space="0"/>
              <w:bottom w:val="single" w:color="auto" w:sz="4" w:space="0"/>
              <w:right w:val="single" w:color="auto" w:sz="6" w:space="0"/>
            </w:tcBorders>
            <w:vAlign w:val="center"/>
          </w:tcPr>
          <w:p>
            <w:pPr>
              <w:pageBreakBefore/>
              <w:jc w:val="center"/>
            </w:pPr>
            <w:r>
              <w:t>粉尘</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1.68t/a，306.9mg/m</w:t>
            </w:r>
            <w:r>
              <w:rPr>
                <w:vertAlign w:val="superscript"/>
              </w:rPr>
              <w:t>3</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0.016t/a，3.4mg/m</w:t>
            </w:r>
            <w:r>
              <w:rPr>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restart"/>
            <w:tcBorders>
              <w:top w:val="single" w:color="auto" w:sz="4" w:space="0"/>
              <w:left w:val="single" w:color="auto" w:sz="6" w:space="0"/>
              <w:right w:val="single" w:color="auto" w:sz="6" w:space="0"/>
            </w:tcBorders>
            <w:vAlign w:val="center"/>
          </w:tcPr>
          <w:p>
            <w:pPr>
              <w:jc w:val="center"/>
              <w:rPr>
                <w:bCs/>
              </w:rPr>
            </w:pPr>
            <w:r>
              <w:rPr>
                <w:bCs/>
              </w:rPr>
              <w:t>喷漆及晾干工序</w:t>
            </w:r>
          </w:p>
        </w:tc>
        <w:tc>
          <w:tcPr>
            <w:tcW w:w="1844" w:type="dxa"/>
            <w:tcBorders>
              <w:top w:val="single" w:color="auto" w:sz="4" w:space="0"/>
              <w:left w:val="single" w:color="auto" w:sz="6" w:space="0"/>
              <w:bottom w:val="single" w:color="auto" w:sz="4" w:space="0"/>
              <w:right w:val="single" w:color="auto" w:sz="6" w:space="0"/>
            </w:tcBorders>
            <w:vAlign w:val="center"/>
          </w:tcPr>
          <w:p>
            <w:pPr>
              <w:pageBreakBefore/>
              <w:jc w:val="center"/>
            </w:pPr>
            <w:r>
              <w:t>漆雾</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1.44t/a，20mg/m</w:t>
            </w:r>
            <w:r>
              <w:rPr>
                <w:vertAlign w:val="superscript"/>
              </w:rPr>
              <w:t>3</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0.1368t/a，1.9mg/m</w:t>
            </w:r>
            <w:r>
              <w:rPr>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6" w:space="0"/>
            </w:tcBorders>
            <w:vAlign w:val="center"/>
          </w:tcPr>
          <w:p>
            <w:pPr>
              <w:jc w:val="center"/>
              <w:rPr>
                <w:bCs/>
              </w:rPr>
            </w:pPr>
          </w:p>
        </w:tc>
        <w:tc>
          <w:tcPr>
            <w:tcW w:w="1844" w:type="dxa"/>
            <w:tcBorders>
              <w:top w:val="single" w:color="auto" w:sz="4" w:space="0"/>
              <w:left w:val="single" w:color="auto" w:sz="6" w:space="0"/>
              <w:bottom w:val="single" w:color="auto" w:sz="4" w:space="0"/>
              <w:right w:val="single" w:color="auto" w:sz="6" w:space="0"/>
            </w:tcBorders>
            <w:vAlign w:val="center"/>
          </w:tcPr>
          <w:p>
            <w:pPr>
              <w:pageBreakBefore/>
              <w:jc w:val="center"/>
            </w:pPr>
            <w:r>
              <w:t>非甲烷总烃</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4.56t/a，63.34mg/m</w:t>
            </w:r>
            <w:r>
              <w:rPr>
                <w:vertAlign w:val="superscript"/>
              </w:rPr>
              <w:t>3</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0.6499t/a，9.03mg/m</w:t>
            </w:r>
            <w:r>
              <w:rPr>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6" w:space="0"/>
            </w:tcBorders>
            <w:vAlign w:val="center"/>
          </w:tcPr>
          <w:p>
            <w:pPr>
              <w:jc w:val="center"/>
              <w:rPr>
                <w:bCs/>
              </w:rPr>
            </w:pPr>
          </w:p>
        </w:tc>
        <w:tc>
          <w:tcPr>
            <w:tcW w:w="1844" w:type="dxa"/>
            <w:tcBorders>
              <w:top w:val="single" w:color="auto" w:sz="4" w:space="0"/>
              <w:left w:val="single" w:color="auto" w:sz="6" w:space="0"/>
              <w:bottom w:val="single" w:color="auto" w:sz="4" w:space="0"/>
              <w:right w:val="single" w:color="auto" w:sz="6" w:space="0"/>
            </w:tcBorders>
            <w:vAlign w:val="center"/>
          </w:tcPr>
          <w:p>
            <w:pPr>
              <w:pageBreakBefore/>
              <w:jc w:val="center"/>
            </w:pPr>
            <w:r>
              <w:t>甲苯+乙苯</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0.129t/a，1.7922mg/m</w:t>
            </w:r>
            <w:r>
              <w:rPr>
                <w:vertAlign w:val="superscript"/>
              </w:rPr>
              <w:t>3</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0.0192t/a，0.267mg/m</w:t>
            </w:r>
            <w:r>
              <w:rPr>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6" w:space="0"/>
            </w:tcBorders>
            <w:vAlign w:val="center"/>
          </w:tcPr>
          <w:p>
            <w:pPr>
              <w:jc w:val="center"/>
              <w:rPr>
                <w:bCs/>
              </w:rPr>
            </w:pPr>
          </w:p>
        </w:tc>
        <w:tc>
          <w:tcPr>
            <w:tcW w:w="1844" w:type="dxa"/>
            <w:tcBorders>
              <w:top w:val="single" w:color="auto" w:sz="6" w:space="0"/>
              <w:left w:val="single" w:color="auto" w:sz="6" w:space="0"/>
              <w:bottom w:val="single" w:color="auto" w:sz="4" w:space="0"/>
              <w:right w:val="single" w:color="auto" w:sz="6" w:space="0"/>
            </w:tcBorders>
            <w:vAlign w:val="center"/>
          </w:tcPr>
          <w:p>
            <w:pPr>
              <w:pageBreakBefore/>
              <w:jc w:val="center"/>
            </w:pPr>
            <w:r>
              <w:t>二甲苯</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0.259t/a，3.598mg/m</w:t>
            </w:r>
            <w:r>
              <w:rPr>
                <w:vertAlign w:val="superscript"/>
              </w:rPr>
              <w:t>3</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0.038t/a，0.53mg/m</w:t>
            </w:r>
            <w:r>
              <w:rPr>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restart"/>
            <w:tcBorders>
              <w:top w:val="single" w:color="auto" w:sz="4" w:space="0"/>
              <w:left w:val="single" w:color="auto" w:sz="4" w:space="0"/>
              <w:right w:val="single" w:color="auto" w:sz="6" w:space="0"/>
            </w:tcBorders>
            <w:vAlign w:val="center"/>
          </w:tcPr>
          <w:p>
            <w:pPr>
              <w:jc w:val="center"/>
              <w:rPr>
                <w:sz w:val="24"/>
              </w:rPr>
            </w:pPr>
            <w:r>
              <w:rPr>
                <w:sz w:val="24"/>
              </w:rPr>
              <w:t>水</w:t>
            </w:r>
          </w:p>
          <w:p>
            <w:pPr>
              <w:jc w:val="center"/>
              <w:rPr>
                <w:sz w:val="24"/>
              </w:rPr>
            </w:pPr>
            <w:r>
              <w:rPr>
                <w:sz w:val="24"/>
              </w:rPr>
              <w:t>污</w:t>
            </w:r>
          </w:p>
          <w:p>
            <w:pPr>
              <w:jc w:val="center"/>
              <w:rPr>
                <w:sz w:val="24"/>
              </w:rPr>
            </w:pPr>
            <w:r>
              <w:rPr>
                <w:sz w:val="24"/>
              </w:rPr>
              <w:t>染</w:t>
            </w:r>
          </w:p>
          <w:p>
            <w:pPr>
              <w:jc w:val="center"/>
              <w:rPr>
                <w:sz w:val="24"/>
              </w:rPr>
            </w:pPr>
            <w:r>
              <w:rPr>
                <w:sz w:val="24"/>
              </w:rPr>
              <w:t>物</w:t>
            </w:r>
          </w:p>
        </w:tc>
        <w:tc>
          <w:tcPr>
            <w:tcW w:w="1276" w:type="dxa"/>
            <w:vMerge w:val="restart"/>
            <w:tcBorders>
              <w:top w:val="single" w:color="auto" w:sz="4" w:space="0"/>
              <w:left w:val="single" w:color="auto" w:sz="6" w:space="0"/>
              <w:right w:val="single" w:color="auto" w:sz="4" w:space="0"/>
            </w:tcBorders>
            <w:vAlign w:val="center"/>
          </w:tcPr>
          <w:p>
            <w:pPr>
              <w:jc w:val="center"/>
              <w:rPr>
                <w:spacing w:val="-20"/>
              </w:rPr>
            </w:pPr>
            <w:r>
              <w:rPr>
                <w:spacing w:val="-20"/>
              </w:rPr>
              <w:t>生活污水357.78m</w:t>
            </w:r>
            <w:r>
              <w:rPr>
                <w:spacing w:val="-20"/>
                <w:vertAlign w:val="superscript"/>
              </w:rPr>
              <w:t>3</w:t>
            </w:r>
            <w:r>
              <w:rPr>
                <w:spacing w:val="-20"/>
              </w:rPr>
              <w:t>/a</w:t>
            </w:r>
          </w:p>
        </w:tc>
        <w:tc>
          <w:tcPr>
            <w:tcW w:w="1844" w:type="dxa"/>
            <w:tcBorders>
              <w:top w:val="single" w:color="auto" w:sz="4" w:space="0"/>
              <w:left w:val="single" w:color="auto" w:sz="4" w:space="0"/>
              <w:right w:val="single" w:color="auto" w:sz="6" w:space="0"/>
            </w:tcBorders>
            <w:vAlign w:val="center"/>
          </w:tcPr>
          <w:p>
            <w:pPr>
              <w:jc w:val="center"/>
            </w:pPr>
            <w:r>
              <w:t>COD</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0.2t/a，350mg/L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0.17t/a，298mg/L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rPr>
            </w:pPr>
          </w:p>
        </w:tc>
        <w:tc>
          <w:tcPr>
            <w:tcW w:w="1844" w:type="dxa"/>
            <w:tcBorders>
              <w:top w:val="single" w:color="auto" w:sz="4" w:space="0"/>
              <w:left w:val="single" w:color="auto" w:sz="4" w:space="0"/>
              <w:right w:val="single" w:color="auto" w:sz="6" w:space="0"/>
            </w:tcBorders>
            <w:vAlign w:val="center"/>
          </w:tcPr>
          <w:p>
            <w:pPr>
              <w:jc w:val="center"/>
            </w:pPr>
            <w:r>
              <w:t>BOD</w:t>
            </w:r>
            <w:r>
              <w:rPr>
                <w:vertAlign w:val="subscript"/>
              </w:rPr>
              <w:t>5</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0.11t/a，180mg/L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0.093t/a，162mg/L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rPr>
            </w:pPr>
          </w:p>
        </w:tc>
        <w:tc>
          <w:tcPr>
            <w:tcW w:w="1844" w:type="dxa"/>
            <w:tcBorders>
              <w:top w:val="single" w:color="auto" w:sz="4" w:space="0"/>
              <w:left w:val="single" w:color="auto" w:sz="4" w:space="0"/>
              <w:right w:val="single" w:color="auto" w:sz="6" w:space="0"/>
            </w:tcBorders>
            <w:vAlign w:val="center"/>
          </w:tcPr>
          <w:p>
            <w:pPr>
              <w:jc w:val="center"/>
            </w:pPr>
            <w:r>
              <w:t>SS</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0.069t/a，120mg/L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0.049t/a，84mg/L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rPr>
            </w:pPr>
          </w:p>
        </w:tc>
        <w:tc>
          <w:tcPr>
            <w:tcW w:w="1844" w:type="dxa"/>
            <w:tcBorders>
              <w:top w:val="single" w:color="auto" w:sz="4" w:space="0"/>
              <w:left w:val="single" w:color="auto" w:sz="4" w:space="0"/>
              <w:right w:val="single" w:color="auto" w:sz="6" w:space="0"/>
            </w:tcBorders>
            <w:vAlign w:val="center"/>
          </w:tcPr>
          <w:p>
            <w:pPr>
              <w:jc w:val="center"/>
            </w:pPr>
            <w:r>
              <w:rPr>
                <w:bCs/>
              </w:rPr>
              <w:t>NH</w:t>
            </w:r>
            <w:r>
              <w:rPr>
                <w:bCs/>
                <w:vertAlign w:val="subscript"/>
              </w:rPr>
              <w:t>3</w:t>
            </w:r>
            <w:r>
              <w:rPr>
                <w:bCs/>
              </w:rPr>
              <w:t>-N</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0.012t/a，20mg/L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0.012t/a，20mg/L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rPr>
            </w:pPr>
          </w:p>
        </w:tc>
        <w:tc>
          <w:tcPr>
            <w:tcW w:w="1844" w:type="dxa"/>
            <w:tcBorders>
              <w:top w:val="single" w:color="auto" w:sz="4" w:space="0"/>
              <w:left w:val="single" w:color="auto" w:sz="4" w:space="0"/>
              <w:right w:val="single" w:color="auto" w:sz="6" w:space="0"/>
            </w:tcBorders>
            <w:vAlign w:val="center"/>
          </w:tcPr>
          <w:p>
            <w:pPr>
              <w:jc w:val="center"/>
            </w:pPr>
            <w:r>
              <w:t>TP</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0.004t/a，7mg/L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0.004t/a，7mg/L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rPr>
            </w:pPr>
          </w:p>
        </w:tc>
        <w:tc>
          <w:tcPr>
            <w:tcW w:w="1844" w:type="dxa"/>
            <w:tcBorders>
              <w:top w:val="single" w:color="auto" w:sz="4" w:space="0"/>
              <w:left w:val="single" w:color="auto" w:sz="4" w:space="0"/>
              <w:right w:val="single" w:color="auto" w:sz="6" w:space="0"/>
            </w:tcBorders>
            <w:vAlign w:val="center"/>
          </w:tcPr>
          <w:p>
            <w:pPr>
              <w:jc w:val="center"/>
            </w:pPr>
            <w:r>
              <w:t>TN</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0.018t/a，30mg/L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0.018t/a，30mg/L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restart"/>
            <w:tcBorders>
              <w:top w:val="single" w:color="auto" w:sz="4" w:space="0"/>
              <w:left w:val="single" w:color="auto" w:sz="6" w:space="0"/>
              <w:right w:val="single" w:color="auto" w:sz="4" w:space="0"/>
            </w:tcBorders>
            <w:vAlign w:val="center"/>
          </w:tcPr>
          <w:p>
            <w:pPr>
              <w:jc w:val="center"/>
              <w:rPr>
                <w:spacing w:val="-20"/>
                <w:highlight w:val="yellow"/>
              </w:rPr>
            </w:pPr>
            <w:r>
              <w:rPr>
                <w:spacing w:val="-20"/>
              </w:rPr>
              <w:t>生产废水</w:t>
            </w:r>
            <w:r>
              <w:rPr>
                <w:rFonts w:hint="eastAsia"/>
                <w:spacing w:val="-20"/>
              </w:rPr>
              <w:t>3</w:t>
            </w:r>
            <w:r>
              <w:rPr>
                <w:spacing w:val="-20"/>
              </w:rPr>
              <w:t>2.4m</w:t>
            </w:r>
            <w:r>
              <w:rPr>
                <w:spacing w:val="-20"/>
                <w:vertAlign w:val="superscript"/>
              </w:rPr>
              <w:t>3</w:t>
            </w:r>
            <w:r>
              <w:rPr>
                <w:spacing w:val="-20"/>
              </w:rPr>
              <w:t>/a</w:t>
            </w:r>
          </w:p>
        </w:tc>
        <w:tc>
          <w:tcPr>
            <w:tcW w:w="1844" w:type="dxa"/>
            <w:tcBorders>
              <w:top w:val="single" w:color="auto" w:sz="4" w:space="0"/>
              <w:left w:val="single" w:color="auto" w:sz="4" w:space="0"/>
              <w:right w:val="single" w:color="auto" w:sz="6" w:space="0"/>
            </w:tcBorders>
            <w:vAlign w:val="center"/>
          </w:tcPr>
          <w:p>
            <w:pPr>
              <w:jc w:val="center"/>
            </w:pPr>
            <w:r>
              <w:t>COD</w:t>
            </w:r>
          </w:p>
        </w:tc>
        <w:tc>
          <w:tcPr>
            <w:tcW w:w="2409" w:type="dxa"/>
            <w:tcBorders>
              <w:top w:val="single" w:color="auto" w:sz="6" w:space="0"/>
              <w:left w:val="single" w:color="auto" w:sz="6" w:space="0"/>
              <w:bottom w:val="single" w:color="auto" w:sz="4" w:space="0"/>
              <w:right w:val="single" w:color="auto" w:sz="4" w:space="0"/>
            </w:tcBorders>
            <w:vAlign w:val="center"/>
          </w:tcPr>
          <w:p>
            <w:pPr>
              <w:jc w:val="center"/>
            </w:pPr>
            <w:r>
              <w:t>0.018t/a，550mg/L</w:t>
            </w:r>
          </w:p>
        </w:tc>
        <w:tc>
          <w:tcPr>
            <w:tcW w:w="2840" w:type="dxa"/>
            <w:tcBorders>
              <w:top w:val="single" w:color="auto" w:sz="6" w:space="0"/>
              <w:left w:val="single" w:color="auto" w:sz="4" w:space="0"/>
              <w:bottom w:val="single" w:color="auto" w:sz="4" w:space="0"/>
              <w:right w:val="single" w:color="auto" w:sz="4" w:space="0"/>
            </w:tcBorders>
            <w:vAlign w:val="center"/>
          </w:tcPr>
          <w:p>
            <w:pPr>
              <w:jc w:val="center"/>
            </w:pPr>
            <w:r>
              <w:t>0.018t/a，550mg/L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2"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right w:val="single" w:color="auto" w:sz="6" w:space="0"/>
            </w:tcBorders>
            <w:vAlign w:val="center"/>
          </w:tcPr>
          <w:p>
            <w:pPr>
              <w:jc w:val="center"/>
            </w:pPr>
            <w:r>
              <w:t>BOD</w:t>
            </w:r>
            <w:r>
              <w:rPr>
                <w:vertAlign w:val="subscript"/>
              </w:rPr>
              <w:t>5</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0.012t/a，350mg/L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0.012t/a，350mg/L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2"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right w:val="single" w:color="auto" w:sz="6" w:space="0"/>
            </w:tcBorders>
            <w:vAlign w:val="center"/>
          </w:tcPr>
          <w:p>
            <w:pPr>
              <w:jc w:val="center"/>
            </w:pPr>
            <w:r>
              <w:t>SS</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0.013t/a，400mg/L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0.0026t/a，80mg/L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right w:val="single" w:color="auto" w:sz="6" w:space="0"/>
            </w:tcBorders>
            <w:vAlign w:val="center"/>
          </w:tcPr>
          <w:p>
            <w:pPr>
              <w:jc w:val="center"/>
            </w:pPr>
            <w:r>
              <w:rPr>
                <w:bCs/>
              </w:rPr>
              <w:t>NH</w:t>
            </w:r>
            <w:r>
              <w:rPr>
                <w:bCs/>
                <w:vertAlign w:val="subscript"/>
              </w:rPr>
              <w:t>3</w:t>
            </w:r>
            <w:r>
              <w:rPr>
                <w:bCs/>
              </w:rPr>
              <w:t>-N</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0.00081t/a，25mg/L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0.00081t/a，25mg/L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right w:val="single" w:color="auto" w:sz="6" w:space="0"/>
            </w:tcBorders>
            <w:vAlign w:val="center"/>
          </w:tcPr>
          <w:p>
            <w:pPr>
              <w:jc w:val="center"/>
            </w:pPr>
            <w:r>
              <w:t>TP</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0.00023t/a，7mg/L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0.00023t/a，7mg/L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bottom w:val="single" w:color="auto" w:sz="4" w:space="0"/>
              <w:right w:val="single" w:color="auto" w:sz="6" w:space="0"/>
            </w:tcBorders>
            <w:vAlign w:val="center"/>
          </w:tcPr>
          <w:p>
            <w:pPr>
              <w:jc w:val="center"/>
            </w:pPr>
            <w:r>
              <w:t>TN</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0.0012t/a，35mg/L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0.0012t/a，35mg/L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jc w:val="center"/>
              <w:rPr>
                <w:sz w:val="24"/>
              </w:rPr>
            </w:pPr>
          </w:p>
        </w:tc>
        <w:tc>
          <w:tcPr>
            <w:tcW w:w="1276" w:type="dxa"/>
            <w:vMerge w:val="continue"/>
            <w:tcBorders>
              <w:left w:val="single" w:color="auto" w:sz="6"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bottom w:val="single" w:color="auto" w:sz="4" w:space="0"/>
              <w:right w:val="single" w:color="auto" w:sz="6" w:space="0"/>
            </w:tcBorders>
            <w:vAlign w:val="center"/>
          </w:tcPr>
          <w:p>
            <w:pPr>
              <w:jc w:val="center"/>
            </w:pPr>
            <w:r>
              <w:t>LAS</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0.00098t/a，30mg/L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0.00098t/a，30mg/L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jc w:val="center"/>
        </w:trPr>
        <w:tc>
          <w:tcPr>
            <w:tcW w:w="707" w:type="dxa"/>
            <w:vMerge w:val="continue"/>
            <w:tcBorders>
              <w:left w:val="single" w:color="auto" w:sz="4" w:space="0"/>
              <w:bottom w:val="single" w:color="auto" w:sz="4" w:space="0"/>
              <w:right w:val="single" w:color="auto" w:sz="6" w:space="0"/>
            </w:tcBorders>
            <w:vAlign w:val="center"/>
          </w:tcPr>
          <w:p>
            <w:pPr>
              <w:jc w:val="center"/>
              <w:rPr>
                <w:sz w:val="24"/>
              </w:rPr>
            </w:pPr>
          </w:p>
        </w:tc>
        <w:tc>
          <w:tcPr>
            <w:tcW w:w="1276" w:type="dxa"/>
            <w:vMerge w:val="continue"/>
            <w:tcBorders>
              <w:left w:val="single" w:color="auto" w:sz="6" w:space="0"/>
              <w:bottom w:val="single" w:color="auto" w:sz="4" w:space="0"/>
              <w:right w:val="single" w:color="auto" w:sz="4" w:space="0"/>
            </w:tcBorders>
            <w:vAlign w:val="center"/>
          </w:tcPr>
          <w:p>
            <w:pPr>
              <w:jc w:val="center"/>
              <w:rPr>
                <w:spacing w:val="-20"/>
                <w:highlight w:val="yellow"/>
              </w:rPr>
            </w:pPr>
          </w:p>
        </w:tc>
        <w:tc>
          <w:tcPr>
            <w:tcW w:w="1844" w:type="dxa"/>
            <w:tcBorders>
              <w:top w:val="single" w:color="auto" w:sz="6" w:space="0"/>
              <w:left w:val="single" w:color="auto" w:sz="4" w:space="0"/>
              <w:bottom w:val="single" w:color="auto" w:sz="4" w:space="0"/>
              <w:right w:val="single" w:color="auto" w:sz="6" w:space="0"/>
            </w:tcBorders>
            <w:vAlign w:val="center"/>
          </w:tcPr>
          <w:p>
            <w:pPr>
              <w:jc w:val="center"/>
            </w:pPr>
            <w:r>
              <w:t>石油类</w:t>
            </w:r>
          </w:p>
        </w:tc>
        <w:tc>
          <w:tcPr>
            <w:tcW w:w="2409" w:type="dxa"/>
            <w:tcBorders>
              <w:top w:val="single" w:color="auto" w:sz="4" w:space="0"/>
              <w:left w:val="single" w:color="auto" w:sz="6" w:space="0"/>
              <w:bottom w:val="single" w:color="auto" w:sz="4" w:space="0"/>
              <w:right w:val="single" w:color="auto" w:sz="4" w:space="0"/>
            </w:tcBorders>
            <w:vAlign w:val="center"/>
          </w:tcPr>
          <w:p>
            <w:pPr>
              <w:jc w:val="center"/>
            </w:pPr>
            <w:r>
              <w:t>0.00065t/a，20mg/L</w:t>
            </w:r>
          </w:p>
        </w:tc>
        <w:tc>
          <w:tcPr>
            <w:tcW w:w="2840" w:type="dxa"/>
            <w:tcBorders>
              <w:top w:val="single" w:color="auto" w:sz="4" w:space="0"/>
              <w:left w:val="single" w:color="auto" w:sz="4" w:space="0"/>
              <w:bottom w:val="single" w:color="auto" w:sz="4" w:space="0"/>
              <w:right w:val="single" w:color="auto" w:sz="4" w:space="0"/>
            </w:tcBorders>
            <w:vAlign w:val="center"/>
          </w:tcPr>
          <w:p>
            <w:pPr>
              <w:jc w:val="center"/>
            </w:pPr>
            <w:r>
              <w:t>0.00065t/a，20mg/L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94" w:hRule="atLeast"/>
          <w:jc w:val="center"/>
        </w:trPr>
        <w:tc>
          <w:tcPr>
            <w:tcW w:w="707" w:type="dxa"/>
            <w:vMerge w:val="restart"/>
            <w:tcBorders>
              <w:top w:val="single" w:color="auto" w:sz="6" w:space="0"/>
              <w:left w:val="single" w:color="auto" w:sz="4" w:space="0"/>
              <w:right w:val="single" w:color="auto" w:sz="6" w:space="0"/>
            </w:tcBorders>
            <w:vAlign w:val="center"/>
          </w:tcPr>
          <w:p>
            <w:pPr>
              <w:jc w:val="center"/>
              <w:rPr>
                <w:sz w:val="24"/>
              </w:rPr>
            </w:pPr>
            <w:r>
              <w:rPr>
                <w:sz w:val="24"/>
              </w:rPr>
              <w:t>固</w:t>
            </w:r>
          </w:p>
          <w:p>
            <w:pPr>
              <w:jc w:val="center"/>
              <w:rPr>
                <w:sz w:val="24"/>
              </w:rPr>
            </w:pPr>
            <w:r>
              <w:rPr>
                <w:sz w:val="24"/>
              </w:rPr>
              <w:t>体</w:t>
            </w:r>
          </w:p>
          <w:p>
            <w:pPr>
              <w:jc w:val="center"/>
              <w:rPr>
                <w:sz w:val="24"/>
              </w:rPr>
            </w:pPr>
            <w:r>
              <w:rPr>
                <w:sz w:val="24"/>
              </w:rPr>
              <w:t>废</w:t>
            </w:r>
          </w:p>
          <w:p>
            <w:pPr>
              <w:jc w:val="center"/>
              <w:rPr>
                <w:sz w:val="24"/>
              </w:rPr>
            </w:pPr>
            <w:r>
              <w:rPr>
                <w:sz w:val="24"/>
              </w:rPr>
              <w:t>物</w:t>
            </w: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spacing w:val="-20"/>
              </w:rPr>
            </w:pPr>
            <w:r>
              <w:rPr>
                <w:color w:val="000000"/>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废旧零部件</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1t/a</w:t>
            </w:r>
          </w:p>
        </w:tc>
        <w:tc>
          <w:tcPr>
            <w:tcW w:w="2840" w:type="dxa"/>
            <w:vMerge w:val="restart"/>
            <w:tcBorders>
              <w:top w:val="single" w:color="auto" w:sz="4" w:space="0"/>
              <w:left w:val="single" w:color="auto" w:sz="6" w:space="0"/>
              <w:right w:val="single" w:color="auto" w:sz="4" w:space="0"/>
            </w:tcBorders>
            <w:vAlign w:val="center"/>
          </w:tcPr>
          <w:p>
            <w:pPr>
              <w:pStyle w:val="13"/>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收集后统一外售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000000"/>
              </w:rPr>
            </w:pPr>
            <w:r>
              <w:rPr>
                <w:color w:val="000000"/>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废旧包装盒</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0.2t/a</w:t>
            </w:r>
          </w:p>
        </w:tc>
        <w:tc>
          <w:tcPr>
            <w:tcW w:w="2840" w:type="dxa"/>
            <w:vMerge w:val="continue"/>
            <w:tcBorders>
              <w:left w:val="single" w:color="auto" w:sz="6" w:space="0"/>
              <w:right w:val="single" w:color="auto" w:sz="4" w:space="0"/>
            </w:tcBorders>
            <w:vAlign w:val="center"/>
          </w:tcPr>
          <w:p>
            <w:pPr>
              <w:pStyle w:val="13"/>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spacing w:val="-20"/>
              </w:rPr>
            </w:pPr>
            <w:r>
              <w:rPr>
                <w:color w:val="000000"/>
              </w:rPr>
              <w:t>日常办公</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rPr>
            </w:pPr>
            <w:r>
              <w:rPr>
                <w:color w:val="000000"/>
              </w:rPr>
              <w:t>生活垃圾</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FF0000"/>
              </w:rPr>
            </w:pPr>
            <w:r>
              <w:rPr>
                <w:color w:val="000000"/>
              </w:rPr>
              <w:t>9.855t/a</w:t>
            </w:r>
          </w:p>
        </w:tc>
        <w:tc>
          <w:tcPr>
            <w:tcW w:w="2840" w:type="dxa"/>
            <w:tcBorders>
              <w:top w:val="single" w:color="auto" w:sz="4" w:space="0"/>
              <w:left w:val="single" w:color="auto" w:sz="6" w:space="0"/>
              <w:bottom w:val="single" w:color="auto" w:sz="4" w:space="0"/>
              <w:right w:val="single" w:color="auto" w:sz="4" w:space="0"/>
            </w:tcBorders>
            <w:vAlign w:val="center"/>
          </w:tcPr>
          <w:p>
            <w:pPr>
              <w:pStyle w:val="13"/>
              <w:jc w:val="center"/>
              <w:rPr>
                <w:rFonts w:ascii="Times New Roman" w:hAnsi="Times New Roman" w:cs="Times New Roman"/>
                <w:bCs/>
                <w:color w:val="FF0000"/>
                <w:sz w:val="21"/>
                <w:szCs w:val="21"/>
              </w:rPr>
            </w:pPr>
            <w:r>
              <w:rPr>
                <w:rFonts w:ascii="Times New Roman" w:hAnsi="Times New Roman" w:cs="Times New Roman"/>
                <w:color w:val="000000"/>
                <w:sz w:val="21"/>
                <w:szCs w:val="21"/>
              </w:rPr>
              <w:t>统一交由环卫部门处置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spacing w:val="-20"/>
              </w:rPr>
            </w:pPr>
            <w:r>
              <w:rPr>
                <w:color w:val="000000"/>
              </w:rPr>
              <w:t>喷漆工序</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rPr>
            </w:pPr>
            <w:r>
              <w:rPr>
                <w:color w:val="000000"/>
              </w:rPr>
              <w:t>废有机溶剂桶</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FF0000"/>
              </w:rPr>
            </w:pPr>
            <w:r>
              <w:rPr>
                <w:color w:val="000000"/>
              </w:rPr>
              <w:t>2t/a</w:t>
            </w:r>
          </w:p>
        </w:tc>
        <w:tc>
          <w:tcPr>
            <w:tcW w:w="2840" w:type="dxa"/>
            <w:vMerge w:val="restart"/>
            <w:tcBorders>
              <w:top w:val="single" w:color="auto" w:sz="4" w:space="0"/>
              <w:left w:val="single" w:color="auto" w:sz="6" w:space="0"/>
              <w:right w:val="single" w:color="auto" w:sz="4" w:space="0"/>
            </w:tcBorders>
            <w:vAlign w:val="center"/>
          </w:tcPr>
          <w:p>
            <w:pPr>
              <w:snapToGrid w:val="0"/>
              <w:jc w:val="center"/>
              <w:rPr>
                <w:bCs/>
                <w:color w:val="FF0000"/>
              </w:rPr>
            </w:pPr>
            <w:r>
              <w:rPr>
                <w:color w:val="000000"/>
              </w:rPr>
              <w:t>由维修基地危废暂存间暂存后，交由有资质单位处理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spacing w:val="-20"/>
              </w:rPr>
            </w:pPr>
            <w:r>
              <w:rPr>
                <w:color w:val="000000"/>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rPr>
            </w:pPr>
            <w:r>
              <w:rPr>
                <w:color w:val="000000"/>
              </w:rPr>
              <w:t>废机油、含有手套、抹布</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FF0000"/>
              </w:rPr>
            </w:pPr>
            <w:r>
              <w:t>0.5t/a</w:t>
            </w:r>
          </w:p>
        </w:tc>
        <w:tc>
          <w:tcPr>
            <w:tcW w:w="2840" w:type="dxa"/>
            <w:vMerge w:val="continue"/>
            <w:tcBorders>
              <w:left w:val="single" w:color="auto" w:sz="6" w:space="0"/>
              <w:right w:val="single" w:color="auto" w:sz="4" w:space="0"/>
            </w:tcBorders>
            <w:vAlign w:val="center"/>
          </w:tcPr>
          <w:p>
            <w:pPr>
              <w:snapToGrid w:val="0"/>
              <w:jc w:val="center"/>
              <w:rPr>
                <w:bCs/>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000000"/>
              </w:rPr>
            </w:pPr>
            <w:r>
              <w:rPr>
                <w:color w:val="000000"/>
              </w:rPr>
              <w:t>废水过滤</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000000"/>
              </w:rPr>
            </w:pPr>
            <w:r>
              <w:rPr>
                <w:color w:val="000000"/>
              </w:rPr>
              <w:t>废过滤棉（含杂质）</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pPr>
            <w:r>
              <w:t>0.8t/a</w:t>
            </w:r>
          </w:p>
        </w:tc>
        <w:tc>
          <w:tcPr>
            <w:tcW w:w="2840" w:type="dxa"/>
            <w:vMerge w:val="continue"/>
            <w:tcBorders>
              <w:left w:val="single" w:color="auto" w:sz="6" w:space="0"/>
              <w:right w:val="single" w:color="auto" w:sz="4" w:space="0"/>
            </w:tcBorders>
            <w:vAlign w:val="center"/>
          </w:tcPr>
          <w:p>
            <w:pPr>
              <w:snapToGrid w:val="0"/>
              <w:jc w:val="center"/>
              <w:rPr>
                <w:bCs/>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jc w:val="center"/>
              <w:rPr>
                <w:sz w:val="24"/>
              </w:rPr>
            </w:pPr>
          </w:p>
        </w:tc>
        <w:tc>
          <w:tcPr>
            <w:tcW w:w="1276"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spacing w:val="-20"/>
              </w:rPr>
            </w:pPr>
            <w:r>
              <w:rPr>
                <w:color w:val="000000"/>
              </w:rPr>
              <w:t>环保设备</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rPr>
                <w:color w:val="FF0000"/>
              </w:rPr>
            </w:pPr>
            <w:r>
              <w:rPr>
                <w:color w:val="000000"/>
              </w:rPr>
              <w:t>废</w:t>
            </w:r>
            <w:r>
              <w:rPr>
                <w:rFonts w:hint="eastAsia"/>
                <w:color w:val="000000"/>
              </w:rPr>
              <w:t>滤芯</w:t>
            </w:r>
            <w:r>
              <w:rPr>
                <w:color w:val="000000"/>
              </w:rPr>
              <w:t>（含</w:t>
            </w:r>
            <w:r>
              <w:rPr>
                <w:color w:val="000000"/>
                <w:highlight w:val="none"/>
              </w:rPr>
              <w:t>漆雾</w:t>
            </w:r>
            <w:r>
              <w:rPr>
                <w:color w:val="000000"/>
              </w:rPr>
              <w:t>）</w:t>
            </w:r>
            <w:r>
              <w:rPr>
                <w:rFonts w:hint="eastAsia"/>
                <w:color w:val="000000"/>
              </w:rPr>
              <w:t>、废滤芯（含漆粉尘）</w:t>
            </w:r>
          </w:p>
        </w:tc>
        <w:tc>
          <w:tcPr>
            <w:tcW w:w="2409" w:type="dxa"/>
            <w:tcBorders>
              <w:top w:val="single" w:color="auto" w:sz="4" w:space="0"/>
              <w:left w:val="single" w:color="auto" w:sz="6" w:space="0"/>
              <w:bottom w:val="single" w:color="auto" w:sz="4" w:space="0"/>
              <w:right w:val="single" w:color="auto" w:sz="6" w:space="0"/>
            </w:tcBorders>
            <w:vAlign w:val="center"/>
          </w:tcPr>
          <w:p>
            <w:pPr>
              <w:snapToGrid w:val="0"/>
              <w:spacing w:line="0" w:lineRule="atLeast"/>
              <w:jc w:val="center"/>
              <w:rPr>
                <w:color w:val="FF0000"/>
              </w:rPr>
            </w:pPr>
            <w:r>
              <w:rPr>
                <w:rFonts w:hint="eastAsia"/>
              </w:rPr>
              <w:t>5.8</w:t>
            </w:r>
            <w:r>
              <w:t>04t/a</w:t>
            </w:r>
          </w:p>
        </w:tc>
        <w:tc>
          <w:tcPr>
            <w:tcW w:w="2840" w:type="dxa"/>
            <w:vMerge w:val="continue"/>
            <w:tcBorders>
              <w:left w:val="single" w:color="auto" w:sz="6" w:space="0"/>
              <w:right w:val="single" w:color="auto" w:sz="4" w:space="0"/>
            </w:tcBorders>
            <w:vAlign w:val="center"/>
          </w:tcPr>
          <w:p>
            <w:pPr>
              <w:snapToGrid w:val="0"/>
              <w:jc w:val="center"/>
              <w:rPr>
                <w:bCs/>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7" w:hRule="atLeast"/>
          <w:jc w:val="center"/>
        </w:trPr>
        <w:tc>
          <w:tcPr>
            <w:tcW w:w="707" w:type="dxa"/>
            <w:vMerge w:val="continue"/>
            <w:tcBorders>
              <w:left w:val="single" w:color="auto" w:sz="4" w:space="0"/>
              <w:right w:val="single" w:color="auto" w:sz="6" w:space="0"/>
            </w:tcBorders>
            <w:vAlign w:val="center"/>
          </w:tcPr>
          <w:p>
            <w:pPr>
              <w:snapToGrid w:val="0"/>
              <w:jc w:val="center"/>
            </w:pPr>
          </w:p>
        </w:tc>
        <w:tc>
          <w:tcPr>
            <w:tcW w:w="1276" w:type="dxa"/>
            <w:tcBorders>
              <w:top w:val="single" w:color="auto" w:sz="4" w:space="0"/>
              <w:left w:val="single" w:color="auto" w:sz="6" w:space="0"/>
              <w:right w:val="single" w:color="auto" w:sz="6" w:space="0"/>
            </w:tcBorders>
            <w:vAlign w:val="center"/>
          </w:tcPr>
          <w:p>
            <w:pPr>
              <w:snapToGrid w:val="0"/>
              <w:jc w:val="center"/>
            </w:pPr>
            <w:r>
              <w:rPr>
                <w:color w:val="000000"/>
              </w:rPr>
              <w:t>环保设备</w:t>
            </w:r>
          </w:p>
        </w:tc>
        <w:tc>
          <w:tcPr>
            <w:tcW w:w="1844" w:type="dxa"/>
            <w:tcBorders>
              <w:top w:val="single" w:color="auto" w:sz="4" w:space="0"/>
              <w:left w:val="single" w:color="auto" w:sz="6" w:space="0"/>
              <w:bottom w:val="single" w:color="auto" w:sz="4" w:space="0"/>
              <w:right w:val="single" w:color="auto" w:sz="6" w:space="0"/>
            </w:tcBorders>
            <w:vAlign w:val="center"/>
          </w:tcPr>
          <w:p>
            <w:pPr>
              <w:snapToGrid w:val="0"/>
              <w:jc w:val="center"/>
            </w:pPr>
            <w:r>
              <w:rPr>
                <w:color w:val="000000"/>
              </w:rPr>
              <w:t>废活性炭</w:t>
            </w:r>
          </w:p>
        </w:tc>
        <w:tc>
          <w:tcPr>
            <w:tcW w:w="2409" w:type="dxa"/>
            <w:tcBorders>
              <w:top w:val="single" w:color="auto" w:sz="4" w:space="0"/>
              <w:left w:val="single" w:color="auto" w:sz="6" w:space="0"/>
              <w:right w:val="single" w:color="auto" w:sz="6" w:space="0"/>
            </w:tcBorders>
            <w:vAlign w:val="center"/>
          </w:tcPr>
          <w:p>
            <w:pPr>
              <w:snapToGrid w:val="0"/>
              <w:spacing w:line="0" w:lineRule="atLeast"/>
              <w:jc w:val="center"/>
            </w:pPr>
            <w:r>
              <w:t>15.96t/a</w:t>
            </w:r>
          </w:p>
        </w:tc>
        <w:tc>
          <w:tcPr>
            <w:tcW w:w="2840" w:type="dxa"/>
            <w:vMerge w:val="continue"/>
            <w:tcBorders>
              <w:left w:val="single" w:color="auto" w:sz="6" w:space="0"/>
              <w:bottom w:val="single" w:color="auto" w:sz="4" w:space="0"/>
              <w:right w:val="single" w:color="auto" w:sz="4" w:space="0"/>
            </w:tcBorders>
            <w:vAlign w:val="center"/>
          </w:tcPr>
          <w:p>
            <w:pPr>
              <w:snapToGrid w:val="0"/>
              <w:jc w:val="center"/>
              <w:rPr>
                <w:bC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3" w:hRule="atLeast"/>
          <w:jc w:val="center"/>
        </w:trPr>
        <w:tc>
          <w:tcPr>
            <w:tcW w:w="707" w:type="dxa"/>
            <w:tcBorders>
              <w:top w:val="single" w:color="auto" w:sz="6" w:space="0"/>
              <w:left w:val="single" w:color="auto" w:sz="4" w:space="0"/>
              <w:right w:val="single" w:color="auto" w:sz="6" w:space="0"/>
            </w:tcBorders>
            <w:vAlign w:val="center"/>
          </w:tcPr>
          <w:p>
            <w:pPr>
              <w:jc w:val="center"/>
              <w:rPr>
                <w:sz w:val="24"/>
              </w:rPr>
            </w:pPr>
            <w:r>
              <w:rPr>
                <w:sz w:val="24"/>
              </w:rPr>
              <w:t>噪</w:t>
            </w:r>
          </w:p>
          <w:p>
            <w:pPr>
              <w:jc w:val="center"/>
              <w:rPr>
                <w:sz w:val="24"/>
              </w:rPr>
            </w:pPr>
            <w:r>
              <w:rPr>
                <w:sz w:val="24"/>
              </w:rPr>
              <w:t>声</w:t>
            </w:r>
          </w:p>
        </w:tc>
        <w:tc>
          <w:tcPr>
            <w:tcW w:w="8369" w:type="dxa"/>
            <w:gridSpan w:val="4"/>
            <w:tcBorders>
              <w:top w:val="single" w:color="auto" w:sz="6" w:space="0"/>
              <w:left w:val="single" w:color="auto" w:sz="6" w:space="0"/>
              <w:right w:val="single" w:color="auto" w:sz="4" w:space="0"/>
            </w:tcBorders>
            <w:vAlign w:val="center"/>
          </w:tcPr>
          <w:p>
            <w:pPr>
              <w:rPr>
                <w:kern w:val="0"/>
              </w:rPr>
            </w:pPr>
            <w:r>
              <w:rPr>
                <w:kern w:val="0"/>
              </w:rPr>
              <w:t>本项目噪声源主要为打磨机、空压机、泵类、风机等设备噪声，噪声值范围在70～90dB(A)之间。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3" w:hRule="atLeast"/>
          <w:jc w:val="center"/>
        </w:trPr>
        <w:tc>
          <w:tcPr>
            <w:tcW w:w="9076" w:type="dxa"/>
            <w:gridSpan w:val="5"/>
            <w:tcBorders>
              <w:top w:val="single" w:color="auto" w:sz="6" w:space="0"/>
              <w:left w:val="single" w:color="auto" w:sz="4" w:space="0"/>
              <w:right w:val="single" w:color="auto" w:sz="4" w:space="0"/>
            </w:tcBorders>
            <w:vAlign w:val="center"/>
          </w:tcPr>
          <w:p>
            <w:pPr>
              <w:rPr>
                <w:b/>
                <w:szCs w:val="28"/>
              </w:rPr>
            </w:pPr>
            <w:r>
              <w:rPr>
                <w:b/>
                <w:szCs w:val="28"/>
              </w:rPr>
              <w:t>主要生态影响(不够时可附另页)</w:t>
            </w:r>
          </w:p>
          <w:p>
            <w:pPr>
              <w:autoSpaceDN w:val="0"/>
              <w:spacing w:line="520" w:lineRule="exact"/>
              <w:rPr>
                <w:kern w:val="0"/>
              </w:rPr>
            </w:pPr>
            <w:r>
              <w:rPr>
                <w:sz w:val="24"/>
                <w:szCs w:val="24"/>
              </w:rPr>
              <w:t xml:space="preserve">   </w:t>
            </w:r>
            <w:r>
              <w:rPr>
                <w:color w:val="000000"/>
                <w:sz w:val="24"/>
              </w:rPr>
              <w:t xml:space="preserve"> 项目位于陕西省西咸新区空港新城西安咸阳机场空港东二路东航技术公司西北分公司1号机库内。植被主要为农田作物和人工植被，生物多样性较为简单。</w:t>
            </w: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tc>
      </w:tr>
    </w:tbl>
    <w:p>
      <w:pPr>
        <w:rPr>
          <w:rStyle w:val="78"/>
        </w:rPr>
      </w:pPr>
      <w:r>
        <w:rPr>
          <w:rStyle w:val="78"/>
        </w:rPr>
        <w:t>环境影响分析</w:t>
      </w:r>
      <w:bookmarkEnd w:id="89"/>
      <w:bookmarkEnd w:id="90"/>
      <w:bookmarkEnd w:id="91"/>
      <w:bookmarkEnd w:id="92"/>
      <w:bookmarkEnd w:id="93"/>
      <w:bookmarkEnd w:id="94"/>
      <w:bookmarkEnd w:id="95"/>
      <w:bookmarkEnd w:id="96"/>
      <w:bookmarkEnd w:id="97"/>
    </w:p>
    <w:tbl>
      <w:tblPr>
        <w:tblStyle w:val="38"/>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trPr>
        <w:tc>
          <w:tcPr>
            <w:tcW w:w="8999" w:type="dxa"/>
          </w:tcPr>
          <w:p>
            <w:pPr>
              <w:spacing w:line="520" w:lineRule="exact"/>
              <w:ind w:firstLine="472" w:firstLineChars="196"/>
              <w:rPr>
                <w:b/>
                <w:sz w:val="24"/>
              </w:rPr>
            </w:pPr>
            <w:r>
              <w:rPr>
                <w:b/>
                <w:sz w:val="24"/>
              </w:rPr>
              <w:t>一、施工期环境影响分析及污染防治措施</w:t>
            </w:r>
          </w:p>
          <w:p>
            <w:pPr>
              <w:autoSpaceDN w:val="0"/>
              <w:spacing w:line="520" w:lineRule="exact"/>
              <w:ind w:firstLine="480" w:firstLineChars="200"/>
              <w:rPr>
                <w:color w:val="000000"/>
                <w:sz w:val="24"/>
              </w:rPr>
            </w:pPr>
            <w:r>
              <w:rPr>
                <w:color w:val="000000"/>
                <w:sz w:val="24"/>
              </w:rPr>
              <w:t>本项目为改建项目，不进行土建、新建建筑物以及厂房装修。施工期主要环境影响为设备安装时的噪声和固废</w:t>
            </w:r>
            <w:r>
              <w:rPr>
                <w:rFonts w:hint="eastAsia"/>
                <w:color w:val="000000"/>
                <w:sz w:val="24"/>
              </w:rPr>
              <w:t>，以及施工人员的生活废水</w:t>
            </w:r>
            <w:r>
              <w:rPr>
                <w:color w:val="000000"/>
                <w:sz w:val="24"/>
              </w:rPr>
              <w:t>。</w:t>
            </w:r>
          </w:p>
          <w:p>
            <w:pPr>
              <w:pStyle w:val="3"/>
              <w:spacing w:after="0" w:line="520" w:lineRule="exact"/>
              <w:ind w:left="0" w:leftChars="0" w:firstLine="480"/>
              <w:jc w:val="left"/>
              <w:rPr>
                <w:rFonts w:ascii="Times New Roman" w:hAnsi="Times New Roman"/>
                <w:b/>
                <w:color w:val="000000"/>
                <w:sz w:val="24"/>
                <w:szCs w:val="20"/>
              </w:rPr>
            </w:pPr>
            <w:r>
              <w:rPr>
                <w:rFonts w:hint="eastAsia" w:ascii="Times New Roman" w:hAnsi="Times New Roman"/>
                <w:b/>
                <w:color w:val="000000"/>
                <w:sz w:val="24"/>
                <w:szCs w:val="20"/>
              </w:rPr>
              <w:t>1</w:t>
            </w:r>
            <w:r>
              <w:rPr>
                <w:rFonts w:ascii="Times New Roman" w:hAnsi="Times New Roman"/>
                <w:b/>
                <w:color w:val="000000"/>
                <w:sz w:val="24"/>
                <w:szCs w:val="20"/>
              </w:rPr>
              <w:t>、</w:t>
            </w:r>
            <w:r>
              <w:rPr>
                <w:rFonts w:hint="eastAsia" w:ascii="Times New Roman" w:hAnsi="Times New Roman"/>
                <w:b/>
                <w:color w:val="000000"/>
                <w:sz w:val="24"/>
                <w:szCs w:val="20"/>
              </w:rPr>
              <w:t>水</w:t>
            </w:r>
            <w:r>
              <w:rPr>
                <w:rFonts w:ascii="Times New Roman" w:hAnsi="Times New Roman"/>
                <w:b/>
                <w:color w:val="000000"/>
                <w:sz w:val="24"/>
                <w:szCs w:val="20"/>
              </w:rPr>
              <w:t>环境影响分析</w:t>
            </w:r>
          </w:p>
          <w:p>
            <w:pPr>
              <w:spacing w:before="50" w:line="520" w:lineRule="exact"/>
              <w:ind w:firstLine="480" w:firstLineChars="200"/>
              <w:rPr>
                <w:bCs/>
                <w:sz w:val="24"/>
                <w:szCs w:val="24"/>
              </w:rPr>
            </w:pPr>
            <w:r>
              <w:rPr>
                <w:bCs/>
                <w:sz w:val="24"/>
                <w:szCs w:val="24"/>
              </w:rPr>
              <w:t>项目施工期</w:t>
            </w:r>
            <w:r>
              <w:rPr>
                <w:rFonts w:hint="eastAsia"/>
                <w:bCs/>
                <w:sz w:val="24"/>
                <w:szCs w:val="24"/>
              </w:rPr>
              <w:t>2</w:t>
            </w:r>
            <w:r>
              <w:rPr>
                <w:bCs/>
                <w:sz w:val="24"/>
                <w:szCs w:val="24"/>
              </w:rPr>
              <w:t>个月，施工高峰期施工人数为10人，施工人员均为周边村民，不提供食宿。施工期人员如厕依托基地化粪池，经维修基地化粪池处理后</w:t>
            </w:r>
            <w:r>
              <w:rPr>
                <w:bCs/>
                <w:sz w:val="24"/>
              </w:rPr>
              <w:t>通过管网排入机场污水处理厂集中处理后达标排放，</w:t>
            </w:r>
            <w:r>
              <w:rPr>
                <w:rFonts w:hint="eastAsia"/>
                <w:bCs/>
                <w:sz w:val="24"/>
              </w:rPr>
              <w:t>对环境影响较小。</w:t>
            </w:r>
          </w:p>
          <w:p>
            <w:pPr>
              <w:pStyle w:val="3"/>
              <w:spacing w:after="0" w:line="520" w:lineRule="exact"/>
              <w:ind w:left="0" w:leftChars="0" w:firstLine="480"/>
              <w:jc w:val="left"/>
              <w:rPr>
                <w:rFonts w:ascii="Times New Roman" w:hAnsi="Times New Roman"/>
                <w:b/>
                <w:color w:val="000000"/>
                <w:sz w:val="24"/>
                <w:szCs w:val="20"/>
              </w:rPr>
            </w:pPr>
            <w:r>
              <w:rPr>
                <w:rFonts w:hint="eastAsia" w:ascii="Times New Roman" w:hAnsi="Times New Roman"/>
                <w:b/>
                <w:color w:val="000000"/>
                <w:sz w:val="24"/>
                <w:szCs w:val="20"/>
              </w:rPr>
              <w:t>2</w:t>
            </w:r>
            <w:r>
              <w:rPr>
                <w:rFonts w:ascii="Times New Roman" w:hAnsi="Times New Roman"/>
                <w:b/>
                <w:color w:val="000000"/>
                <w:sz w:val="24"/>
                <w:szCs w:val="20"/>
              </w:rPr>
              <w:t>、噪声环境影响分析</w:t>
            </w:r>
          </w:p>
          <w:p>
            <w:pPr>
              <w:adjustRightInd w:val="0"/>
              <w:snapToGrid w:val="0"/>
              <w:spacing w:line="520" w:lineRule="exact"/>
              <w:ind w:firstLine="480" w:firstLineChars="200"/>
              <w:rPr>
                <w:color w:val="000000"/>
              </w:rPr>
            </w:pPr>
            <w:r>
              <w:rPr>
                <w:color w:val="000000"/>
                <w:sz w:val="24"/>
              </w:rPr>
              <w:t>为有效减小施工噪声对环境的影响，保证施工噪声符合国家相关标准，评价要求施工期采用以下噪声防治措施：</w:t>
            </w:r>
          </w:p>
          <w:p>
            <w:pPr>
              <w:tabs>
                <w:tab w:val="left" w:pos="2670"/>
              </w:tabs>
              <w:adjustRightInd w:val="0"/>
              <w:snapToGrid w:val="0"/>
              <w:spacing w:line="520" w:lineRule="exact"/>
              <w:ind w:firstLine="480" w:firstLineChars="200"/>
              <w:rPr>
                <w:color w:val="000000"/>
              </w:rPr>
            </w:pPr>
            <w:r>
              <w:rPr>
                <w:color w:val="000000"/>
                <w:sz w:val="24"/>
              </w:rPr>
              <w:t>（1）合理布局施工现场。避免在同一地点同时安排大量机械设备，以免局部</w:t>
            </w:r>
            <w:r>
              <w:rPr>
                <w:color w:val="000000"/>
                <w:sz w:val="24"/>
                <w:highlight w:val="none"/>
              </w:rPr>
              <w:t>声级过</w:t>
            </w:r>
            <w:r>
              <w:rPr>
                <w:color w:val="000000"/>
                <w:sz w:val="24"/>
              </w:rPr>
              <w:t>高。</w:t>
            </w:r>
          </w:p>
          <w:p>
            <w:pPr>
              <w:tabs>
                <w:tab w:val="left" w:pos="2670"/>
              </w:tabs>
              <w:adjustRightInd w:val="0"/>
              <w:snapToGrid w:val="0"/>
              <w:spacing w:line="520" w:lineRule="exact"/>
              <w:ind w:firstLine="480" w:firstLineChars="200"/>
              <w:rPr>
                <w:color w:val="000000"/>
              </w:rPr>
            </w:pPr>
            <w:r>
              <w:rPr>
                <w:color w:val="000000"/>
                <w:sz w:val="24"/>
              </w:rPr>
              <w:t>（2）降低人为噪声影响。按操作规范操作机械设备等过程中减少碰撞噪声，并对工人进行环保方面的教育。在装卸过程中，禁止野蛮作业，减少作业噪声。</w:t>
            </w:r>
          </w:p>
          <w:p>
            <w:pPr>
              <w:tabs>
                <w:tab w:val="left" w:pos="2670"/>
              </w:tabs>
              <w:adjustRightInd w:val="0"/>
              <w:snapToGrid w:val="0"/>
              <w:spacing w:line="520" w:lineRule="exact"/>
              <w:ind w:firstLine="480" w:firstLineChars="200"/>
              <w:rPr>
                <w:color w:val="000000"/>
              </w:rPr>
            </w:pPr>
            <w:r>
              <w:rPr>
                <w:color w:val="000000"/>
                <w:sz w:val="24"/>
              </w:rPr>
              <w:t>（3）合理安排施工时间。建设单位应加强协调，规范施工行为，制定施工计划。制定施工计划时，应尽可能避免大量噪声设备同时使用。应尽量安排在白天施工，禁止夜间（夜间22时～凌晨06时）和午休时间施工。</w:t>
            </w:r>
          </w:p>
          <w:p>
            <w:pPr>
              <w:adjustRightInd w:val="0"/>
              <w:snapToGrid w:val="0"/>
              <w:spacing w:line="520" w:lineRule="exact"/>
              <w:ind w:firstLine="480" w:firstLineChars="200"/>
              <w:rPr>
                <w:color w:val="000000"/>
              </w:rPr>
            </w:pPr>
            <w:r>
              <w:rPr>
                <w:color w:val="000000"/>
                <w:sz w:val="24"/>
              </w:rPr>
              <w:t>通过严格的施工管理，尽可能的</w:t>
            </w:r>
            <w:r>
              <w:rPr>
                <w:color w:val="000000"/>
                <w:sz w:val="24"/>
                <w:highlight w:val="none"/>
              </w:rPr>
              <w:t>使施</w:t>
            </w:r>
            <w:r>
              <w:rPr>
                <w:color w:val="000000"/>
                <w:sz w:val="24"/>
              </w:rPr>
              <w:t>工场界噪声达到标准限值。施工期的噪声影响是暂时性的，并随着施工期的结束而消失，对环境的影响不大。</w:t>
            </w:r>
          </w:p>
          <w:p>
            <w:pPr>
              <w:pStyle w:val="3"/>
              <w:spacing w:after="0" w:line="520" w:lineRule="exact"/>
              <w:ind w:left="0" w:leftChars="0" w:firstLine="480"/>
              <w:jc w:val="left"/>
              <w:rPr>
                <w:rFonts w:ascii="Times New Roman" w:hAnsi="Times New Roman"/>
                <w:color w:val="000000"/>
              </w:rPr>
            </w:pPr>
            <w:r>
              <w:rPr>
                <w:rFonts w:hint="eastAsia" w:ascii="Times New Roman" w:hAnsi="Times New Roman"/>
                <w:b/>
                <w:color w:val="000000"/>
                <w:sz w:val="24"/>
                <w:szCs w:val="20"/>
              </w:rPr>
              <w:t>3</w:t>
            </w:r>
            <w:r>
              <w:rPr>
                <w:rFonts w:ascii="Times New Roman" w:hAnsi="Times New Roman"/>
                <w:b/>
                <w:color w:val="000000"/>
                <w:sz w:val="24"/>
                <w:szCs w:val="20"/>
              </w:rPr>
              <w:t>、固废环境影响分析</w:t>
            </w:r>
          </w:p>
          <w:p>
            <w:pPr>
              <w:autoSpaceDN w:val="0"/>
              <w:spacing w:line="520" w:lineRule="exact"/>
              <w:ind w:firstLine="480" w:firstLineChars="200"/>
              <w:rPr>
                <w:color w:val="000000"/>
              </w:rPr>
            </w:pPr>
            <w:r>
              <w:rPr>
                <w:color w:val="000000"/>
                <w:sz w:val="24"/>
              </w:rPr>
              <w:t xml:space="preserve">施工期产生的固体废物主要包括废弃包装垃圾和生活垃圾。对于包装垃圾应采取有计划的堆放，分类处置，收集后外售。加强对施工人员的管理，施工人员的生活垃圾分类收集后由环卫部门统一处理，对环境影响较小。 </w:t>
            </w:r>
          </w:p>
          <w:p>
            <w:pPr>
              <w:autoSpaceDN w:val="0"/>
              <w:spacing w:line="520" w:lineRule="exact"/>
              <w:ind w:firstLine="480" w:firstLineChars="200"/>
              <w:rPr>
                <w:color w:val="000000"/>
              </w:rPr>
            </w:pPr>
            <w:r>
              <w:rPr>
                <w:color w:val="000000"/>
                <w:sz w:val="24"/>
              </w:rPr>
              <w:t xml:space="preserve">总之，本项目施工期固废均可得到妥善处置，固体废物对环境造成的影响较小，施工期结束后，施工固废的影响随即终止。 </w:t>
            </w:r>
          </w:p>
          <w:p>
            <w:pPr>
              <w:spacing w:line="520" w:lineRule="exact"/>
              <w:ind w:firstLine="472" w:firstLineChars="196"/>
              <w:rPr>
                <w:b/>
                <w:sz w:val="24"/>
              </w:rPr>
            </w:pPr>
            <w:r>
              <w:rPr>
                <w:b/>
                <w:sz w:val="24"/>
              </w:rPr>
              <w:t>二、运营期环境影响分析</w:t>
            </w:r>
          </w:p>
          <w:p>
            <w:pPr>
              <w:spacing w:line="520" w:lineRule="exact"/>
              <w:ind w:firstLine="472" w:firstLineChars="196"/>
              <w:rPr>
                <w:b/>
                <w:sz w:val="24"/>
              </w:rPr>
            </w:pPr>
            <w:r>
              <w:rPr>
                <w:b/>
                <w:sz w:val="24"/>
              </w:rPr>
              <w:t>1、大气环境影响分析</w:t>
            </w:r>
          </w:p>
          <w:p>
            <w:pPr>
              <w:spacing w:line="520" w:lineRule="exact"/>
              <w:ind w:firstLine="480" w:firstLineChars="200"/>
              <w:rPr>
                <w:bCs/>
                <w:sz w:val="24"/>
              </w:rPr>
            </w:pPr>
            <w:r>
              <w:rPr>
                <w:sz w:val="24"/>
              </w:rPr>
              <w:t>项目废气主要为打磨粉尘和喷漆工序产生的漆雾和有机废气（甲苯、二甲苯、乙苯、非甲烷总烃）</w:t>
            </w:r>
            <w:r>
              <w:rPr>
                <w:bCs/>
                <w:sz w:val="24"/>
              </w:rPr>
              <w:t>。</w:t>
            </w:r>
          </w:p>
          <w:p>
            <w:pPr>
              <w:spacing w:line="520" w:lineRule="exact"/>
              <w:ind w:firstLine="480" w:firstLineChars="200"/>
              <w:rPr>
                <w:color w:val="000000" w:themeColor="text1"/>
                <w:sz w:val="24"/>
                <w14:textFill>
                  <w14:solidFill>
                    <w14:schemeClr w14:val="tx1"/>
                  </w14:solidFill>
                </w14:textFill>
              </w:rPr>
            </w:pPr>
            <w:r>
              <w:rPr>
                <w:bCs/>
                <w:sz w:val="24"/>
              </w:rPr>
              <w:t>打磨工序粉尘产生量为1.68t/a，</w:t>
            </w:r>
            <w:r>
              <w:rPr>
                <w:bCs/>
                <w:snapToGrid w:val="0"/>
                <w:kern w:val="0"/>
                <w:sz w:val="24"/>
              </w:rPr>
              <w:t>经</w:t>
            </w:r>
            <w:r>
              <w:rPr>
                <w:rFonts w:hint="eastAsia"/>
                <w:bCs/>
                <w:snapToGrid w:val="0"/>
                <w:kern w:val="0"/>
                <w:sz w:val="24"/>
              </w:rPr>
              <w:t>排风收集箱内的干式</w:t>
            </w:r>
            <w:r>
              <w:rPr>
                <w:bCs/>
                <w:snapToGrid w:val="0"/>
                <w:kern w:val="0"/>
                <w:sz w:val="24"/>
              </w:rPr>
              <w:t>过滤器收集过滤后</w:t>
            </w:r>
            <w:r>
              <w:rPr>
                <w:bCs/>
                <w:sz w:val="24"/>
              </w:rPr>
              <w:t>由</w:t>
            </w:r>
            <w:r>
              <w:rPr>
                <w:color w:val="000000" w:themeColor="text1"/>
                <w:sz w:val="24"/>
                <w14:textFill>
                  <w14:solidFill>
                    <w14:schemeClr w14:val="tx1"/>
                  </w14:solidFill>
                </w14:textFill>
              </w:rPr>
              <w:t>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）排放，风机风量为8000m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/h，有效工作时间为600h</w:t>
            </w:r>
            <w:r>
              <w:rPr>
                <w:bCs/>
                <w:snapToGrid w:val="0"/>
                <w:kern w:val="0"/>
                <w:sz w:val="24"/>
              </w:rPr>
              <w:t>。</w:t>
            </w:r>
            <w:r>
              <w:rPr>
                <w:sz w:val="24"/>
              </w:rPr>
              <w:t>经处理后的粉尘排放量为0.016t/a，排放速率为0.027kg/h，排放浓度为3.4mg/m</w:t>
            </w:r>
            <w:r>
              <w:rPr>
                <w:sz w:val="24"/>
                <w:vertAlign w:val="superscript"/>
              </w:rPr>
              <w:t>3</w:t>
            </w:r>
            <w:r>
              <w:rPr>
                <w:sz w:val="24"/>
              </w:rPr>
              <w:t>，无组织排放量为0.168t/a，</w:t>
            </w:r>
            <w:r>
              <w:rPr>
                <w:color w:val="000000" w:themeColor="text1"/>
                <w:sz w:val="24"/>
                <w14:textFill>
                  <w14:solidFill>
                    <w14:schemeClr w14:val="tx1"/>
                  </w14:solidFill>
                </w14:textFill>
              </w:rPr>
              <w:t>排放浓度满足《大气污染物排放标准》（GB16297-1996）中二级标准。</w:t>
            </w:r>
          </w:p>
          <w:p>
            <w:pPr>
              <w:spacing w:line="520" w:lineRule="exact"/>
              <w:ind w:firstLine="480" w:firstLineChars="200"/>
              <w:rPr>
                <w:sz w:val="24"/>
              </w:rPr>
            </w:pPr>
            <w:r>
              <w:rPr>
                <w:color w:val="000000" w:themeColor="text1"/>
                <w:sz w:val="24"/>
                <w14:textFill>
                  <w14:solidFill>
                    <w14:schemeClr w14:val="tx1"/>
                  </w14:solidFill>
                </w14:textFill>
              </w:rPr>
              <w:t>项目喷漆工序形成的漆雾量为1.44t/a，风机风量为240000m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/h，废气经</w:t>
            </w:r>
            <w:r>
              <w:rPr>
                <w:rFonts w:hint="eastAsia"/>
                <w:color w:val="000000" w:themeColor="text1"/>
                <w:sz w:val="24"/>
                <w14:textFill>
                  <w14:solidFill>
                    <w14:schemeClr w14:val="tx1"/>
                  </w14:solidFill>
                </w14:textFill>
              </w:rPr>
              <w:t>排风集气箱</w:t>
            </w:r>
            <w:r>
              <w:rPr>
                <w:color w:val="000000" w:themeColor="text1"/>
                <w:sz w:val="24"/>
                <w14:textFill>
                  <w14:solidFill>
                    <w14:schemeClr w14:val="tx1"/>
                  </w14:solidFill>
                </w14:textFill>
              </w:rPr>
              <w:t>收集，</w:t>
            </w:r>
            <w:r>
              <w:rPr>
                <w:rFonts w:hint="eastAsia"/>
                <w:color w:val="000000" w:themeColor="text1"/>
                <w:sz w:val="24"/>
                <w14:textFill>
                  <w14:solidFill>
                    <w14:schemeClr w14:val="tx1"/>
                  </w14:solidFill>
                </w14:textFill>
              </w:rPr>
              <w:t>经</w:t>
            </w:r>
            <w:r>
              <w:rPr>
                <w:color w:val="000000" w:themeColor="text1"/>
                <w:sz w:val="24"/>
                <w14:textFill>
                  <w14:solidFill>
                    <w14:schemeClr w14:val="tx1"/>
                  </w14:solidFill>
                </w14:textFill>
              </w:rPr>
              <w:t>漆雾过滤器</w:t>
            </w:r>
            <w:r>
              <w:rPr>
                <w:rFonts w:hint="eastAsia"/>
                <w:color w:val="000000" w:themeColor="text1"/>
                <w:sz w:val="24"/>
                <w14:textFill>
                  <w14:solidFill>
                    <w14:schemeClr w14:val="tx1"/>
                  </w14:solidFill>
                </w14:textFill>
              </w:rPr>
              <w:t>处理</w:t>
            </w:r>
            <w:r>
              <w:rPr>
                <w:color w:val="000000" w:themeColor="text1"/>
                <w:sz w:val="24"/>
                <w14:textFill>
                  <w14:solidFill>
                    <w14:schemeClr w14:val="tx1"/>
                  </w14:solidFill>
                </w14:textFill>
              </w:rPr>
              <w:t>后</w:t>
            </w:r>
            <w:r>
              <w:rPr>
                <w:color w:val="000000" w:themeColor="text1"/>
                <w:sz w:val="24"/>
                <w:lang w:bidi="ar"/>
                <w14:textFill>
                  <w14:solidFill>
                    <w14:schemeClr w14:val="tx1"/>
                  </w14:solidFill>
                </w14:textFill>
              </w:rPr>
              <w:t>经机库东西两侧辅房顶部15m高的排气筒（P1西、P2东）排放</w:t>
            </w:r>
            <w:r>
              <w:rPr>
                <w:color w:val="000000" w:themeColor="text1"/>
                <w:sz w:val="24"/>
                <w14:textFill>
                  <w14:solidFill>
                    <w14:schemeClr w14:val="tx1"/>
                  </w14:solidFill>
                </w14:textFill>
              </w:rPr>
              <w:t>，则有组织排放量为0.1368t/a，排放速率为0.456kg/h，</w:t>
            </w:r>
            <w:r>
              <w:rPr>
                <w:sz w:val="24"/>
              </w:rPr>
              <w:t>排放浓度为1.9mg/m</w:t>
            </w:r>
            <w:r>
              <w:rPr>
                <w:sz w:val="24"/>
                <w:vertAlign w:val="superscript"/>
              </w:rPr>
              <w:t>3</w:t>
            </w:r>
            <w:r>
              <w:rPr>
                <w:sz w:val="24"/>
              </w:rPr>
              <w:t>，无组织排放量为0.072t，</w:t>
            </w:r>
            <w:r>
              <w:rPr>
                <w:color w:val="000000" w:themeColor="text1"/>
                <w:sz w:val="24"/>
                <w14:textFill>
                  <w14:solidFill>
                    <w14:schemeClr w14:val="tx1"/>
                  </w14:solidFill>
                </w14:textFill>
              </w:rPr>
              <w:t>排放浓度满足《大气污染物排放标准》（GB16297-1996）中二级标准。</w:t>
            </w:r>
          </w:p>
          <w:p>
            <w:pPr>
              <w:adjustRightInd w:val="0"/>
              <w:snapToGrid w:val="0"/>
              <w:spacing w:line="520" w:lineRule="exact"/>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根据工程分析可知，项目非甲烷总烃的产生总量为4.56t/a，甲苯+乙苯的产生量为0.129t/a，二甲苯产生量为0.259t/a。经</w:t>
            </w:r>
            <w:r>
              <w:rPr>
                <w:rFonts w:hint="eastAsia"/>
                <w:color w:val="000000" w:themeColor="text1"/>
                <w:sz w:val="24"/>
                <w14:textFill>
                  <w14:solidFill>
                    <w14:schemeClr w14:val="tx1"/>
                  </w14:solidFill>
                </w14:textFill>
              </w:rPr>
              <w:t>排风集气箱</w:t>
            </w:r>
            <w:r>
              <w:rPr>
                <w:color w:val="000000" w:themeColor="text1"/>
                <w:sz w:val="24"/>
                <w14:textFill>
                  <w14:solidFill>
                    <w14:schemeClr w14:val="tx1"/>
                  </w14:solidFill>
                </w14:textFill>
              </w:rPr>
              <w:t>收集后</w:t>
            </w:r>
            <w:r>
              <w:rPr>
                <w:color w:val="000000" w:themeColor="text1"/>
                <w:sz w:val="24"/>
                <w:lang w:bidi="ar"/>
                <w14:textFill>
                  <w14:solidFill>
                    <w14:schemeClr w14:val="tx1"/>
                  </w14:solidFill>
                </w14:textFill>
              </w:rPr>
              <w:t>通过活性炭吸附箱（</w:t>
            </w:r>
            <w:r>
              <w:rPr>
                <w:rFonts w:hint="eastAsia"/>
                <w:color w:val="000000" w:themeColor="text1"/>
                <w:sz w:val="24"/>
                <w:lang w:bidi="ar"/>
                <w14:textFill>
                  <w14:solidFill>
                    <w14:schemeClr w14:val="tx1"/>
                  </w14:solidFill>
                </w14:textFill>
              </w:rPr>
              <w:t>内设蜂窝活性炭</w:t>
            </w:r>
            <w:r>
              <w:rPr>
                <w:color w:val="000000" w:themeColor="text1"/>
                <w:sz w:val="24"/>
                <w:lang w:bidi="ar"/>
                <w14:textFill>
                  <w14:solidFill>
                    <w14:schemeClr w14:val="tx1"/>
                  </w14:solidFill>
                </w14:textFill>
              </w:rPr>
              <w:t>）处理，</w:t>
            </w:r>
            <w:r>
              <w:rPr>
                <w:color w:val="000000" w:themeColor="text1"/>
                <w:sz w:val="24"/>
                <w14:textFill>
                  <w14:solidFill>
                    <w14:schemeClr w14:val="tx1"/>
                  </w14:solidFill>
                </w14:textFill>
              </w:rPr>
              <w:t>非甲烷总烃有组织排放量为0.6499t/a，排放浓度为9.03mg/m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，排放速率为2.1664kg/h，无组织排放量为0.228t/a；甲苯+乙苯有组织排放量为0.0192t/a，排放浓度为0.267mg/m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，排放速率0.0628kg/h，无组织排放量为0.0066t/a；二甲苯有组织排放总量为0.038t/a，排放浓度为0.53mg/m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，排放速率0.125kg/h，无组织排放总量为0.013t/a。</w:t>
            </w:r>
            <w:r>
              <w:rPr>
                <w:bCs/>
                <w:snapToGrid w:val="0"/>
                <w:color w:val="000000" w:themeColor="text1"/>
                <w:kern w:val="0"/>
                <w:sz w:val="24"/>
                <w:lang w:bidi="ar"/>
                <w14:textFill>
                  <w14:solidFill>
                    <w14:schemeClr w14:val="tx1"/>
                  </w14:solidFill>
                </w14:textFill>
              </w:rPr>
              <w:t>非甲烷总烃、甲苯+乙苯、二甲苯最高排放浓度均能够满足《挥发性有机物排放控制标准》(DB 61/T1061-2017)中最高允许排放浓度限值要求。</w:t>
            </w:r>
          </w:p>
          <w:p>
            <w:pPr>
              <w:spacing w:line="520" w:lineRule="exact"/>
              <w:ind w:firstLine="482" w:firstLineChars="200"/>
              <w:rPr>
                <w:b/>
                <w:bCs/>
                <w:sz w:val="24"/>
              </w:rPr>
            </w:pPr>
            <w:r>
              <w:rPr>
                <w:b/>
                <w:bCs/>
                <w:sz w:val="24"/>
              </w:rPr>
              <w:t>措施可行性分析：</w:t>
            </w:r>
          </w:p>
          <w:p>
            <w:pPr>
              <w:spacing w:line="520" w:lineRule="exact"/>
              <w:ind w:firstLine="480" w:firstLineChars="200"/>
              <w:rPr>
                <w:color w:val="FF0000"/>
                <w:sz w:val="24"/>
              </w:rPr>
            </w:pPr>
            <w:r>
              <w:rPr>
                <w:bCs/>
                <w:color w:val="000000" w:themeColor="text1"/>
                <w:sz w:val="24"/>
                <w:lang w:bidi="ar"/>
                <w14:textFill>
                  <w14:solidFill>
                    <w14:schemeClr w14:val="tx1"/>
                  </w14:solidFill>
                </w14:textFill>
              </w:rPr>
              <w:t>飞机入库喷漆时，机库保持封闭状态，直至整个喷漆工序完成，</w:t>
            </w:r>
            <w:r>
              <w:rPr>
                <w:rFonts w:hint="eastAsia"/>
                <w:bCs/>
                <w:color w:val="000000" w:themeColor="text1"/>
                <w:sz w:val="24"/>
                <w:lang w:bidi="ar"/>
                <w14:textFill>
                  <w14:solidFill>
                    <w14:schemeClr w14:val="tx1"/>
                  </w14:solidFill>
                </w14:textFill>
              </w:rPr>
              <w:t>机库</w:t>
            </w:r>
            <w:r>
              <w:rPr>
                <w:bCs/>
                <w:sz w:val="24"/>
              </w:rPr>
              <w:t>顶部</w:t>
            </w:r>
            <w:r>
              <w:rPr>
                <w:rFonts w:hint="eastAsia"/>
                <w:bCs/>
                <w:sz w:val="24"/>
              </w:rPr>
              <w:t>采用纤维织物风管系统进行</w:t>
            </w:r>
            <w:r>
              <w:rPr>
                <w:bCs/>
                <w:sz w:val="24"/>
              </w:rPr>
              <w:t>送风</w:t>
            </w:r>
            <w:r>
              <w:rPr>
                <w:rFonts w:hint="eastAsia"/>
                <w:bCs/>
                <w:sz w:val="24"/>
              </w:rPr>
              <w:t>，</w:t>
            </w:r>
            <w:r>
              <w:rPr>
                <w:bCs/>
                <w:sz w:val="24"/>
              </w:rPr>
              <w:t>下侧</w:t>
            </w:r>
            <w:r>
              <w:rPr>
                <w:rFonts w:hint="eastAsia"/>
                <w:bCs/>
                <w:sz w:val="24"/>
              </w:rPr>
              <w:t>两侧采用排风收集箱收集废气</w:t>
            </w:r>
            <w:r>
              <w:rPr>
                <w:bCs/>
                <w:sz w:val="24"/>
              </w:rPr>
              <w:t>，</w:t>
            </w:r>
            <w:r>
              <w:rPr>
                <w:rFonts w:hint="eastAsia"/>
                <w:bCs/>
                <w:sz w:val="24"/>
              </w:rPr>
              <w:t>共设6套，</w:t>
            </w:r>
            <w:r>
              <w:rPr>
                <w:color w:val="000000" w:themeColor="text1"/>
                <w:sz w:val="24"/>
                <w14:textFill>
                  <w14:solidFill>
                    <w14:schemeClr w14:val="tx1"/>
                  </w14:solidFill>
                </w14:textFill>
              </w:rPr>
              <w:t>每套最大风量设计为</w:t>
            </w:r>
            <w:r>
              <w:rPr>
                <w:bCs/>
                <w:sz w:val="24"/>
              </w:rPr>
              <w:t>40000m</w:t>
            </w:r>
            <w:r>
              <w:rPr>
                <w:bCs/>
                <w:sz w:val="24"/>
                <w:vertAlign w:val="superscript"/>
              </w:rPr>
              <w:t>3</w:t>
            </w:r>
            <w:r>
              <w:rPr>
                <w:bCs/>
                <w:sz w:val="24"/>
              </w:rPr>
              <w:t>/h，</w:t>
            </w:r>
            <w:r>
              <w:rPr>
                <w:sz w:val="24"/>
              </w:rPr>
              <w:t>喷漆工序中产生的废气经</w:t>
            </w:r>
            <w:r>
              <w:rPr>
                <w:rFonts w:hint="eastAsia"/>
                <w:sz w:val="24"/>
              </w:rPr>
              <w:t>机库两侧的排风收集箱收集后通过干式过滤器</w:t>
            </w:r>
            <w:r>
              <w:rPr>
                <w:sz w:val="24"/>
              </w:rPr>
              <w:t>+活性炭吸附箱（</w:t>
            </w:r>
            <w:r>
              <w:rPr>
                <w:rFonts w:hint="eastAsia"/>
                <w:sz w:val="24"/>
              </w:rPr>
              <w:t>蜂窝活性炭单元</w:t>
            </w:r>
            <w:r>
              <w:rPr>
                <w:sz w:val="24"/>
              </w:rPr>
              <w:t>）处理，处理</w:t>
            </w:r>
            <w:r>
              <w:rPr>
                <w:color w:val="000000" w:themeColor="text1"/>
                <w:sz w:val="24"/>
                <w14:textFill>
                  <w14:solidFill>
                    <w14:schemeClr w14:val="tx1"/>
                  </w14:solidFill>
                </w14:textFill>
              </w:rPr>
              <w:t>后的废气经机库东西两侧辅房顶部15m高的排气筒（P1西、P2东）排放。根据</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广州白云国际机场G3飞机维修库建设项目环境影响报告表</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，其喷漆晾干工序采用“漆雾过滤器+活性炭吸附箱”处理装置，净化效率高达90%。本项目采用“</w:t>
            </w:r>
            <w:r>
              <w:rPr>
                <w:rFonts w:hint="eastAsia"/>
                <w:color w:val="000000" w:themeColor="text1"/>
                <w:sz w:val="24"/>
                <w14:textFill>
                  <w14:solidFill>
                    <w14:schemeClr w14:val="tx1"/>
                  </w14:solidFill>
                </w14:textFill>
              </w:rPr>
              <w:t>排风集气箱</w:t>
            </w:r>
            <w:r>
              <w:rPr>
                <w:color w:val="000000" w:themeColor="text1"/>
                <w:sz w:val="24"/>
                <w14:textFill>
                  <w14:solidFill>
                    <w14:schemeClr w14:val="tx1"/>
                  </w14:solidFill>
                </w14:textFill>
              </w:rPr>
              <w:t>收集+</w:t>
            </w:r>
            <w:r>
              <w:rPr>
                <w:rFonts w:hint="eastAsia"/>
                <w:color w:val="000000" w:themeColor="text1"/>
                <w:sz w:val="24"/>
                <w14:textFill>
                  <w14:solidFill>
                    <w14:schemeClr w14:val="tx1"/>
                  </w14:solidFill>
                </w14:textFill>
              </w:rPr>
              <w:t>干式</w:t>
            </w:r>
            <w:r>
              <w:rPr>
                <w:color w:val="000000" w:themeColor="text1"/>
                <w:sz w:val="24"/>
                <w14:textFill>
                  <w14:solidFill>
                    <w14:schemeClr w14:val="tx1"/>
                  </w14:solidFill>
                </w14:textFill>
              </w:rPr>
              <w:t>过滤器+活性炭吸附箱”装置，按最不利情况，活性炭吸附</w:t>
            </w:r>
            <w:r>
              <w:rPr>
                <w:color w:val="000000" w:themeColor="text1"/>
                <w:sz w:val="24"/>
                <w:highlight w:val="none"/>
                <w14:textFill>
                  <w14:solidFill>
                    <w14:schemeClr w14:val="tx1"/>
                  </w14:solidFill>
                </w14:textFill>
              </w:rPr>
              <w:t>箱对</w:t>
            </w:r>
            <w:r>
              <w:rPr>
                <w:color w:val="000000" w:themeColor="text1"/>
                <w:sz w:val="24"/>
                <w14:textFill>
                  <w14:solidFill>
                    <w14:schemeClr w14:val="tx1"/>
                  </w14:solidFill>
                </w14:textFill>
              </w:rPr>
              <w:t>有机废气的处理效率可达85%以上，因此本项目所用工艺对有机废气的处理可行。</w:t>
            </w:r>
          </w:p>
          <w:p>
            <w:pPr>
              <w:spacing w:line="520" w:lineRule="exact"/>
              <w:ind w:firstLine="480" w:firstLineChars="200"/>
              <w:rPr>
                <w:sz w:val="24"/>
              </w:rPr>
            </w:pPr>
            <w:r>
              <w:rPr>
                <w:rFonts w:hint="eastAsia"/>
                <w:sz w:val="24"/>
              </w:rPr>
              <w:t>干式</w:t>
            </w:r>
            <w:r>
              <w:rPr>
                <w:sz w:val="24"/>
              </w:rPr>
              <w:t>过滤器工作原理：通过排风机的作用使漆雾粒子通过玻璃纤维过滤材料，利用气流惯性力在玻璃纤维表面改变方向，降低流速，在重力作用下，漆雾颗粒沉淀在纤维间隙中，针对本项目，采用漆雾过滤器对漆雾的处理可行，但为了保证处理效率，要求建设单位及时对过滤材料进行更换。</w:t>
            </w:r>
          </w:p>
          <w:p>
            <w:pPr>
              <w:spacing w:line="520" w:lineRule="exact"/>
              <w:ind w:firstLine="480" w:firstLineChars="200"/>
              <w:rPr>
                <w:sz w:val="24"/>
              </w:rPr>
            </w:pPr>
            <w:r>
              <w:rPr>
                <w:sz w:val="24"/>
              </w:rPr>
              <w:t>活性炭工作原理：活性炭是一种黑色粉状、粒状或丸状的无定形具有多孔的炭，具有较大的表面积（500～1000m</w:t>
            </w:r>
            <w:r>
              <w:rPr>
                <w:sz w:val="24"/>
                <w:vertAlign w:val="superscript"/>
              </w:rPr>
              <w:t>2</w:t>
            </w:r>
            <w:r>
              <w:rPr>
                <w:sz w:val="24"/>
              </w:rPr>
              <w:t>/g），有很强的吸附能力，能在它的表面上吸附气体，液体或胶态固体，由于活性炭固体表面上存在着未平衡和未饱和的分子引力或化学健力，因此当其与气体接触时，就能吸引气体分子，使其浓聚并保持在固体表面，污染物质从而被吸附，使废气得到净化。活性炭吸附有机废气是目前最广泛使用的回收技术。</w:t>
            </w:r>
          </w:p>
          <w:p>
            <w:pPr>
              <w:spacing w:line="520" w:lineRule="exact"/>
              <w:ind w:firstLine="480" w:firstLineChars="200"/>
              <w:rPr>
                <w:sz w:val="24"/>
              </w:rPr>
            </w:pPr>
            <w:r>
              <w:rPr>
                <w:sz w:val="24"/>
              </w:rPr>
              <w:t>为了保证废气处理装置的有效运行，要求企业加强环保设施的监管与维护，并定期对过滤棉和活性炭进行更换，更换周期视使用情况及吸附效率而定。采取以上措施后，项目产生的废气可以得到有效的处理，可实现达标排放。</w:t>
            </w:r>
          </w:p>
          <w:p>
            <w:pPr>
              <w:spacing w:line="520" w:lineRule="exact"/>
              <w:ind w:firstLine="470" w:firstLineChars="196"/>
              <w:rPr>
                <w:sz w:val="24"/>
              </w:rPr>
            </w:pPr>
            <w:r>
              <w:rPr>
                <w:sz w:val="24"/>
              </w:rPr>
              <w:t>根据《环境影响评价技术导则 大气环境》（HJ2.2-2018），对项目运营期有组织和无组织排放的污染物进行环境影响估算。估算模式采用《环境影响评价技术导则-大气环境》（HJ2.2-2018）推荐的AERSCREEN3。调查源强见表26-27，估算结果见表29。</w:t>
            </w:r>
          </w:p>
          <w:p>
            <w:pPr>
              <w:adjustRightInd w:val="0"/>
              <w:snapToGrid w:val="0"/>
              <w:spacing w:before="76" w:beforeLines="20" w:after="38" w:afterLines="10"/>
              <w:jc w:val="center"/>
              <w:rPr>
                <w:rFonts w:eastAsia="黑体"/>
                <w:sz w:val="24"/>
                <w:szCs w:val="24"/>
              </w:rPr>
            </w:pPr>
            <w:r>
              <w:rPr>
                <w:rFonts w:eastAsia="黑体"/>
                <w:sz w:val="24"/>
                <w:szCs w:val="24"/>
              </w:rPr>
              <w:t>表26  点源调查参数清单</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98"/>
              <w:gridCol w:w="1385"/>
              <w:gridCol w:w="1245"/>
              <w:gridCol w:w="687"/>
              <w:gridCol w:w="546"/>
              <w:gridCol w:w="406"/>
              <w:gridCol w:w="424"/>
              <w:gridCol w:w="501"/>
              <w:gridCol w:w="687"/>
              <w:gridCol w:w="511"/>
              <w:gridCol w:w="629"/>
              <w:gridCol w:w="634"/>
              <w:gridCol w:w="4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c>
                <w:tcPr>
                  <w:tcW w:w="698" w:type="dxa"/>
                  <w:vMerge w:val="restar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污染源名称</w:t>
                  </w:r>
                </w:p>
              </w:tc>
              <w:tc>
                <w:tcPr>
                  <w:tcW w:w="2630" w:type="dxa"/>
                  <w:gridSpan w:val="2"/>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排气筒底部中心坐标(</w:t>
                  </w:r>
                  <w:r>
                    <w:rPr>
                      <w:color w:val="000000" w:themeColor="text1"/>
                      <w:vertAlign w:val="superscript"/>
                      <w14:textFill>
                        <w14:solidFill>
                          <w14:schemeClr w14:val="tx1"/>
                        </w14:solidFill>
                      </w14:textFill>
                    </w:rPr>
                    <w:t>o</w:t>
                  </w:r>
                  <w:r>
                    <w:rPr>
                      <w:color w:val="000000" w:themeColor="text1"/>
                      <w14:textFill>
                        <w14:solidFill>
                          <w14:schemeClr w14:val="tx1"/>
                        </w14:solidFill>
                      </w14:textFill>
                    </w:rPr>
                    <w:t>)</w:t>
                  </w:r>
                </w:p>
              </w:tc>
              <w:tc>
                <w:tcPr>
                  <w:tcW w:w="687" w:type="dxa"/>
                  <w:vMerge w:val="restart"/>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排气筒底部海拔高度(m)</w:t>
                  </w:r>
                </w:p>
              </w:tc>
              <w:tc>
                <w:tcPr>
                  <w:tcW w:w="1877" w:type="dxa"/>
                  <w:gridSpan w:val="4"/>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排气筒参数</w:t>
                  </w:r>
                </w:p>
              </w:tc>
              <w:tc>
                <w:tcPr>
                  <w:tcW w:w="687" w:type="dxa"/>
                  <w:vMerge w:val="restart"/>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污染物名称</w:t>
                  </w:r>
                </w:p>
              </w:tc>
              <w:tc>
                <w:tcPr>
                  <w:tcW w:w="511" w:type="dxa"/>
                  <w:vMerge w:val="restart"/>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排放情况</w:t>
                  </w:r>
                </w:p>
              </w:tc>
              <w:tc>
                <w:tcPr>
                  <w:tcW w:w="629" w:type="dxa"/>
                  <w:vMerge w:val="restart"/>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排放时间</w:t>
                  </w:r>
                </w:p>
              </w:tc>
              <w:tc>
                <w:tcPr>
                  <w:tcW w:w="634" w:type="dxa"/>
                  <w:vMerge w:val="restart"/>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tc>
              <w:tc>
                <w:tcPr>
                  <w:tcW w:w="430" w:type="dxa"/>
                  <w:vMerge w:val="restart"/>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c>
                <w:tcPr>
                  <w:tcW w:w="698" w:type="dxa"/>
                  <w:vMerge w:val="continue"/>
                  <w:shd w:val="clear" w:color="auto" w:fill="auto"/>
                  <w:vAlign w:val="center"/>
                </w:tcPr>
                <w:p>
                  <w:pPr>
                    <w:snapToGrid w:val="0"/>
                    <w:jc w:val="center"/>
                    <w:rPr>
                      <w:color w:val="000000" w:themeColor="text1"/>
                      <w14:textFill>
                        <w14:solidFill>
                          <w14:schemeClr w14:val="tx1"/>
                        </w14:solidFill>
                      </w14:textFill>
                    </w:rPr>
                  </w:pPr>
                </w:p>
              </w:tc>
              <w:tc>
                <w:tcPr>
                  <w:tcW w:w="1385"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经度</w:t>
                  </w:r>
                </w:p>
              </w:tc>
              <w:tc>
                <w:tcPr>
                  <w:tcW w:w="1245"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纬度</w:t>
                  </w:r>
                </w:p>
              </w:tc>
              <w:tc>
                <w:tcPr>
                  <w:tcW w:w="687" w:type="dxa"/>
                  <w:vMerge w:val="continue"/>
                  <w:shd w:val="clear" w:color="auto" w:fill="auto"/>
                  <w:vAlign w:val="center"/>
                </w:tcPr>
                <w:p>
                  <w:pPr>
                    <w:snapToGrid w:val="0"/>
                    <w:jc w:val="center"/>
                    <w:rPr>
                      <w:color w:val="000000" w:themeColor="text1"/>
                      <w14:textFill>
                        <w14:solidFill>
                          <w14:schemeClr w14:val="tx1"/>
                        </w14:solidFill>
                      </w14:textFill>
                    </w:rPr>
                  </w:pPr>
                </w:p>
              </w:tc>
              <w:tc>
                <w:tcPr>
                  <w:tcW w:w="546"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高度</w:t>
                  </w:r>
                </w:p>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w:t>
                  </w:r>
                </w:p>
              </w:tc>
              <w:tc>
                <w:tcPr>
                  <w:tcW w:w="406"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内径</w:t>
                  </w:r>
                </w:p>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w:t>
                  </w:r>
                </w:p>
              </w:tc>
              <w:tc>
                <w:tcPr>
                  <w:tcW w:w="424"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温度</w:t>
                  </w:r>
                </w:p>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r>
                    <w:rPr>
                      <w:rFonts w:ascii="MS Mincho" w:hAnsi="MS Mincho" w:eastAsia="MS Mincho" w:cs="MS Mincho"/>
                      <w:color w:val="000000" w:themeColor="text1"/>
                      <w14:textFill>
                        <w14:solidFill>
                          <w14:schemeClr w14:val="tx1"/>
                        </w14:solidFill>
                      </w14:textFill>
                    </w:rPr>
                    <w:t>℃</w:t>
                  </w:r>
                  <w:r>
                    <w:rPr>
                      <w:color w:val="000000" w:themeColor="text1"/>
                      <w14:textFill>
                        <w14:solidFill>
                          <w14:schemeClr w14:val="tx1"/>
                        </w14:solidFill>
                      </w14:textFill>
                    </w:rPr>
                    <w:t>)</w:t>
                  </w:r>
                </w:p>
              </w:tc>
              <w:tc>
                <w:tcPr>
                  <w:tcW w:w="501" w:type="dxa"/>
                  <w:shd w:val="clear" w:color="auto" w:fill="auto"/>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流速</w:t>
                  </w:r>
                </w:p>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(m/s)</w:t>
                  </w:r>
                </w:p>
              </w:tc>
              <w:tc>
                <w:tcPr>
                  <w:tcW w:w="687" w:type="dxa"/>
                  <w:vMerge w:val="continue"/>
                  <w:shd w:val="clear" w:color="auto" w:fill="auto"/>
                  <w:vAlign w:val="center"/>
                </w:tcPr>
                <w:p>
                  <w:pPr>
                    <w:snapToGrid w:val="0"/>
                    <w:jc w:val="center"/>
                    <w:rPr>
                      <w:color w:val="000000" w:themeColor="text1"/>
                      <w14:textFill>
                        <w14:solidFill>
                          <w14:schemeClr w14:val="tx1"/>
                        </w14:solidFill>
                      </w14:textFill>
                    </w:rPr>
                  </w:pPr>
                </w:p>
              </w:tc>
              <w:tc>
                <w:tcPr>
                  <w:tcW w:w="511" w:type="dxa"/>
                  <w:vMerge w:val="continue"/>
                  <w:vAlign w:val="center"/>
                </w:tcPr>
                <w:p>
                  <w:pPr>
                    <w:snapToGrid w:val="0"/>
                    <w:jc w:val="center"/>
                    <w:rPr>
                      <w:color w:val="000000" w:themeColor="text1"/>
                      <w14:textFill>
                        <w14:solidFill>
                          <w14:schemeClr w14:val="tx1"/>
                        </w14:solidFill>
                      </w14:textFill>
                    </w:rPr>
                  </w:pPr>
                </w:p>
              </w:tc>
              <w:tc>
                <w:tcPr>
                  <w:tcW w:w="629" w:type="dxa"/>
                  <w:vMerge w:val="continue"/>
                  <w:vAlign w:val="center"/>
                </w:tcPr>
                <w:p>
                  <w:pPr>
                    <w:snapToGrid w:val="0"/>
                    <w:jc w:val="center"/>
                    <w:rPr>
                      <w:color w:val="000000" w:themeColor="text1"/>
                      <w14:textFill>
                        <w14:solidFill>
                          <w14:schemeClr w14:val="tx1"/>
                        </w14:solidFill>
                      </w14:textFill>
                    </w:rPr>
                  </w:pPr>
                </w:p>
              </w:tc>
              <w:tc>
                <w:tcPr>
                  <w:tcW w:w="634" w:type="dxa"/>
                  <w:vMerge w:val="continue"/>
                  <w:shd w:val="clear" w:color="auto" w:fill="auto"/>
                  <w:vAlign w:val="center"/>
                </w:tcPr>
                <w:p>
                  <w:pPr>
                    <w:snapToGrid w:val="0"/>
                    <w:jc w:val="center"/>
                    <w:rPr>
                      <w:color w:val="000000" w:themeColor="text1"/>
                      <w14:textFill>
                        <w14:solidFill>
                          <w14:schemeClr w14:val="tx1"/>
                        </w14:solidFill>
                      </w14:textFill>
                    </w:rPr>
                  </w:pPr>
                </w:p>
              </w:tc>
              <w:tc>
                <w:tcPr>
                  <w:tcW w:w="430" w:type="dxa"/>
                  <w:vMerge w:val="continue"/>
                  <w:shd w:val="clear" w:color="auto" w:fill="auto"/>
                  <w:vAlign w:val="center"/>
                </w:tcPr>
                <w:p>
                  <w:pPr>
                    <w:snapToGrid w:val="0"/>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00" w:hRule="atLeast"/>
              </w:trPr>
              <w:tc>
                <w:tcPr>
                  <w:tcW w:w="698"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点源2（P2）</w:t>
                  </w:r>
                </w:p>
              </w:tc>
              <w:tc>
                <w:tcPr>
                  <w:tcW w:w="1385" w:type="dxa"/>
                  <w:shd w:val="clear" w:color="auto" w:fill="auto"/>
                  <w:vAlign w:val="center"/>
                </w:tcPr>
                <w:p>
                  <w:pPr>
                    <w:jc w:val="center"/>
                    <w:rPr>
                      <w:color w:val="000000" w:themeColor="text1"/>
                      <w14:textFill>
                        <w14:solidFill>
                          <w14:schemeClr w14:val="tx1"/>
                        </w14:solidFill>
                      </w14:textFill>
                    </w:rPr>
                  </w:pPr>
                  <w:r>
                    <w:t>108.769436</w:t>
                  </w:r>
                </w:p>
              </w:tc>
              <w:tc>
                <w:tcPr>
                  <w:tcW w:w="1245" w:type="dxa"/>
                  <w:shd w:val="clear" w:color="auto" w:fill="auto"/>
                  <w:vAlign w:val="center"/>
                </w:tcPr>
                <w:p>
                  <w:pPr>
                    <w:jc w:val="center"/>
                    <w:rPr>
                      <w:color w:val="000000" w:themeColor="text1"/>
                      <w14:textFill>
                        <w14:solidFill>
                          <w14:schemeClr w14:val="tx1"/>
                        </w14:solidFill>
                      </w14:textFill>
                    </w:rPr>
                  </w:pPr>
                  <w:r>
                    <w:t>34.448452</w:t>
                  </w:r>
                </w:p>
              </w:tc>
              <w:tc>
                <w:tcPr>
                  <w:tcW w:w="687" w:type="dxa"/>
                  <w:shd w:val="clear" w:color="auto" w:fill="auto"/>
                  <w:vAlign w:val="center"/>
                </w:tcPr>
                <w:p>
                  <w:pPr>
                    <w:jc w:val="center"/>
                    <w:rPr>
                      <w:color w:val="000000" w:themeColor="text1"/>
                      <w14:textFill>
                        <w14:solidFill>
                          <w14:schemeClr w14:val="tx1"/>
                        </w14:solidFill>
                      </w14:textFill>
                    </w:rPr>
                  </w:pPr>
                  <w:r>
                    <w:t>476.0</w:t>
                  </w:r>
                </w:p>
              </w:tc>
              <w:tc>
                <w:tcPr>
                  <w:tcW w:w="546" w:type="dxa"/>
                  <w:shd w:val="clear" w:color="auto" w:fill="auto"/>
                  <w:vAlign w:val="center"/>
                </w:tcPr>
                <w:p>
                  <w:pPr>
                    <w:jc w:val="center"/>
                    <w:rPr>
                      <w:color w:val="000000" w:themeColor="text1"/>
                      <w14:textFill>
                        <w14:solidFill>
                          <w14:schemeClr w14:val="tx1"/>
                        </w14:solidFill>
                      </w14:textFill>
                    </w:rPr>
                  </w:pPr>
                  <w:r>
                    <w:t>15.0</w:t>
                  </w:r>
                </w:p>
              </w:tc>
              <w:tc>
                <w:tcPr>
                  <w:tcW w:w="406" w:type="dxa"/>
                  <w:shd w:val="clear" w:color="auto" w:fill="auto"/>
                  <w:vAlign w:val="center"/>
                </w:tcPr>
                <w:p>
                  <w:pPr>
                    <w:jc w:val="center"/>
                    <w:rPr>
                      <w:color w:val="000000" w:themeColor="text1"/>
                      <w14:textFill>
                        <w14:solidFill>
                          <w14:schemeClr w14:val="tx1"/>
                        </w14:solidFill>
                      </w14:textFill>
                    </w:rPr>
                  </w:pPr>
                  <w:r>
                    <w:t>1.2</w:t>
                  </w:r>
                </w:p>
              </w:tc>
              <w:tc>
                <w:tcPr>
                  <w:tcW w:w="424"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70.0</w:t>
                  </w:r>
                </w:p>
              </w:tc>
              <w:tc>
                <w:tcPr>
                  <w:tcW w:w="501"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14.5</w:t>
                  </w:r>
                </w:p>
              </w:tc>
              <w:tc>
                <w:tcPr>
                  <w:tcW w:w="687" w:type="dxa"/>
                  <w:tcBorders>
                    <w:top w:val="single" w:color="auto" w:sz="4" w:space="0"/>
                  </w:tcBorders>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    NMHC    甲苯</w:t>
                  </w:r>
                </w:p>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二甲苯    </w:t>
                  </w:r>
                </w:p>
              </w:tc>
              <w:tc>
                <w:tcPr>
                  <w:tcW w:w="511" w:type="dxa"/>
                  <w:vMerge w:val="restart"/>
                  <w:tcBorders>
                    <w:top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正常</w:t>
                  </w:r>
                </w:p>
              </w:tc>
              <w:tc>
                <w:tcPr>
                  <w:tcW w:w="629" w:type="dxa"/>
                  <w:vMerge w:val="restart"/>
                  <w:tcBorders>
                    <w:top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300h/a</w:t>
                  </w:r>
                </w:p>
              </w:tc>
              <w:tc>
                <w:tcPr>
                  <w:tcW w:w="634" w:type="dxa"/>
                  <w:tcBorders>
                    <w:top w:val="single" w:color="auto" w:sz="4" w:space="0"/>
                  </w:tcBorders>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0.2415</w:t>
                  </w:r>
                </w:p>
                <w:p>
                  <w:pPr>
                    <w:jc w:val="center"/>
                    <w:rPr>
                      <w:color w:val="000000" w:themeColor="text1"/>
                      <w14:textFill>
                        <w14:solidFill>
                          <w14:schemeClr w14:val="tx1"/>
                        </w14:solidFill>
                      </w14:textFill>
                    </w:rPr>
                  </w:pPr>
                  <w:r>
                    <w:rPr>
                      <w:color w:val="000000" w:themeColor="text1"/>
                      <w14:textFill>
                        <w14:solidFill>
                          <w14:schemeClr w14:val="tx1"/>
                        </w14:solidFill>
                      </w14:textFill>
                    </w:rPr>
                    <w:t>1.0832</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0.0314</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0.0626</w:t>
                  </w:r>
                </w:p>
              </w:tc>
              <w:tc>
                <w:tcPr>
                  <w:tcW w:w="430"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00" w:hRule="atLeast"/>
              </w:trPr>
              <w:tc>
                <w:tcPr>
                  <w:tcW w:w="698"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点源1（P1）</w:t>
                  </w:r>
                </w:p>
              </w:tc>
              <w:tc>
                <w:tcPr>
                  <w:tcW w:w="1385" w:type="dxa"/>
                  <w:shd w:val="clear" w:color="auto" w:fill="auto"/>
                  <w:vAlign w:val="center"/>
                </w:tcPr>
                <w:p>
                  <w:pPr>
                    <w:jc w:val="center"/>
                    <w:rPr>
                      <w:color w:val="000000" w:themeColor="text1"/>
                      <w14:textFill>
                        <w14:solidFill>
                          <w14:schemeClr w14:val="tx1"/>
                        </w14:solidFill>
                      </w14:textFill>
                    </w:rPr>
                  </w:pPr>
                  <w:r>
                    <w:t>108.768826</w:t>
                  </w:r>
                </w:p>
              </w:tc>
              <w:tc>
                <w:tcPr>
                  <w:tcW w:w="1245" w:type="dxa"/>
                  <w:shd w:val="clear" w:color="auto" w:fill="auto"/>
                  <w:vAlign w:val="center"/>
                </w:tcPr>
                <w:p>
                  <w:pPr>
                    <w:jc w:val="center"/>
                    <w:rPr>
                      <w:color w:val="000000" w:themeColor="text1"/>
                      <w14:textFill>
                        <w14:solidFill>
                          <w14:schemeClr w14:val="tx1"/>
                        </w14:solidFill>
                      </w14:textFill>
                    </w:rPr>
                  </w:pPr>
                  <w:r>
                    <w:t>34.448019</w:t>
                  </w:r>
                </w:p>
              </w:tc>
              <w:tc>
                <w:tcPr>
                  <w:tcW w:w="687" w:type="dxa"/>
                  <w:shd w:val="clear" w:color="auto" w:fill="auto"/>
                  <w:vAlign w:val="center"/>
                </w:tcPr>
                <w:p>
                  <w:pPr>
                    <w:jc w:val="center"/>
                    <w:rPr>
                      <w:color w:val="000000" w:themeColor="text1"/>
                      <w14:textFill>
                        <w14:solidFill>
                          <w14:schemeClr w14:val="tx1"/>
                        </w14:solidFill>
                      </w14:textFill>
                    </w:rPr>
                  </w:pPr>
                  <w:r>
                    <w:t>475.0</w:t>
                  </w:r>
                </w:p>
              </w:tc>
              <w:tc>
                <w:tcPr>
                  <w:tcW w:w="546" w:type="dxa"/>
                  <w:shd w:val="clear" w:color="auto" w:fill="auto"/>
                  <w:vAlign w:val="center"/>
                </w:tcPr>
                <w:p>
                  <w:pPr>
                    <w:jc w:val="center"/>
                    <w:rPr>
                      <w:color w:val="000000" w:themeColor="text1"/>
                      <w14:textFill>
                        <w14:solidFill>
                          <w14:schemeClr w14:val="tx1"/>
                        </w14:solidFill>
                      </w14:textFill>
                    </w:rPr>
                  </w:pPr>
                  <w:r>
                    <w:t>15.0</w:t>
                  </w:r>
                </w:p>
              </w:tc>
              <w:tc>
                <w:tcPr>
                  <w:tcW w:w="406" w:type="dxa"/>
                  <w:shd w:val="clear" w:color="auto" w:fill="auto"/>
                  <w:vAlign w:val="center"/>
                </w:tcPr>
                <w:p>
                  <w:pPr>
                    <w:jc w:val="center"/>
                    <w:rPr>
                      <w:color w:val="000000" w:themeColor="text1"/>
                      <w14:textFill>
                        <w14:solidFill>
                          <w14:schemeClr w14:val="tx1"/>
                        </w14:solidFill>
                      </w14:textFill>
                    </w:rPr>
                  </w:pPr>
                  <w:r>
                    <w:t>1.2</w:t>
                  </w:r>
                </w:p>
              </w:tc>
              <w:tc>
                <w:tcPr>
                  <w:tcW w:w="424"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70.0</w:t>
                  </w:r>
                </w:p>
              </w:tc>
              <w:tc>
                <w:tcPr>
                  <w:tcW w:w="501"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14.5</w:t>
                  </w:r>
                </w:p>
              </w:tc>
              <w:tc>
                <w:tcPr>
                  <w:tcW w:w="687"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   NMHC    甲苯</w:t>
                  </w:r>
                </w:p>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二甲苯  </w:t>
                  </w:r>
                </w:p>
              </w:tc>
              <w:tc>
                <w:tcPr>
                  <w:tcW w:w="511" w:type="dxa"/>
                  <w:vMerge w:val="continue"/>
                  <w:vAlign w:val="center"/>
                </w:tcPr>
                <w:p>
                  <w:pPr>
                    <w:jc w:val="center"/>
                    <w:rPr>
                      <w:color w:val="000000" w:themeColor="text1"/>
                      <w14:textFill>
                        <w14:solidFill>
                          <w14:schemeClr w14:val="tx1"/>
                        </w14:solidFill>
                      </w14:textFill>
                    </w:rPr>
                  </w:pPr>
                </w:p>
              </w:tc>
              <w:tc>
                <w:tcPr>
                  <w:tcW w:w="629" w:type="dxa"/>
                  <w:vMerge w:val="continue"/>
                  <w:vAlign w:val="center"/>
                </w:tcPr>
                <w:p>
                  <w:pPr>
                    <w:jc w:val="center"/>
                    <w:rPr>
                      <w:color w:val="000000" w:themeColor="text1"/>
                      <w14:textFill>
                        <w14:solidFill>
                          <w14:schemeClr w14:val="tx1"/>
                        </w14:solidFill>
                      </w14:textFill>
                    </w:rPr>
                  </w:pPr>
                </w:p>
              </w:tc>
              <w:tc>
                <w:tcPr>
                  <w:tcW w:w="634"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0.2415</w:t>
                  </w:r>
                </w:p>
                <w:p>
                  <w:pPr>
                    <w:jc w:val="center"/>
                    <w:rPr>
                      <w:color w:val="000000" w:themeColor="text1"/>
                      <w14:textFill>
                        <w14:solidFill>
                          <w14:schemeClr w14:val="tx1"/>
                        </w14:solidFill>
                      </w14:textFill>
                    </w:rPr>
                  </w:pPr>
                  <w:r>
                    <w:rPr>
                      <w:color w:val="000000" w:themeColor="text1"/>
                      <w14:textFill>
                        <w14:solidFill>
                          <w14:schemeClr w14:val="tx1"/>
                        </w14:solidFill>
                      </w14:textFill>
                    </w:rPr>
                    <w:t>1.0832</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0.0314</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0.0626</w:t>
                  </w:r>
                </w:p>
              </w:tc>
              <w:tc>
                <w:tcPr>
                  <w:tcW w:w="430" w:type="dxa"/>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r>
          </w:tbl>
          <w:p>
            <w:pPr>
              <w:adjustRightInd w:val="0"/>
              <w:snapToGrid w:val="0"/>
              <w:spacing w:before="76" w:beforeLines="20" w:after="38" w:afterLines="10"/>
              <w:jc w:val="center"/>
              <w:rPr>
                <w:rFonts w:eastAsia="黑体"/>
                <w:sz w:val="24"/>
                <w:szCs w:val="24"/>
              </w:rPr>
            </w:pPr>
            <w:r>
              <w:rPr>
                <w:rFonts w:eastAsia="黑体"/>
                <w:sz w:val="24"/>
                <w:szCs w:val="24"/>
              </w:rPr>
              <w:t>表27   面源参数一览表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500"/>
              <w:gridCol w:w="1367"/>
              <w:gridCol w:w="824"/>
              <w:gridCol w:w="824"/>
              <w:gridCol w:w="824"/>
              <w:gridCol w:w="624"/>
              <w:gridCol w:w="1029"/>
              <w:gridCol w:w="13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488" w:type="dxa"/>
                  <w:vMerge w:val="restart"/>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污染源名称</w:t>
                  </w:r>
                </w:p>
              </w:tc>
              <w:tc>
                <w:tcPr>
                  <w:tcW w:w="2867" w:type="dxa"/>
                  <w:gridSpan w:val="2"/>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坐标</w:t>
                  </w:r>
                </w:p>
              </w:tc>
              <w:tc>
                <w:tcPr>
                  <w:tcW w:w="824" w:type="dxa"/>
                  <w:vMerge w:val="restart"/>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海拔高度/m</w:t>
                  </w:r>
                </w:p>
              </w:tc>
              <w:tc>
                <w:tcPr>
                  <w:tcW w:w="2272" w:type="dxa"/>
                  <w:gridSpan w:val="3"/>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矩形面源</w:t>
                  </w:r>
                </w:p>
              </w:tc>
              <w:tc>
                <w:tcPr>
                  <w:tcW w:w="1029" w:type="dxa"/>
                  <w:vMerge w:val="restart"/>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303" w:type="dxa"/>
                  <w:vMerge w:val="restart"/>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排放</w:t>
                  </w:r>
                </w:p>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488" w:type="dxa"/>
                  <w:vMerge w:val="continue"/>
                  <w:tcBorders>
                    <w:tl2br w:val="nil"/>
                    <w:tr2bl w:val="nil"/>
                  </w:tcBorders>
                  <w:vAlign w:val="center"/>
                </w:tcPr>
                <w:p>
                  <w:pPr>
                    <w:snapToGrid w:val="0"/>
                    <w:jc w:val="center"/>
                    <w:rPr>
                      <w:color w:val="000000" w:themeColor="text1"/>
                      <w14:textFill>
                        <w14:solidFill>
                          <w14:schemeClr w14:val="tx1"/>
                        </w14:solidFill>
                      </w14:textFill>
                    </w:rPr>
                  </w:pPr>
                </w:p>
              </w:tc>
              <w:tc>
                <w:tcPr>
                  <w:tcW w:w="1500" w:type="dxa"/>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X</w:t>
                  </w:r>
                </w:p>
              </w:tc>
              <w:tc>
                <w:tcPr>
                  <w:tcW w:w="1367" w:type="dxa"/>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Y</w:t>
                  </w:r>
                </w:p>
              </w:tc>
              <w:tc>
                <w:tcPr>
                  <w:tcW w:w="824" w:type="dxa"/>
                  <w:vMerge w:val="continue"/>
                  <w:tcBorders>
                    <w:tl2br w:val="nil"/>
                    <w:tr2bl w:val="nil"/>
                  </w:tcBorders>
                  <w:vAlign w:val="center"/>
                </w:tcPr>
                <w:p>
                  <w:pPr>
                    <w:snapToGrid w:val="0"/>
                    <w:jc w:val="center"/>
                    <w:rPr>
                      <w:color w:val="000000" w:themeColor="text1"/>
                      <w14:textFill>
                        <w14:solidFill>
                          <w14:schemeClr w14:val="tx1"/>
                        </w14:solidFill>
                      </w14:textFill>
                    </w:rPr>
                  </w:pPr>
                </w:p>
              </w:tc>
              <w:tc>
                <w:tcPr>
                  <w:tcW w:w="824" w:type="dxa"/>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长度(m)</w:t>
                  </w:r>
                </w:p>
              </w:tc>
              <w:tc>
                <w:tcPr>
                  <w:tcW w:w="824" w:type="dxa"/>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宽度(m)</w:t>
                  </w:r>
                </w:p>
              </w:tc>
              <w:tc>
                <w:tcPr>
                  <w:tcW w:w="624" w:type="dxa"/>
                  <w:tcBorders>
                    <w:tl2br w:val="nil"/>
                    <w:tr2bl w:val="nil"/>
                  </w:tcBorders>
                  <w:vAlign w:val="center"/>
                </w:tcPr>
                <w:p>
                  <w:pPr>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有效高度(m)</w:t>
                  </w:r>
                </w:p>
              </w:tc>
              <w:tc>
                <w:tcPr>
                  <w:tcW w:w="1029" w:type="dxa"/>
                  <w:vMerge w:val="continue"/>
                  <w:tcBorders>
                    <w:tl2br w:val="nil"/>
                    <w:tr2bl w:val="nil"/>
                  </w:tcBorders>
                  <w:vAlign w:val="center"/>
                </w:tcPr>
                <w:p>
                  <w:pPr>
                    <w:snapToGrid w:val="0"/>
                    <w:jc w:val="center"/>
                    <w:rPr>
                      <w:color w:val="000000" w:themeColor="text1"/>
                      <w14:textFill>
                        <w14:solidFill>
                          <w14:schemeClr w14:val="tx1"/>
                        </w14:solidFill>
                      </w14:textFill>
                    </w:rPr>
                  </w:pPr>
                </w:p>
              </w:tc>
              <w:tc>
                <w:tcPr>
                  <w:tcW w:w="1303" w:type="dxa"/>
                  <w:vMerge w:val="continue"/>
                  <w:tcBorders>
                    <w:tl2br w:val="nil"/>
                    <w:tr2bl w:val="nil"/>
                  </w:tcBorders>
                  <w:vAlign w:val="center"/>
                </w:tcPr>
                <w:p>
                  <w:pPr>
                    <w:snapToGrid w:val="0"/>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488"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矩形面源</w:t>
                  </w:r>
                </w:p>
              </w:tc>
              <w:tc>
                <w:tcPr>
                  <w:tcW w:w="1500" w:type="dxa"/>
                  <w:tcBorders>
                    <w:tl2br w:val="nil"/>
                    <w:tr2bl w:val="nil"/>
                  </w:tcBorders>
                  <w:vAlign w:val="center"/>
                </w:tcPr>
                <w:p>
                  <w:pPr>
                    <w:jc w:val="center"/>
                    <w:rPr>
                      <w:color w:val="000000" w:themeColor="text1"/>
                      <w14:textFill>
                        <w14:solidFill>
                          <w14:schemeClr w14:val="tx1"/>
                        </w14:solidFill>
                      </w14:textFill>
                    </w:rPr>
                  </w:pPr>
                  <w:r>
                    <w:t>108.768619</w:t>
                  </w:r>
                </w:p>
              </w:tc>
              <w:tc>
                <w:tcPr>
                  <w:tcW w:w="1367" w:type="dxa"/>
                  <w:tcBorders>
                    <w:tl2br w:val="nil"/>
                    <w:tr2bl w:val="nil"/>
                  </w:tcBorders>
                  <w:vAlign w:val="center"/>
                </w:tcPr>
                <w:p>
                  <w:pPr>
                    <w:jc w:val="center"/>
                    <w:rPr>
                      <w:color w:val="000000" w:themeColor="text1"/>
                      <w14:textFill>
                        <w14:solidFill>
                          <w14:schemeClr w14:val="tx1"/>
                        </w14:solidFill>
                      </w14:textFill>
                    </w:rPr>
                  </w:pPr>
                  <w:r>
                    <w:t>34.448079</w:t>
                  </w:r>
                </w:p>
              </w:tc>
              <w:tc>
                <w:tcPr>
                  <w:tcW w:w="824" w:type="dxa"/>
                  <w:tcBorders>
                    <w:tl2br w:val="nil"/>
                    <w:tr2bl w:val="nil"/>
                  </w:tcBorders>
                  <w:vAlign w:val="center"/>
                </w:tcPr>
                <w:p>
                  <w:pPr>
                    <w:jc w:val="center"/>
                    <w:rPr>
                      <w:color w:val="000000" w:themeColor="text1"/>
                      <w14:textFill>
                        <w14:solidFill>
                          <w14:schemeClr w14:val="tx1"/>
                        </w14:solidFill>
                      </w14:textFill>
                    </w:rPr>
                  </w:pPr>
                  <w:r>
                    <w:t>475.0</w:t>
                  </w:r>
                </w:p>
              </w:tc>
              <w:tc>
                <w:tcPr>
                  <w:tcW w:w="824" w:type="dxa"/>
                  <w:tcBorders>
                    <w:tl2br w:val="nil"/>
                    <w:tr2bl w:val="nil"/>
                  </w:tcBorders>
                  <w:vAlign w:val="center"/>
                </w:tcPr>
                <w:p>
                  <w:pPr>
                    <w:jc w:val="center"/>
                    <w:rPr>
                      <w:color w:val="000000" w:themeColor="text1"/>
                      <w14:textFill>
                        <w14:solidFill>
                          <w14:schemeClr w14:val="tx1"/>
                        </w14:solidFill>
                      </w14:textFill>
                    </w:rPr>
                  </w:pPr>
                  <w:r>
                    <w:t>89.82</w:t>
                  </w:r>
                </w:p>
              </w:tc>
              <w:tc>
                <w:tcPr>
                  <w:tcW w:w="824" w:type="dxa"/>
                  <w:tcBorders>
                    <w:tl2br w:val="nil"/>
                    <w:tr2bl w:val="nil"/>
                  </w:tcBorders>
                  <w:vAlign w:val="center"/>
                </w:tcPr>
                <w:p>
                  <w:pPr>
                    <w:jc w:val="center"/>
                    <w:rPr>
                      <w:color w:val="000000" w:themeColor="text1"/>
                      <w14:textFill>
                        <w14:solidFill>
                          <w14:schemeClr w14:val="tx1"/>
                        </w14:solidFill>
                      </w14:textFill>
                    </w:rPr>
                  </w:pPr>
                  <w:r>
                    <w:t>70.91</w:t>
                  </w:r>
                </w:p>
              </w:tc>
              <w:tc>
                <w:tcPr>
                  <w:tcW w:w="62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18.0</w:t>
                  </w:r>
                </w:p>
              </w:tc>
              <w:tc>
                <w:tcPr>
                  <w:tcW w:w="1029" w:type="dxa"/>
                  <w:tcBorders>
                    <w:tl2br w:val="nil"/>
                    <w:tr2bl w:val="nil"/>
                  </w:tcBorders>
                  <w:vAlign w:val="center"/>
                </w:tcPr>
                <w:p>
                  <w:pPr>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TSP</w:t>
                  </w:r>
                </w:p>
                <w:p>
                  <w:pPr>
                    <w:jc w:val="center"/>
                    <w:rPr>
                      <w:color w:val="000000" w:themeColor="text1"/>
                      <w14:textFill>
                        <w14:solidFill>
                          <w14:schemeClr w14:val="tx1"/>
                        </w14:solidFill>
                      </w14:textFill>
                    </w:rPr>
                  </w:pPr>
                  <w:r>
                    <w:rPr>
                      <w:color w:val="000000" w:themeColor="text1"/>
                      <w14:textFill>
                        <w14:solidFill>
                          <w14:schemeClr w14:val="tx1"/>
                        </w14:solidFill>
                      </w14:textFill>
                    </w:rPr>
                    <w:t>NMHC    甲苯    二甲苯</w:t>
                  </w:r>
                </w:p>
              </w:tc>
              <w:tc>
                <w:tcPr>
                  <w:tcW w:w="1303"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0.083</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0.078</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0.0023</w:t>
                  </w:r>
                </w:p>
                <w:p>
                  <w:pPr>
                    <w:jc w:val="center"/>
                    <w:rPr>
                      <w:color w:val="000000" w:themeColor="text1"/>
                      <w14:textFill>
                        <w14:solidFill>
                          <w14:schemeClr w14:val="tx1"/>
                        </w14:solidFill>
                      </w14:textFill>
                    </w:rPr>
                  </w:pPr>
                  <w:r>
                    <w:rPr>
                      <w:color w:val="000000" w:themeColor="text1"/>
                      <w14:textFill>
                        <w14:solidFill>
                          <w14:schemeClr w14:val="tx1"/>
                        </w14:solidFill>
                      </w14:textFill>
                    </w:rPr>
                    <w:t>0.0045</w:t>
                  </w:r>
                </w:p>
              </w:tc>
            </w:tr>
          </w:tbl>
          <w:p>
            <w:pPr>
              <w:adjustRightInd w:val="0"/>
              <w:snapToGrid w:val="0"/>
              <w:spacing w:line="520" w:lineRule="exact"/>
              <w:ind w:firstLine="480" w:firstLineChars="200"/>
              <w:jc w:val="left"/>
              <w:rPr>
                <w:sz w:val="24"/>
                <w:szCs w:val="22"/>
              </w:rPr>
            </w:pPr>
            <w:r>
              <w:rPr>
                <w:sz w:val="24"/>
                <w:szCs w:val="22"/>
              </w:rPr>
              <w:t>估算模式所用参数见表。</w:t>
            </w:r>
          </w:p>
          <w:p>
            <w:pPr>
              <w:adjustRightInd w:val="0"/>
              <w:snapToGrid w:val="0"/>
              <w:spacing w:before="76" w:beforeLines="20" w:after="38" w:afterLines="10"/>
              <w:jc w:val="center"/>
              <w:rPr>
                <w:rFonts w:eastAsia="黑体"/>
                <w:sz w:val="24"/>
                <w:szCs w:val="24"/>
              </w:rPr>
            </w:pPr>
            <w:r>
              <w:rPr>
                <w:rFonts w:eastAsia="黑体"/>
                <w:sz w:val="24"/>
                <w:szCs w:val="24"/>
              </w:rPr>
              <w:t>表28   估算模型参数表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49"/>
              <w:gridCol w:w="3434"/>
              <w:gridCol w:w="18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83" w:type="dxa"/>
                  <w:gridSpan w:val="2"/>
                  <w:tcBorders>
                    <w:top w:val="single" w:color="auto" w:sz="12" w:space="0"/>
                    <w:left w:val="nil"/>
                    <w:bottom w:val="single" w:color="auto" w:sz="4" w:space="0"/>
                    <w:right w:val="single" w:color="auto" w:sz="4" w:space="0"/>
                  </w:tcBorders>
                  <w:vAlign w:val="center"/>
                </w:tcPr>
                <w:p>
                  <w:pPr>
                    <w:jc w:val="center"/>
                  </w:pPr>
                  <w:r>
                    <w:t>参数</w:t>
                  </w:r>
                </w:p>
              </w:tc>
              <w:tc>
                <w:tcPr>
                  <w:tcW w:w="1800" w:type="dxa"/>
                  <w:tcBorders>
                    <w:top w:val="single" w:color="auto" w:sz="12" w:space="0"/>
                    <w:left w:val="single" w:color="auto" w:sz="4" w:space="0"/>
                    <w:bottom w:val="single" w:color="auto" w:sz="4" w:space="0"/>
                    <w:right w:val="nil"/>
                  </w:tcBorders>
                  <w:vAlign w:val="center"/>
                </w:tcPr>
                <w:p>
                  <w:pPr>
                    <w:jc w:val="center"/>
                  </w:pPr>
                  <w: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4" w:space="0"/>
                    <w:right w:val="single" w:color="auto" w:sz="4" w:space="0"/>
                  </w:tcBorders>
                  <w:vAlign w:val="center"/>
                </w:tcPr>
                <w:p>
                  <w:pPr>
                    <w:jc w:val="center"/>
                  </w:pPr>
                  <w:r>
                    <w:t>城市农村/选项</w:t>
                  </w: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城市/农村</w:t>
                  </w:r>
                </w:p>
              </w:tc>
              <w:tc>
                <w:tcPr>
                  <w:tcW w:w="1800" w:type="dxa"/>
                  <w:tcBorders>
                    <w:top w:val="single" w:color="auto" w:sz="4" w:space="0"/>
                    <w:left w:val="single" w:color="auto" w:sz="4" w:space="0"/>
                    <w:bottom w:val="single" w:color="auto" w:sz="4" w:space="0"/>
                    <w:right w:val="nil"/>
                  </w:tcBorders>
                  <w:vAlign w:val="center"/>
                </w:tcPr>
                <w:p>
                  <w:pPr>
                    <w:jc w:val="center"/>
                  </w:pPr>
                  <w:r>
                    <w:t>农村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人口数(城市人口数)</w:t>
                  </w:r>
                </w:p>
              </w:tc>
              <w:tc>
                <w:tcPr>
                  <w:tcW w:w="1800" w:type="dxa"/>
                  <w:tcBorders>
                    <w:top w:val="single" w:color="auto" w:sz="4" w:space="0"/>
                    <w:left w:val="single" w:color="auto" w:sz="4" w:space="0"/>
                    <w:bottom w:val="single" w:color="auto" w:sz="4" w:space="0"/>
                    <w:right w:val="nil"/>
                  </w:tcBorders>
                  <w:vAlign w:val="center"/>
                </w:tcPr>
                <w:p>
                  <w:pPr>
                    <w:jc w:val="center"/>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jc w:val="center"/>
                  </w:pPr>
                  <w:r>
                    <w:t>最高环境温度</w:t>
                  </w:r>
                </w:p>
              </w:tc>
              <w:tc>
                <w:tcPr>
                  <w:tcW w:w="1800" w:type="dxa"/>
                  <w:tcBorders>
                    <w:top w:val="single" w:color="auto" w:sz="4" w:space="0"/>
                    <w:left w:val="single" w:color="auto" w:sz="4" w:space="0"/>
                    <w:bottom w:val="single" w:color="auto" w:sz="4" w:space="0"/>
                    <w:right w:val="nil"/>
                  </w:tcBorders>
                  <w:vAlign w:val="center"/>
                </w:tcPr>
                <w:p>
                  <w:pPr>
                    <w:jc w:val="center"/>
                  </w:pPr>
                  <w:r>
                    <w:t>42.0°C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jc w:val="center"/>
                  </w:pPr>
                  <w:r>
                    <w:t>最低环境温度</w:t>
                  </w:r>
                </w:p>
              </w:tc>
              <w:tc>
                <w:tcPr>
                  <w:tcW w:w="1800" w:type="dxa"/>
                  <w:tcBorders>
                    <w:top w:val="single" w:color="auto" w:sz="4" w:space="0"/>
                    <w:left w:val="single" w:color="auto" w:sz="4" w:space="0"/>
                    <w:bottom w:val="single" w:color="auto" w:sz="4" w:space="0"/>
                    <w:right w:val="nil"/>
                  </w:tcBorders>
                  <w:vAlign w:val="center"/>
                </w:tcPr>
                <w:p>
                  <w:pPr>
                    <w:jc w:val="center"/>
                  </w:pPr>
                  <w:r>
                    <w:t>-19.7 °C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jc w:val="center"/>
                  </w:pPr>
                  <w:r>
                    <w:t>土地利用类型</w:t>
                  </w:r>
                </w:p>
              </w:tc>
              <w:tc>
                <w:tcPr>
                  <w:tcW w:w="1800" w:type="dxa"/>
                  <w:tcBorders>
                    <w:top w:val="single" w:color="auto" w:sz="4" w:space="0"/>
                    <w:left w:val="single" w:color="auto" w:sz="4" w:space="0"/>
                    <w:bottom w:val="single" w:color="auto" w:sz="4" w:space="0"/>
                    <w:right w:val="nil"/>
                  </w:tcBorders>
                  <w:vAlign w:val="center"/>
                </w:tcPr>
                <w:p>
                  <w:pPr>
                    <w:jc w:val="center"/>
                  </w:pPr>
                  <w:r>
                    <w:t>农田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jc w:val="center"/>
                  </w:pPr>
                  <w:r>
                    <w:t>区域湿度条件</w:t>
                  </w:r>
                </w:p>
              </w:tc>
              <w:tc>
                <w:tcPr>
                  <w:tcW w:w="1800" w:type="dxa"/>
                  <w:tcBorders>
                    <w:top w:val="single" w:color="auto" w:sz="4" w:space="0"/>
                    <w:left w:val="single" w:color="auto" w:sz="4" w:space="0"/>
                    <w:bottom w:val="single" w:color="auto" w:sz="4" w:space="0"/>
                    <w:right w:val="nil"/>
                  </w:tcBorders>
                  <w:vAlign w:val="center"/>
                </w:tcPr>
                <w:p>
                  <w:pPr>
                    <w:jc w:val="center"/>
                  </w:pPr>
                  <w:r>
                    <w:t>中等湿度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4" w:space="0"/>
                    <w:right w:val="single" w:color="auto" w:sz="4" w:space="0"/>
                  </w:tcBorders>
                  <w:vAlign w:val="center"/>
                </w:tcPr>
                <w:p>
                  <w:pPr>
                    <w:jc w:val="center"/>
                  </w:pPr>
                  <w:r>
                    <w:t>是否考虑地形</w:t>
                  </w: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考虑地形</w:t>
                  </w:r>
                </w:p>
              </w:tc>
              <w:tc>
                <w:tcPr>
                  <w:tcW w:w="1800" w:type="dxa"/>
                  <w:tcBorders>
                    <w:top w:val="single" w:color="auto" w:sz="4" w:space="0"/>
                    <w:left w:val="single" w:color="auto" w:sz="4" w:space="0"/>
                    <w:bottom w:val="single" w:color="auto" w:sz="4" w:space="0"/>
                    <w:right w:val="nil"/>
                  </w:tcBorders>
                  <w:vAlign w:val="center"/>
                </w:tcPr>
                <w:p>
                  <w:pPr>
                    <w:jc w:val="center"/>
                  </w:pPr>
                  <w: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地形数据分辨率(m)</w:t>
                  </w:r>
                </w:p>
              </w:tc>
              <w:tc>
                <w:tcPr>
                  <w:tcW w:w="1800" w:type="dxa"/>
                  <w:tcBorders>
                    <w:top w:val="single" w:color="auto" w:sz="4" w:space="0"/>
                    <w:left w:val="single" w:color="auto" w:sz="4" w:space="0"/>
                    <w:bottom w:val="single" w:color="auto" w:sz="4" w:space="0"/>
                    <w:right w:val="nil"/>
                  </w:tcBorders>
                  <w:vAlign w:val="center"/>
                </w:tcPr>
                <w:p>
                  <w:pPr>
                    <w:jc w:val="center"/>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12" w:space="0"/>
                    <w:right w:val="single" w:color="auto" w:sz="4" w:space="0"/>
                  </w:tcBorders>
                  <w:vAlign w:val="center"/>
                </w:tcPr>
                <w:p>
                  <w:pPr>
                    <w:jc w:val="center"/>
                  </w:pPr>
                  <w:r>
                    <w:t>是否考虑海岸线熏烟</w:t>
                  </w: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考虑海岸线熏烟</w:t>
                  </w:r>
                </w:p>
              </w:tc>
              <w:tc>
                <w:tcPr>
                  <w:tcW w:w="1800" w:type="dxa"/>
                  <w:tcBorders>
                    <w:top w:val="single" w:color="auto" w:sz="4" w:space="0"/>
                    <w:left w:val="single" w:color="auto" w:sz="4" w:space="0"/>
                    <w:bottom w:val="single" w:color="auto" w:sz="4" w:space="0"/>
                    <w:right w:val="nil"/>
                  </w:tcBorders>
                  <w:vAlign w:val="center"/>
                </w:tcPr>
                <w:p>
                  <w:pPr>
                    <w:jc w:val="center"/>
                  </w:pPr>
                  <w: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12" w:space="0"/>
                    <w:right w:val="single" w:color="auto" w:sz="4" w:space="0"/>
                  </w:tcBorders>
                  <w:vAlign w:val="center"/>
                </w:tcPr>
                <w:p>
                  <w:pPr>
                    <w:widowControl/>
                    <w:jc w:val="left"/>
                  </w:pPr>
                </w:p>
              </w:tc>
              <w:tc>
                <w:tcPr>
                  <w:tcW w:w="3434" w:type="dxa"/>
                  <w:tcBorders>
                    <w:top w:val="single" w:color="auto" w:sz="4" w:space="0"/>
                    <w:left w:val="single" w:color="auto" w:sz="4" w:space="0"/>
                    <w:bottom w:val="single" w:color="auto" w:sz="4" w:space="0"/>
                    <w:right w:val="single" w:color="auto" w:sz="4" w:space="0"/>
                  </w:tcBorders>
                  <w:vAlign w:val="center"/>
                </w:tcPr>
                <w:p>
                  <w:pPr>
                    <w:jc w:val="center"/>
                  </w:pPr>
                  <w:r>
                    <w:t>海岸线距离/km</w:t>
                  </w:r>
                </w:p>
              </w:tc>
              <w:tc>
                <w:tcPr>
                  <w:tcW w:w="1800" w:type="dxa"/>
                  <w:tcBorders>
                    <w:top w:val="single" w:color="auto" w:sz="4" w:space="0"/>
                    <w:left w:val="single" w:color="auto" w:sz="4" w:space="0"/>
                    <w:bottom w:val="single" w:color="auto" w:sz="4" w:space="0"/>
                    <w:right w:val="nil"/>
                  </w:tcBorders>
                  <w:vAlign w:val="center"/>
                </w:tcPr>
                <w:p>
                  <w:pPr>
                    <w:jc w:val="center"/>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12" w:space="0"/>
                    <w:right w:val="single" w:color="auto" w:sz="4" w:space="0"/>
                  </w:tcBorders>
                  <w:vAlign w:val="center"/>
                </w:tcPr>
                <w:p>
                  <w:pPr>
                    <w:widowControl/>
                    <w:jc w:val="left"/>
                  </w:pPr>
                </w:p>
              </w:tc>
              <w:tc>
                <w:tcPr>
                  <w:tcW w:w="3434" w:type="dxa"/>
                  <w:tcBorders>
                    <w:top w:val="single" w:color="auto" w:sz="4" w:space="0"/>
                    <w:left w:val="single" w:color="auto" w:sz="4" w:space="0"/>
                    <w:bottom w:val="single" w:color="auto" w:sz="12" w:space="0"/>
                    <w:right w:val="single" w:color="auto" w:sz="4" w:space="0"/>
                  </w:tcBorders>
                  <w:vAlign w:val="center"/>
                </w:tcPr>
                <w:p>
                  <w:pPr>
                    <w:jc w:val="center"/>
                  </w:pPr>
                  <w:r>
                    <w:t>海岸线方向/</w:t>
                  </w:r>
                  <w:r>
                    <w:rPr>
                      <w:vertAlign w:val="superscript"/>
                    </w:rPr>
                    <w:t>o</w:t>
                  </w:r>
                </w:p>
              </w:tc>
              <w:tc>
                <w:tcPr>
                  <w:tcW w:w="1800" w:type="dxa"/>
                  <w:tcBorders>
                    <w:top w:val="single" w:color="auto" w:sz="4" w:space="0"/>
                    <w:left w:val="single" w:color="auto" w:sz="4" w:space="0"/>
                    <w:bottom w:val="single" w:color="auto" w:sz="12" w:space="0"/>
                    <w:right w:val="nil"/>
                  </w:tcBorders>
                  <w:vAlign w:val="center"/>
                </w:tcPr>
                <w:p>
                  <w:pPr>
                    <w:jc w:val="center"/>
                  </w:pPr>
                  <w:r>
                    <w:t>/</w:t>
                  </w:r>
                </w:p>
              </w:tc>
            </w:tr>
          </w:tbl>
          <w:p>
            <w:pPr>
              <w:adjustRightInd w:val="0"/>
              <w:snapToGrid w:val="0"/>
              <w:spacing w:line="520" w:lineRule="exact"/>
              <w:ind w:firstLine="480" w:firstLineChars="200"/>
              <w:jc w:val="left"/>
              <w:rPr>
                <w:rFonts w:eastAsia="黑体"/>
                <w:kern w:val="0"/>
                <w:sz w:val="24"/>
              </w:rPr>
            </w:pPr>
            <w:r>
              <w:rPr>
                <w:sz w:val="24"/>
                <w:szCs w:val="22"/>
              </w:rPr>
              <w:t>本项目所有污染源的正常排放的污染物的P</w:t>
            </w:r>
            <w:r>
              <w:rPr>
                <w:sz w:val="24"/>
                <w:szCs w:val="22"/>
                <w:vertAlign w:val="subscript"/>
              </w:rPr>
              <w:t>max</w:t>
            </w:r>
            <w:r>
              <w:rPr>
                <w:sz w:val="24"/>
                <w:szCs w:val="22"/>
              </w:rPr>
              <w:t>和D</w:t>
            </w:r>
            <w:r>
              <w:rPr>
                <w:sz w:val="24"/>
                <w:szCs w:val="22"/>
                <w:vertAlign w:val="subscript"/>
              </w:rPr>
              <w:t>10%</w:t>
            </w:r>
            <w:r>
              <w:rPr>
                <w:sz w:val="24"/>
                <w:szCs w:val="22"/>
              </w:rPr>
              <w:t>预测结果如下：</w:t>
            </w:r>
          </w:p>
          <w:p>
            <w:pPr>
              <w:adjustRightInd w:val="0"/>
              <w:snapToGrid w:val="0"/>
              <w:spacing w:before="76" w:beforeLines="20" w:after="38" w:afterLines="10"/>
              <w:jc w:val="center"/>
              <w:rPr>
                <w:rFonts w:eastAsia="黑体"/>
                <w:sz w:val="24"/>
                <w:szCs w:val="24"/>
              </w:rPr>
            </w:pPr>
            <w:r>
              <w:rPr>
                <w:rFonts w:eastAsia="黑体"/>
                <w:sz w:val="24"/>
                <w:szCs w:val="24"/>
              </w:rPr>
              <w:t>表29   Pmax和D10%预测和计算结果一览表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1464"/>
              <w:gridCol w:w="1464"/>
              <w:gridCol w:w="1464"/>
              <w:gridCol w:w="1464"/>
              <w:gridCol w:w="14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1464"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污染源名称</w:t>
                  </w:r>
                </w:p>
              </w:tc>
              <w:tc>
                <w:tcPr>
                  <w:tcW w:w="1464"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评价因子</w:t>
                  </w:r>
                </w:p>
              </w:tc>
              <w:tc>
                <w:tcPr>
                  <w:tcW w:w="1464"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评价标准(</w:t>
                  </w:r>
                  <w:r>
                    <w:rPr>
                      <w:b/>
                      <w:color w:val="000000" w:themeColor="text1"/>
                      <w:lang w:bidi="ar"/>
                      <w14:textFill>
                        <w14:solidFill>
                          <w14:schemeClr w14:val="tx1"/>
                        </w14:solidFill>
                      </w14:textFill>
                    </w:rPr>
                    <w:t>μg</w:t>
                  </w:r>
                  <w:r>
                    <w:rPr>
                      <w:b/>
                      <w:color w:val="000000" w:themeColor="text1"/>
                      <w14:textFill>
                        <w14:solidFill>
                          <w14:schemeClr w14:val="tx1"/>
                        </w14:solidFill>
                      </w14:textFill>
                    </w:rPr>
                    <w:t>/m</w:t>
                  </w:r>
                  <w:r>
                    <w:rPr>
                      <w:b/>
                      <w:color w:val="000000" w:themeColor="text1"/>
                      <w:vertAlign w:val="superscript"/>
                      <w14:textFill>
                        <w14:solidFill>
                          <w14:schemeClr w14:val="tx1"/>
                        </w14:solidFill>
                      </w14:textFill>
                    </w:rPr>
                    <w:t>3</w:t>
                  </w:r>
                  <w:r>
                    <w:rPr>
                      <w:b/>
                      <w:color w:val="000000" w:themeColor="text1"/>
                      <w14:textFill>
                        <w14:solidFill>
                          <w14:schemeClr w14:val="tx1"/>
                        </w14:solidFill>
                      </w14:textFill>
                    </w:rPr>
                    <w:t>)</w:t>
                  </w:r>
                </w:p>
              </w:tc>
              <w:tc>
                <w:tcPr>
                  <w:tcW w:w="1464"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C</w:t>
                  </w:r>
                  <w:r>
                    <w:rPr>
                      <w:b/>
                      <w:color w:val="000000" w:themeColor="text1"/>
                      <w:vertAlign w:val="subscript"/>
                      <w14:textFill>
                        <w14:solidFill>
                          <w14:schemeClr w14:val="tx1"/>
                        </w14:solidFill>
                      </w14:textFill>
                    </w:rPr>
                    <w:t>max</w:t>
                  </w:r>
                </w:p>
                <w:p>
                  <w:pPr>
                    <w:jc w:val="center"/>
                    <w:rPr>
                      <w:b/>
                      <w:color w:val="000000" w:themeColor="text1"/>
                      <w14:textFill>
                        <w14:solidFill>
                          <w14:schemeClr w14:val="tx1"/>
                        </w14:solidFill>
                      </w14:textFill>
                    </w:rPr>
                  </w:pPr>
                  <w:r>
                    <w:rPr>
                      <w:b/>
                      <w:color w:val="000000" w:themeColor="text1"/>
                      <w14:textFill>
                        <w14:solidFill>
                          <w14:schemeClr w14:val="tx1"/>
                        </w14:solidFill>
                      </w14:textFill>
                    </w:rPr>
                    <w:t>(</w:t>
                  </w:r>
                  <w:r>
                    <w:rPr>
                      <w:b/>
                      <w:color w:val="000000" w:themeColor="text1"/>
                      <w:lang w:bidi="ar"/>
                      <w14:textFill>
                        <w14:solidFill>
                          <w14:schemeClr w14:val="tx1"/>
                        </w14:solidFill>
                      </w14:textFill>
                    </w:rPr>
                    <w:t>μg</w:t>
                  </w:r>
                  <w:r>
                    <w:rPr>
                      <w:b/>
                      <w:color w:val="000000" w:themeColor="text1"/>
                      <w14:textFill>
                        <w14:solidFill>
                          <w14:schemeClr w14:val="tx1"/>
                        </w14:solidFill>
                      </w14:textFill>
                    </w:rPr>
                    <w:t>/m</w:t>
                  </w:r>
                  <w:r>
                    <w:rPr>
                      <w:b/>
                      <w:color w:val="000000" w:themeColor="text1"/>
                      <w:vertAlign w:val="superscript"/>
                      <w14:textFill>
                        <w14:solidFill>
                          <w14:schemeClr w14:val="tx1"/>
                        </w14:solidFill>
                      </w14:textFill>
                    </w:rPr>
                    <w:t>3</w:t>
                  </w:r>
                  <w:r>
                    <w:rPr>
                      <w:b/>
                      <w:color w:val="000000" w:themeColor="text1"/>
                      <w14:textFill>
                        <w14:solidFill>
                          <w14:schemeClr w14:val="tx1"/>
                        </w14:solidFill>
                      </w14:textFill>
                    </w:rPr>
                    <w:t>)</w:t>
                  </w:r>
                </w:p>
              </w:tc>
              <w:tc>
                <w:tcPr>
                  <w:tcW w:w="1464"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P</w:t>
                  </w:r>
                  <w:r>
                    <w:rPr>
                      <w:b/>
                      <w:color w:val="000000" w:themeColor="text1"/>
                      <w:vertAlign w:val="subscript"/>
                      <w14:textFill>
                        <w14:solidFill>
                          <w14:schemeClr w14:val="tx1"/>
                        </w14:solidFill>
                      </w14:textFill>
                    </w:rPr>
                    <w:t>max</w:t>
                  </w:r>
                </w:p>
                <w:p>
                  <w:pPr>
                    <w:jc w:val="center"/>
                    <w:rPr>
                      <w:b/>
                      <w:color w:val="000000" w:themeColor="text1"/>
                      <w14:textFill>
                        <w14:solidFill>
                          <w14:schemeClr w14:val="tx1"/>
                        </w14:solidFill>
                      </w14:textFill>
                    </w:rPr>
                  </w:pPr>
                  <w:r>
                    <w:rPr>
                      <w:b/>
                      <w:color w:val="000000" w:themeColor="text1"/>
                      <w14:textFill>
                        <w14:solidFill>
                          <w14:schemeClr w14:val="tx1"/>
                        </w14:solidFill>
                      </w14:textFill>
                    </w:rPr>
                    <w:t>(%)</w:t>
                  </w:r>
                </w:p>
              </w:tc>
              <w:tc>
                <w:tcPr>
                  <w:tcW w:w="1463" w:type="dxa"/>
                  <w:tcBorders>
                    <w:tl2br w:val="nil"/>
                    <w:tr2bl w:val="nil"/>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D</w:t>
                  </w:r>
                  <w:r>
                    <w:rPr>
                      <w:b/>
                      <w:color w:val="000000" w:themeColor="text1"/>
                      <w:vertAlign w:val="subscript"/>
                      <w14:textFill>
                        <w14:solidFill>
                          <w14:schemeClr w14:val="tx1"/>
                        </w14:solidFill>
                      </w14:textFill>
                    </w:rPr>
                    <w:t>10%</w:t>
                  </w:r>
                </w:p>
                <w:p>
                  <w:pPr>
                    <w:jc w:val="center"/>
                    <w:rPr>
                      <w:b/>
                      <w:color w:val="000000" w:themeColor="text1"/>
                      <w14:textFill>
                        <w14:solidFill>
                          <w14:schemeClr w14:val="tx1"/>
                        </w14:solidFill>
                      </w14:textFill>
                    </w:rPr>
                  </w:pPr>
                  <w:r>
                    <w:rPr>
                      <w:b/>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矩形面源1</w:t>
                  </w:r>
                </w:p>
              </w:tc>
              <w:tc>
                <w:tcPr>
                  <w:tcW w:w="1464" w:type="dxa"/>
                  <w:tcBorders>
                    <w:tl2br w:val="nil"/>
                    <w:tr2bl w:val="nil"/>
                  </w:tcBorders>
                  <w:vAlign w:val="center"/>
                </w:tcPr>
                <w:p>
                  <w:pPr>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TSP</w:t>
                  </w:r>
                </w:p>
              </w:tc>
              <w:tc>
                <w:tcPr>
                  <w:tcW w:w="1464" w:type="dxa"/>
                  <w:tcBorders>
                    <w:tl2br w:val="nil"/>
                    <w:tr2bl w:val="nil"/>
                  </w:tcBorders>
                  <w:vAlign w:val="center"/>
                </w:tcPr>
                <w:p>
                  <w:pPr>
                    <w:jc w:val="center"/>
                    <w:rPr>
                      <w:color w:val="000000" w:themeColor="text1"/>
                      <w14:textFill>
                        <w14:solidFill>
                          <w14:schemeClr w14:val="tx1"/>
                        </w14:solidFill>
                      </w14:textFill>
                    </w:rPr>
                  </w:pPr>
                  <w:r>
                    <w:t>900.0</w:t>
                  </w:r>
                </w:p>
              </w:tc>
              <w:tc>
                <w:tcPr>
                  <w:tcW w:w="1464" w:type="dxa"/>
                  <w:tcBorders>
                    <w:tl2br w:val="nil"/>
                    <w:tr2bl w:val="nil"/>
                  </w:tcBorders>
                  <w:vAlign w:val="center"/>
                </w:tcPr>
                <w:p>
                  <w:pPr>
                    <w:jc w:val="center"/>
                    <w:rPr>
                      <w:color w:val="000000" w:themeColor="text1"/>
                      <w14:textFill>
                        <w14:solidFill>
                          <w14:schemeClr w14:val="tx1"/>
                        </w14:solidFill>
                      </w14:textFill>
                    </w:rPr>
                  </w:pPr>
                  <w:r>
                    <w:t>26.9156</w:t>
                  </w:r>
                </w:p>
              </w:tc>
              <w:tc>
                <w:tcPr>
                  <w:tcW w:w="1464" w:type="dxa"/>
                  <w:tcBorders>
                    <w:tl2br w:val="nil"/>
                    <w:tr2bl w:val="nil"/>
                  </w:tcBorders>
                  <w:vAlign w:val="center"/>
                </w:tcPr>
                <w:p>
                  <w:pPr>
                    <w:jc w:val="center"/>
                    <w:rPr>
                      <w:color w:val="000000" w:themeColor="text1"/>
                      <w14:textFill>
                        <w14:solidFill>
                          <w14:schemeClr w14:val="tx1"/>
                        </w14:solidFill>
                      </w14:textFill>
                    </w:rPr>
                  </w:pPr>
                  <w:r>
                    <w:t>2.9906</w:t>
                  </w:r>
                </w:p>
              </w:tc>
              <w:tc>
                <w:tcPr>
                  <w:tcW w:w="1463"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矩形面源1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464" w:type="dxa"/>
                  <w:tcBorders>
                    <w:tl2br w:val="nil"/>
                    <w:tr2bl w:val="nil"/>
                  </w:tcBorders>
                  <w:vAlign w:val="center"/>
                </w:tcPr>
                <w:p>
                  <w:pPr>
                    <w:jc w:val="center"/>
                    <w:rPr>
                      <w:color w:val="000000" w:themeColor="text1"/>
                      <w14:textFill>
                        <w14:solidFill>
                          <w14:schemeClr w14:val="tx1"/>
                        </w14:solidFill>
                      </w14:textFill>
                    </w:rPr>
                  </w:pPr>
                  <w:r>
                    <w:t>2000.0</w:t>
                  </w:r>
                </w:p>
              </w:tc>
              <w:tc>
                <w:tcPr>
                  <w:tcW w:w="1464" w:type="dxa"/>
                  <w:tcBorders>
                    <w:tl2br w:val="nil"/>
                    <w:tr2bl w:val="nil"/>
                  </w:tcBorders>
                  <w:vAlign w:val="center"/>
                </w:tcPr>
                <w:p>
                  <w:pPr>
                    <w:jc w:val="center"/>
                    <w:rPr>
                      <w:color w:val="000000" w:themeColor="text1"/>
                      <w14:textFill>
                        <w14:solidFill>
                          <w14:schemeClr w14:val="tx1"/>
                        </w14:solidFill>
                      </w14:textFill>
                    </w:rPr>
                  </w:pPr>
                  <w:r>
                    <w:t>28.6410</w:t>
                  </w:r>
                </w:p>
              </w:tc>
              <w:tc>
                <w:tcPr>
                  <w:tcW w:w="1464" w:type="dxa"/>
                  <w:tcBorders>
                    <w:tl2br w:val="nil"/>
                    <w:tr2bl w:val="nil"/>
                  </w:tcBorders>
                  <w:vAlign w:val="center"/>
                </w:tcPr>
                <w:p>
                  <w:pPr>
                    <w:jc w:val="center"/>
                    <w:rPr>
                      <w:color w:val="000000" w:themeColor="text1"/>
                      <w14:textFill>
                        <w14:solidFill>
                          <w14:schemeClr w14:val="tx1"/>
                        </w14:solidFill>
                      </w14:textFill>
                    </w:rPr>
                  </w:pPr>
                  <w:r>
                    <w:t>1.4321</w:t>
                  </w:r>
                </w:p>
              </w:tc>
              <w:tc>
                <w:tcPr>
                  <w:tcW w:w="1463"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矩形面源1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0.7937</w:t>
                  </w:r>
                </w:p>
              </w:tc>
              <w:tc>
                <w:tcPr>
                  <w:tcW w:w="1464" w:type="dxa"/>
                  <w:tcBorders>
                    <w:tl2br w:val="nil"/>
                    <w:tr2bl w:val="nil"/>
                  </w:tcBorders>
                  <w:vAlign w:val="center"/>
                </w:tcPr>
                <w:p>
                  <w:pPr>
                    <w:jc w:val="center"/>
                    <w:rPr>
                      <w:color w:val="000000" w:themeColor="text1"/>
                      <w14:textFill>
                        <w14:solidFill>
                          <w14:schemeClr w14:val="tx1"/>
                        </w14:solidFill>
                      </w14:textFill>
                    </w:rPr>
                  </w:pPr>
                  <w:r>
                    <w:t>0.3968</w:t>
                  </w:r>
                </w:p>
              </w:tc>
              <w:tc>
                <w:tcPr>
                  <w:tcW w:w="1463"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矩形面源1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1.5528</w:t>
                  </w:r>
                </w:p>
              </w:tc>
              <w:tc>
                <w:tcPr>
                  <w:tcW w:w="1464" w:type="dxa"/>
                  <w:tcBorders>
                    <w:tl2br w:val="nil"/>
                    <w:tr2bl w:val="nil"/>
                  </w:tcBorders>
                  <w:vAlign w:val="center"/>
                </w:tcPr>
                <w:p>
                  <w:pPr>
                    <w:jc w:val="center"/>
                    <w:rPr>
                      <w:color w:val="000000" w:themeColor="text1"/>
                      <w14:textFill>
                        <w14:solidFill>
                          <w14:schemeClr w14:val="tx1"/>
                        </w14:solidFill>
                      </w14:textFill>
                    </w:rPr>
                  </w:pPr>
                  <w:r>
                    <w:t>0.7764</w:t>
                  </w:r>
                </w:p>
              </w:tc>
              <w:tc>
                <w:tcPr>
                  <w:tcW w:w="1463"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点源2（P2）</w:t>
                  </w:r>
                </w:p>
              </w:tc>
              <w:tc>
                <w:tcPr>
                  <w:tcW w:w="1464" w:type="dxa"/>
                  <w:tcBorders>
                    <w:tl2br w:val="nil"/>
                    <w:tr2bl w:val="nil"/>
                  </w:tcBorders>
                  <w:vAlign w:val="center"/>
                </w:tcPr>
                <w:p>
                  <w:pPr>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TSP</w:t>
                  </w:r>
                </w:p>
              </w:tc>
              <w:tc>
                <w:tcPr>
                  <w:tcW w:w="1464" w:type="dxa"/>
                  <w:tcBorders>
                    <w:tl2br w:val="nil"/>
                    <w:tr2bl w:val="nil"/>
                  </w:tcBorders>
                  <w:vAlign w:val="center"/>
                </w:tcPr>
                <w:p>
                  <w:pPr>
                    <w:jc w:val="center"/>
                    <w:rPr>
                      <w:color w:val="000000" w:themeColor="text1"/>
                      <w14:textFill>
                        <w14:solidFill>
                          <w14:schemeClr w14:val="tx1"/>
                        </w14:solidFill>
                      </w14:textFill>
                    </w:rPr>
                  </w:pPr>
                  <w:r>
                    <w:t>900.0</w:t>
                  </w:r>
                </w:p>
              </w:tc>
              <w:tc>
                <w:tcPr>
                  <w:tcW w:w="1464" w:type="dxa"/>
                  <w:tcBorders>
                    <w:tl2br w:val="nil"/>
                    <w:tr2bl w:val="nil"/>
                  </w:tcBorders>
                  <w:vAlign w:val="center"/>
                </w:tcPr>
                <w:p>
                  <w:pPr>
                    <w:jc w:val="center"/>
                    <w:rPr>
                      <w:color w:val="000000" w:themeColor="text1"/>
                      <w14:textFill>
                        <w14:solidFill>
                          <w14:schemeClr w14:val="tx1"/>
                        </w14:solidFill>
                      </w14:textFill>
                    </w:rPr>
                  </w:pPr>
                  <w:r>
                    <w:t>2.6117</w:t>
                  </w:r>
                </w:p>
              </w:tc>
              <w:tc>
                <w:tcPr>
                  <w:tcW w:w="1464" w:type="dxa"/>
                  <w:tcBorders>
                    <w:tl2br w:val="nil"/>
                    <w:tr2bl w:val="nil"/>
                  </w:tcBorders>
                  <w:vAlign w:val="center"/>
                </w:tcPr>
                <w:p>
                  <w:pPr>
                    <w:jc w:val="center"/>
                    <w:rPr>
                      <w:color w:val="000000" w:themeColor="text1"/>
                      <w14:textFill>
                        <w14:solidFill>
                          <w14:schemeClr w14:val="tx1"/>
                        </w14:solidFill>
                      </w14:textFill>
                    </w:rPr>
                  </w:pPr>
                  <w:r>
                    <w:t>0.2902</w:t>
                  </w:r>
                </w:p>
              </w:tc>
              <w:tc>
                <w:tcPr>
                  <w:tcW w:w="1463" w:type="dxa"/>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点源2（P2）</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464" w:type="dxa"/>
                  <w:tcBorders>
                    <w:tl2br w:val="nil"/>
                    <w:tr2bl w:val="nil"/>
                  </w:tcBorders>
                  <w:vAlign w:val="center"/>
                </w:tcPr>
                <w:p>
                  <w:pPr>
                    <w:jc w:val="center"/>
                    <w:rPr>
                      <w:color w:val="000000" w:themeColor="text1"/>
                      <w14:textFill>
                        <w14:solidFill>
                          <w14:schemeClr w14:val="tx1"/>
                        </w14:solidFill>
                      </w14:textFill>
                    </w:rPr>
                  </w:pPr>
                  <w:r>
                    <w:t>2000.0</w:t>
                  </w:r>
                </w:p>
              </w:tc>
              <w:tc>
                <w:tcPr>
                  <w:tcW w:w="1464" w:type="dxa"/>
                  <w:tcBorders>
                    <w:tl2br w:val="nil"/>
                    <w:tr2bl w:val="nil"/>
                  </w:tcBorders>
                  <w:vAlign w:val="center"/>
                </w:tcPr>
                <w:p>
                  <w:pPr>
                    <w:jc w:val="center"/>
                    <w:rPr>
                      <w:color w:val="000000" w:themeColor="text1"/>
                      <w14:textFill>
                        <w14:solidFill>
                          <w14:schemeClr w14:val="tx1"/>
                        </w14:solidFill>
                      </w14:textFill>
                    </w:rPr>
                  </w:pPr>
                  <w:r>
                    <w:t>11.7143</w:t>
                  </w:r>
                </w:p>
              </w:tc>
              <w:tc>
                <w:tcPr>
                  <w:tcW w:w="1464" w:type="dxa"/>
                  <w:tcBorders>
                    <w:tl2br w:val="nil"/>
                    <w:tr2bl w:val="nil"/>
                  </w:tcBorders>
                  <w:vAlign w:val="center"/>
                </w:tcPr>
                <w:p>
                  <w:pPr>
                    <w:jc w:val="center"/>
                    <w:rPr>
                      <w:color w:val="000000" w:themeColor="text1"/>
                      <w14:textFill>
                        <w14:solidFill>
                          <w14:schemeClr w14:val="tx1"/>
                        </w14:solidFill>
                      </w14:textFill>
                    </w:rPr>
                  </w:pPr>
                  <w:r>
                    <w:t>0.5857</w:t>
                  </w:r>
                </w:p>
              </w:tc>
              <w:tc>
                <w:tcPr>
                  <w:tcW w:w="1463" w:type="dxa"/>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点源2（P2）</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0.3396</w:t>
                  </w:r>
                </w:p>
              </w:tc>
              <w:tc>
                <w:tcPr>
                  <w:tcW w:w="1464" w:type="dxa"/>
                  <w:tcBorders>
                    <w:tl2br w:val="nil"/>
                    <w:tr2bl w:val="nil"/>
                  </w:tcBorders>
                  <w:vAlign w:val="center"/>
                </w:tcPr>
                <w:p>
                  <w:pPr>
                    <w:jc w:val="center"/>
                    <w:rPr>
                      <w:color w:val="000000" w:themeColor="text1"/>
                      <w14:textFill>
                        <w14:solidFill>
                          <w14:schemeClr w14:val="tx1"/>
                        </w14:solidFill>
                      </w14:textFill>
                    </w:rPr>
                  </w:pPr>
                  <w:r>
                    <w:t>0.1698</w:t>
                  </w:r>
                </w:p>
              </w:tc>
              <w:tc>
                <w:tcPr>
                  <w:tcW w:w="1463" w:type="dxa"/>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点源2（P2）</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0.6670</w:t>
                  </w:r>
                </w:p>
              </w:tc>
              <w:tc>
                <w:tcPr>
                  <w:tcW w:w="1464" w:type="dxa"/>
                  <w:tcBorders>
                    <w:tl2br w:val="nil"/>
                    <w:tr2bl w:val="nil"/>
                  </w:tcBorders>
                  <w:vAlign w:val="center"/>
                </w:tcPr>
                <w:p>
                  <w:pPr>
                    <w:jc w:val="center"/>
                    <w:rPr>
                      <w:color w:val="000000" w:themeColor="text1"/>
                      <w14:textFill>
                        <w14:solidFill>
                          <w14:schemeClr w14:val="tx1"/>
                        </w14:solidFill>
                      </w14:textFill>
                    </w:rPr>
                  </w:pPr>
                  <w:r>
                    <w:t>0.3385</w:t>
                  </w:r>
                </w:p>
              </w:tc>
              <w:tc>
                <w:tcPr>
                  <w:tcW w:w="1463" w:type="dxa"/>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点源1（P1）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1464" w:type="dxa"/>
                  <w:tcBorders>
                    <w:tl2br w:val="nil"/>
                    <w:tr2bl w:val="nil"/>
                  </w:tcBorders>
                  <w:vAlign w:val="center"/>
                </w:tcPr>
                <w:p>
                  <w:pPr>
                    <w:jc w:val="center"/>
                    <w:rPr>
                      <w:color w:val="000000" w:themeColor="text1"/>
                      <w14:textFill>
                        <w14:solidFill>
                          <w14:schemeClr w14:val="tx1"/>
                        </w14:solidFill>
                      </w14:textFill>
                    </w:rPr>
                  </w:pPr>
                  <w:r>
                    <w:t>900.0</w:t>
                  </w:r>
                </w:p>
              </w:tc>
              <w:tc>
                <w:tcPr>
                  <w:tcW w:w="1464" w:type="dxa"/>
                  <w:tcBorders>
                    <w:tl2br w:val="nil"/>
                    <w:tr2bl w:val="nil"/>
                  </w:tcBorders>
                  <w:vAlign w:val="center"/>
                </w:tcPr>
                <w:p>
                  <w:pPr>
                    <w:jc w:val="center"/>
                    <w:rPr>
                      <w:color w:val="000000" w:themeColor="text1"/>
                      <w14:textFill>
                        <w14:solidFill>
                          <w14:schemeClr w14:val="tx1"/>
                        </w14:solidFill>
                      </w14:textFill>
                    </w:rPr>
                  </w:pPr>
                  <w:r>
                    <w:t>2.6117</w:t>
                  </w:r>
                </w:p>
              </w:tc>
              <w:tc>
                <w:tcPr>
                  <w:tcW w:w="1464" w:type="dxa"/>
                  <w:tcBorders>
                    <w:tl2br w:val="nil"/>
                    <w:tr2bl w:val="nil"/>
                  </w:tcBorders>
                  <w:vAlign w:val="center"/>
                </w:tcPr>
                <w:p>
                  <w:pPr>
                    <w:jc w:val="center"/>
                    <w:rPr>
                      <w:color w:val="000000" w:themeColor="text1"/>
                      <w14:textFill>
                        <w14:solidFill>
                          <w14:schemeClr w14:val="tx1"/>
                        </w14:solidFill>
                      </w14:textFill>
                    </w:rPr>
                  </w:pPr>
                  <w:r>
                    <w:t>0.2902</w:t>
                  </w:r>
                </w:p>
              </w:tc>
              <w:tc>
                <w:tcPr>
                  <w:tcW w:w="1463"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点源1（P1）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464" w:type="dxa"/>
                  <w:tcBorders>
                    <w:tl2br w:val="nil"/>
                    <w:tr2bl w:val="nil"/>
                  </w:tcBorders>
                  <w:vAlign w:val="center"/>
                </w:tcPr>
                <w:p>
                  <w:pPr>
                    <w:jc w:val="center"/>
                    <w:rPr>
                      <w:color w:val="000000" w:themeColor="text1"/>
                      <w14:textFill>
                        <w14:solidFill>
                          <w14:schemeClr w14:val="tx1"/>
                        </w14:solidFill>
                      </w14:textFill>
                    </w:rPr>
                  </w:pPr>
                  <w:r>
                    <w:t>2000.0</w:t>
                  </w:r>
                </w:p>
              </w:tc>
              <w:tc>
                <w:tcPr>
                  <w:tcW w:w="1464" w:type="dxa"/>
                  <w:tcBorders>
                    <w:tl2br w:val="nil"/>
                    <w:tr2bl w:val="nil"/>
                  </w:tcBorders>
                  <w:vAlign w:val="center"/>
                </w:tcPr>
                <w:p>
                  <w:pPr>
                    <w:jc w:val="center"/>
                    <w:rPr>
                      <w:color w:val="000000" w:themeColor="text1"/>
                      <w14:textFill>
                        <w14:solidFill>
                          <w14:schemeClr w14:val="tx1"/>
                        </w14:solidFill>
                      </w14:textFill>
                    </w:rPr>
                  </w:pPr>
                  <w:r>
                    <w:t>11.7143</w:t>
                  </w:r>
                </w:p>
              </w:tc>
              <w:tc>
                <w:tcPr>
                  <w:tcW w:w="1464" w:type="dxa"/>
                  <w:tcBorders>
                    <w:tl2br w:val="nil"/>
                    <w:tr2bl w:val="nil"/>
                  </w:tcBorders>
                  <w:vAlign w:val="center"/>
                </w:tcPr>
                <w:p>
                  <w:pPr>
                    <w:jc w:val="center"/>
                    <w:rPr>
                      <w:color w:val="000000" w:themeColor="text1"/>
                      <w14:textFill>
                        <w14:solidFill>
                          <w14:schemeClr w14:val="tx1"/>
                        </w14:solidFill>
                      </w14:textFill>
                    </w:rPr>
                  </w:pPr>
                  <w:r>
                    <w:t>0.5857</w:t>
                  </w:r>
                </w:p>
              </w:tc>
              <w:tc>
                <w:tcPr>
                  <w:tcW w:w="1463"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点源1（P1）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0.3396</w:t>
                  </w:r>
                </w:p>
              </w:tc>
              <w:tc>
                <w:tcPr>
                  <w:tcW w:w="1464" w:type="dxa"/>
                  <w:tcBorders>
                    <w:tl2br w:val="nil"/>
                    <w:tr2bl w:val="nil"/>
                  </w:tcBorders>
                  <w:vAlign w:val="center"/>
                </w:tcPr>
                <w:p>
                  <w:pPr>
                    <w:jc w:val="center"/>
                    <w:rPr>
                      <w:color w:val="000000" w:themeColor="text1"/>
                      <w14:textFill>
                        <w14:solidFill>
                          <w14:schemeClr w14:val="tx1"/>
                        </w14:solidFill>
                      </w14:textFill>
                    </w:rPr>
                  </w:pPr>
                  <w:r>
                    <w:t>0.1698</w:t>
                  </w:r>
                </w:p>
              </w:tc>
              <w:tc>
                <w:tcPr>
                  <w:tcW w:w="1463"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464" w:type="dxa"/>
                  <w:tcBorders>
                    <w:tl2br w:val="nil"/>
                    <w:tr2bl w:val="nil"/>
                  </w:tcBorders>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点源1（P1）</w:t>
                  </w:r>
                </w:p>
              </w:tc>
              <w:tc>
                <w:tcPr>
                  <w:tcW w:w="1464"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464" w:type="dxa"/>
                  <w:tcBorders>
                    <w:tl2br w:val="nil"/>
                    <w:tr2bl w:val="nil"/>
                  </w:tcBorders>
                  <w:vAlign w:val="center"/>
                </w:tcPr>
                <w:p>
                  <w:pPr>
                    <w:jc w:val="center"/>
                    <w:rPr>
                      <w:color w:val="000000" w:themeColor="text1"/>
                      <w14:textFill>
                        <w14:solidFill>
                          <w14:schemeClr w14:val="tx1"/>
                        </w14:solidFill>
                      </w14:textFill>
                    </w:rPr>
                  </w:pPr>
                  <w:r>
                    <w:t>200.0</w:t>
                  </w:r>
                </w:p>
              </w:tc>
              <w:tc>
                <w:tcPr>
                  <w:tcW w:w="1464" w:type="dxa"/>
                  <w:tcBorders>
                    <w:tl2br w:val="nil"/>
                    <w:tr2bl w:val="nil"/>
                  </w:tcBorders>
                  <w:vAlign w:val="center"/>
                </w:tcPr>
                <w:p>
                  <w:pPr>
                    <w:jc w:val="center"/>
                    <w:rPr>
                      <w:color w:val="000000" w:themeColor="text1"/>
                      <w14:textFill>
                        <w14:solidFill>
                          <w14:schemeClr w14:val="tx1"/>
                        </w14:solidFill>
                      </w14:textFill>
                    </w:rPr>
                  </w:pPr>
                  <w:r>
                    <w:t>0.6670</w:t>
                  </w:r>
                </w:p>
              </w:tc>
              <w:tc>
                <w:tcPr>
                  <w:tcW w:w="1464" w:type="dxa"/>
                  <w:tcBorders>
                    <w:tl2br w:val="nil"/>
                    <w:tr2bl w:val="nil"/>
                  </w:tcBorders>
                  <w:vAlign w:val="center"/>
                </w:tcPr>
                <w:p>
                  <w:pPr>
                    <w:jc w:val="center"/>
                    <w:rPr>
                      <w:color w:val="000000" w:themeColor="text1"/>
                      <w14:textFill>
                        <w14:solidFill>
                          <w14:schemeClr w14:val="tx1"/>
                        </w14:solidFill>
                      </w14:textFill>
                    </w:rPr>
                  </w:pPr>
                  <w:r>
                    <w:t>0.3385</w:t>
                  </w:r>
                </w:p>
              </w:tc>
              <w:tc>
                <w:tcPr>
                  <w:tcW w:w="1463" w:type="dxa"/>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bl>
          <w:p>
            <w:pPr>
              <w:adjustRightInd w:val="0"/>
              <w:snapToGrid w:val="0"/>
              <w:spacing w:line="520" w:lineRule="exact"/>
              <w:ind w:firstLine="480" w:firstLineChars="200"/>
              <w:rPr>
                <w:sz w:val="24"/>
              </w:rPr>
            </w:pPr>
            <w:r>
              <w:rPr>
                <w:sz w:val="24"/>
              </w:rPr>
              <w:t>由上表可知，本项目Pmax最大值出现为矩形面源排放的TSP，Pmax值为2.9906%，Cmax为26.9156ug/m</w:t>
            </w:r>
            <w:r>
              <w:rPr>
                <w:sz w:val="24"/>
                <w:vertAlign w:val="superscript"/>
              </w:rPr>
              <w:t>3</w:t>
            </w:r>
            <w:r>
              <w:rPr>
                <w:sz w:val="24"/>
              </w:rPr>
              <w:t>，根据《环境影响评价技术导则 大气环境》(HJ2.2-2018)分级判据，确定本项目大气环境影响评价工作等级为二级。</w:t>
            </w:r>
          </w:p>
          <w:p>
            <w:pPr>
              <w:adjustRightInd w:val="0"/>
              <w:snapToGrid w:val="0"/>
              <w:spacing w:line="520" w:lineRule="exact"/>
              <w:ind w:firstLine="480" w:firstLineChars="200"/>
              <w:rPr>
                <w:sz w:val="24"/>
              </w:rPr>
            </w:pPr>
            <w:r>
              <w:rPr>
                <w:sz w:val="24"/>
              </w:rPr>
              <w:t>二级评价项目不进行进一步预测与评价，只对污染物排放量进行核算。根据</w:t>
            </w:r>
            <w:r>
              <w:rPr>
                <w:sz w:val="24"/>
                <w:szCs w:val="32"/>
              </w:rPr>
              <w:t>《环境影响评价技术导则大气环境》(HJ2.2-2018)，本项目厂界浓度满足大气污染物厂界浓度限值，厂界外大气污染物短期贡献值浓度未超过环境质量浓度限值，</w:t>
            </w:r>
            <w:r>
              <w:rPr>
                <w:sz w:val="24"/>
              </w:rPr>
              <w:t>可不设置大气环境防护距离。</w:t>
            </w:r>
          </w:p>
          <w:p>
            <w:pPr>
              <w:adjustRightInd w:val="0"/>
              <w:snapToGrid w:val="0"/>
              <w:spacing w:line="520" w:lineRule="exact"/>
              <w:ind w:firstLine="480" w:firstLineChars="200"/>
              <w:rPr>
                <w:sz w:val="24"/>
              </w:rPr>
            </w:pPr>
            <w:r>
              <w:rPr>
                <w:sz w:val="24"/>
              </w:rPr>
              <w:t>大气污染物年排放量包括项目各有组织排放源和无组织排放源在正常排放条件下的预测排放量之和，污染物年排放量公示如下：</w:t>
            </w:r>
          </w:p>
          <w:p>
            <w:pPr>
              <w:adjustRightInd w:val="0"/>
              <w:snapToGrid w:val="0"/>
              <w:ind w:firstLine="480" w:firstLineChars="200"/>
              <w:jc w:val="left"/>
              <w:rPr>
                <w:sz w:val="24"/>
              </w:rPr>
            </w:pPr>
            <w:r>
              <w:rPr>
                <w:sz w:val="24"/>
              </w:rPr>
              <w:object>
                <v:shape id="_x0000_i1025" o:spt="75" type="#_x0000_t75" style="height:25.8pt;width:334.2pt;" o:ole="t" filled="f" o:preferrelative="t" stroked="f" coordsize="21600,21600">
                  <v:path/>
                  <v:fill on="f" focussize="0,0"/>
                  <v:stroke on="f" joinstyle="miter"/>
                  <v:imagedata r:id="rId19" o:title=""/>
                  <o:lock v:ext="edit" aspectratio="t"/>
                  <w10:wrap type="none"/>
                  <w10:anchorlock/>
                </v:shape>
                <o:OLEObject Type="Embed" ProgID="Equation.3" ShapeID="_x0000_i1025" DrawAspect="Content" ObjectID="_1468075725" r:id="rId18">
                  <o:LockedField>false</o:LockedField>
                </o:OLEObject>
              </w:object>
            </w:r>
          </w:p>
          <w:p>
            <w:pPr>
              <w:adjustRightInd w:val="0"/>
              <w:snapToGrid w:val="0"/>
              <w:spacing w:line="520" w:lineRule="exact"/>
              <w:ind w:firstLine="480" w:firstLineChars="200"/>
              <w:jc w:val="left"/>
              <w:rPr>
                <w:sz w:val="24"/>
              </w:rPr>
            </w:pPr>
            <w:r>
              <w:rPr>
                <w:sz w:val="24"/>
              </w:rPr>
              <w:t>式中：</w:t>
            </w:r>
            <w:r>
              <w:rPr>
                <w:sz w:val="24"/>
              </w:rPr>
              <w:tab/>
            </w:r>
            <w:r>
              <w:rPr>
                <w:sz w:val="24"/>
              </w:rPr>
              <w:object>
                <v:shape id="_x0000_i1026" o:spt="75" type="#_x0000_t75" style="height:18.65pt;width:32pt;" o:ole="t" filled="f" o:preferrelative="t" stroked="f" coordsize="21600,21600">
                  <v:path/>
                  <v:fill on="f" focussize="0,0"/>
                  <v:stroke on="f" joinstyle="miter"/>
                  <v:imagedata r:id="rId21" o:title=""/>
                  <o:lock v:ext="edit" aspectratio="t"/>
                  <w10:wrap type="none"/>
                  <w10:anchorlock/>
                </v:shape>
                <o:OLEObject Type="Embed" ProgID="Equation.3" ShapeID="_x0000_i1026" DrawAspect="Content" ObjectID="_1468075726" r:id="rId20">
                  <o:LockedField>false</o:LockedField>
                </o:OLEObject>
              </w:object>
            </w:r>
            <w:r>
              <w:rPr>
                <w:sz w:val="24"/>
              </w:rPr>
              <w:t>—项目年排放量，t/a；</w:t>
            </w:r>
          </w:p>
          <w:p>
            <w:pPr>
              <w:adjustRightInd w:val="0"/>
              <w:snapToGrid w:val="0"/>
              <w:spacing w:line="520" w:lineRule="exact"/>
              <w:ind w:firstLine="480" w:firstLineChars="200"/>
              <w:jc w:val="left"/>
              <w:rPr>
                <w:sz w:val="24"/>
              </w:rPr>
            </w:pPr>
            <w:r>
              <w:rPr>
                <w:sz w:val="24"/>
              </w:rPr>
              <w:tab/>
            </w:r>
            <w:r>
              <w:rPr>
                <w:sz w:val="24"/>
              </w:rPr>
              <w:tab/>
            </w:r>
            <w:r>
              <w:rPr>
                <w:sz w:val="24"/>
              </w:rPr>
              <w:object>
                <v:shape id="_x0000_i1027" o:spt="75" type="#_x0000_t75" style="height:18.65pt;width:33.8pt;" o:ole="t" filled="f" o:preferrelative="t" stroked="f" coordsize="21600,21600">
                  <v:path/>
                  <v:fill on="f" focussize="0,0"/>
                  <v:stroke on="f" joinstyle="miter"/>
                  <v:imagedata r:id="rId23" o:title=""/>
                  <o:lock v:ext="edit" aspectratio="t"/>
                  <w10:wrap type="none"/>
                  <w10:anchorlock/>
                </v:shape>
                <o:OLEObject Type="Embed" ProgID="Equation.3" ShapeID="_x0000_i1027" DrawAspect="Content" ObjectID="_1468075727" r:id="rId22">
                  <o:LockedField>false</o:LockedField>
                </o:OLEObject>
              </w:object>
            </w:r>
            <w:r>
              <w:rPr>
                <w:sz w:val="24"/>
              </w:rPr>
              <w:t>—第i个有组织排放源排放速率，kg/h；</w:t>
            </w:r>
          </w:p>
          <w:p>
            <w:pPr>
              <w:adjustRightInd w:val="0"/>
              <w:snapToGrid w:val="0"/>
              <w:spacing w:line="520" w:lineRule="exact"/>
              <w:ind w:firstLine="480" w:firstLineChars="200"/>
              <w:jc w:val="left"/>
              <w:rPr>
                <w:sz w:val="24"/>
              </w:rPr>
            </w:pPr>
            <w:r>
              <w:rPr>
                <w:sz w:val="24"/>
              </w:rPr>
              <w:tab/>
            </w:r>
            <w:r>
              <w:rPr>
                <w:sz w:val="24"/>
              </w:rPr>
              <w:tab/>
            </w:r>
            <w:r>
              <w:rPr>
                <w:sz w:val="24"/>
              </w:rPr>
              <w:object>
                <v:shape id="_x0000_i1028" o:spt="75" type="#_x0000_t75" style="height:18.65pt;width:33.8pt;" o:ole="t" filled="f" o:preferrelative="t" stroked="f" coordsize="21600,21600">
                  <v:path/>
                  <v:fill on="f" focussize="0,0"/>
                  <v:stroke on="f" joinstyle="miter"/>
                  <v:imagedata r:id="rId25" o:title=""/>
                  <o:lock v:ext="edit" aspectratio="t"/>
                  <w10:wrap type="none"/>
                  <w10:anchorlock/>
                </v:shape>
                <o:OLEObject Type="Embed" ProgID="Equation.3" ShapeID="_x0000_i1028" DrawAspect="Content" ObjectID="_1468075728" r:id="rId24">
                  <o:LockedField>false</o:LockedField>
                </o:OLEObject>
              </w:object>
            </w:r>
            <w:r>
              <w:rPr>
                <w:sz w:val="24"/>
              </w:rPr>
              <w:t>—第i个有组织排放源年有效排放小时数，h/a；</w:t>
            </w:r>
          </w:p>
          <w:p>
            <w:pPr>
              <w:adjustRightInd w:val="0"/>
              <w:snapToGrid w:val="0"/>
              <w:spacing w:line="520" w:lineRule="exact"/>
              <w:ind w:firstLine="480" w:firstLineChars="200"/>
              <w:jc w:val="left"/>
              <w:rPr>
                <w:sz w:val="24"/>
              </w:rPr>
            </w:pPr>
            <w:r>
              <w:rPr>
                <w:sz w:val="24"/>
              </w:rPr>
              <w:tab/>
            </w:r>
            <w:r>
              <w:rPr>
                <w:sz w:val="24"/>
              </w:rPr>
              <w:tab/>
            </w:r>
            <w:r>
              <w:rPr>
                <w:sz w:val="24"/>
              </w:rPr>
              <w:object>
                <v:shape id="_x0000_i1029" o:spt="75" type="#_x0000_t75" style="height:18.65pt;width:40pt;" o:ole="t" filled="f" o:preferrelative="t" stroked="f" coordsize="21600,21600">
                  <v:path/>
                  <v:fill on="f" focussize="0,0"/>
                  <v:stroke on="f" joinstyle="miter"/>
                  <v:imagedata r:id="rId27" o:title=""/>
                  <o:lock v:ext="edit" aspectratio="t"/>
                  <w10:wrap type="none"/>
                  <w10:anchorlock/>
                </v:shape>
                <o:OLEObject Type="Embed" ProgID="Equation.3" ShapeID="_x0000_i1029" DrawAspect="Content" ObjectID="_1468075729" r:id="rId26">
                  <o:LockedField>false</o:LockedField>
                </o:OLEObject>
              </w:object>
            </w:r>
            <w:r>
              <w:rPr>
                <w:sz w:val="24"/>
              </w:rPr>
              <w:t>—第j个无组织排放源排放速率，kg/h；</w:t>
            </w:r>
          </w:p>
          <w:p>
            <w:pPr>
              <w:adjustRightInd w:val="0"/>
              <w:snapToGrid w:val="0"/>
              <w:spacing w:line="520" w:lineRule="exact"/>
              <w:ind w:firstLine="480" w:firstLineChars="200"/>
              <w:jc w:val="left"/>
              <w:rPr>
                <w:sz w:val="24"/>
              </w:rPr>
            </w:pPr>
            <w:r>
              <w:rPr>
                <w:sz w:val="24"/>
              </w:rPr>
              <w:tab/>
            </w:r>
            <w:r>
              <w:rPr>
                <w:sz w:val="24"/>
              </w:rPr>
              <w:tab/>
            </w:r>
            <w:r>
              <w:rPr>
                <w:sz w:val="24"/>
              </w:rPr>
              <w:object>
                <v:shape id="_x0000_i1030" o:spt="75" type="#_x0000_t75" style="height:18.65pt;width:33.8pt;" o:ole="t" filled="f" o:preferrelative="t" stroked="f" coordsize="21600,21600">
                  <v:path/>
                  <v:fill on="f" focussize="0,0"/>
                  <v:stroke on="f" joinstyle="miter"/>
                  <v:imagedata r:id="rId29" o:title=""/>
                  <o:lock v:ext="edit" aspectratio="t"/>
                  <w10:wrap type="none"/>
                  <w10:anchorlock/>
                </v:shape>
                <o:OLEObject Type="Embed" ProgID="Equation.3" ShapeID="_x0000_i1030" DrawAspect="Content" ObjectID="_1468075730" r:id="rId28">
                  <o:LockedField>false</o:LockedField>
                </o:OLEObject>
              </w:object>
            </w:r>
            <w:r>
              <w:rPr>
                <w:sz w:val="24"/>
              </w:rPr>
              <w:t>—第j个无组织排放源年有效排放小时数，h/a；</w:t>
            </w:r>
          </w:p>
          <w:p>
            <w:pPr>
              <w:adjustRightInd w:val="0"/>
              <w:snapToGrid w:val="0"/>
              <w:spacing w:line="520" w:lineRule="exact"/>
              <w:ind w:firstLine="480" w:firstLineChars="200"/>
              <w:jc w:val="left"/>
              <w:rPr>
                <w:kern w:val="0"/>
                <w:sz w:val="24"/>
              </w:rPr>
            </w:pPr>
            <w:r>
              <w:rPr>
                <w:sz w:val="24"/>
              </w:rPr>
              <w:t>大气污染物无组织</w:t>
            </w:r>
            <w:r>
              <w:rPr>
                <w:kern w:val="0"/>
                <w:sz w:val="24"/>
              </w:rPr>
              <w:t>排放量核算表见表30。</w:t>
            </w:r>
          </w:p>
          <w:p>
            <w:pPr>
              <w:jc w:val="center"/>
              <w:rPr>
                <w:rFonts w:eastAsia="黑体"/>
                <w:color w:val="000000" w:themeColor="text1"/>
                <w:kern w:val="0"/>
                <w:sz w:val="24"/>
                <w14:textFill>
                  <w14:solidFill>
                    <w14:schemeClr w14:val="tx1"/>
                  </w14:solidFill>
                </w14:textFill>
              </w:rPr>
            </w:pPr>
            <w:r>
              <w:rPr>
                <w:rFonts w:eastAsia="黑体"/>
                <w:color w:val="000000" w:themeColor="text1"/>
                <w:kern w:val="0"/>
                <w:sz w:val="24"/>
                <w14:textFill>
                  <w14:solidFill>
                    <w14:schemeClr w14:val="tx1"/>
                  </w14:solidFill>
                </w14:textFill>
              </w:rPr>
              <w:t>表30  大气污染物有组织排放量核算表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311"/>
              <w:gridCol w:w="1628"/>
              <w:gridCol w:w="1825"/>
              <w:gridCol w:w="1825"/>
              <w:gridCol w:w="219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blHeader/>
                <w:jc w:val="center"/>
              </w:trPr>
              <w:tc>
                <w:tcPr>
                  <w:tcW w:w="1311" w:type="dxa"/>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排放口</w:t>
                  </w:r>
                </w:p>
              </w:tc>
              <w:tc>
                <w:tcPr>
                  <w:tcW w:w="1628" w:type="dxa"/>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825" w:type="dxa"/>
                  <w:shd w:val="pct10" w:color="auto" w:fill="auto"/>
                  <w:vAlign w:val="center"/>
                </w:tcPr>
                <w:p>
                  <w:pPr>
                    <w:adjustRightInd w:val="0"/>
                    <w:snapToGrid w:val="0"/>
                    <w:jc w:val="center"/>
                    <w:rPr>
                      <w:b/>
                      <w:color w:val="000000" w:themeColor="text1"/>
                      <w:vertAlign w:val="superscript"/>
                      <w14:textFill>
                        <w14:solidFill>
                          <w14:schemeClr w14:val="tx1"/>
                        </w14:solidFill>
                      </w14:textFill>
                    </w:rPr>
                  </w:pPr>
                  <w:r>
                    <w:rPr>
                      <w:b/>
                      <w:color w:val="000000" w:themeColor="text1"/>
                      <w14:textFill>
                        <w14:solidFill>
                          <w14:schemeClr w14:val="tx1"/>
                        </w14:solidFill>
                      </w14:textFill>
                    </w:rPr>
                    <w:t>核算排放浓度mg/m</w:t>
                  </w:r>
                  <w:r>
                    <w:rPr>
                      <w:b/>
                      <w:color w:val="000000" w:themeColor="text1"/>
                      <w:vertAlign w:val="superscript"/>
                      <w14:textFill>
                        <w14:solidFill>
                          <w14:schemeClr w14:val="tx1"/>
                        </w14:solidFill>
                      </w14:textFill>
                    </w:rPr>
                    <w:t>3</w:t>
                  </w:r>
                </w:p>
              </w:tc>
              <w:tc>
                <w:tcPr>
                  <w:tcW w:w="1825" w:type="dxa"/>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核算排放速率kg/h</w:t>
                  </w:r>
                </w:p>
              </w:tc>
              <w:tc>
                <w:tcPr>
                  <w:tcW w:w="2194" w:type="dxa"/>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核算年排放量（</w:t>
                  </w:r>
                  <w:r>
                    <w:rPr>
                      <w:color w:val="000000" w:themeColor="text1"/>
                      <w14:textFill>
                        <w14:solidFill>
                          <w14:schemeClr w14:val="tx1"/>
                        </w14:solidFill>
                      </w14:textFill>
                    </w:rPr>
                    <w:t>t/a</w:t>
                  </w:r>
                  <w:r>
                    <w:rPr>
                      <w:b/>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P1</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2.65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0.2415</w:t>
                  </w:r>
                </w:p>
              </w:tc>
              <w:tc>
                <w:tcPr>
                  <w:tcW w:w="2194" w:type="dxa"/>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0.0764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P1</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4.515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1.0832</w:t>
                  </w:r>
                </w:p>
              </w:tc>
              <w:tc>
                <w:tcPr>
                  <w:tcW w:w="2194" w:type="dxa"/>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0.32495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P1</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0.1335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0.0314</w:t>
                  </w:r>
                </w:p>
              </w:tc>
              <w:tc>
                <w:tcPr>
                  <w:tcW w:w="2194" w:type="dxa"/>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0.0096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P1</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0.265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0.0626</w:t>
                  </w:r>
                </w:p>
              </w:tc>
              <w:tc>
                <w:tcPr>
                  <w:tcW w:w="2194"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0.019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P2</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2.65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0.2415</w:t>
                  </w:r>
                </w:p>
              </w:tc>
              <w:tc>
                <w:tcPr>
                  <w:tcW w:w="2194"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0.0764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P2</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4.515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1.0832</w:t>
                  </w:r>
                </w:p>
              </w:tc>
              <w:tc>
                <w:tcPr>
                  <w:tcW w:w="2194"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0.32495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P2</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0.1335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0.0314</w:t>
                  </w:r>
                </w:p>
              </w:tc>
              <w:tc>
                <w:tcPr>
                  <w:tcW w:w="2194"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0.0096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P2</w:t>
                  </w:r>
                </w:p>
              </w:tc>
              <w:tc>
                <w:tcPr>
                  <w:tcW w:w="1628" w:type="dxa"/>
                  <w:vAlign w:val="bottom"/>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0.265</w:t>
                  </w:r>
                </w:p>
              </w:tc>
              <w:tc>
                <w:tcPr>
                  <w:tcW w:w="1825"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0.0626</w:t>
                  </w:r>
                </w:p>
              </w:tc>
              <w:tc>
                <w:tcPr>
                  <w:tcW w:w="2194"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0.019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8783" w:type="dxa"/>
                  <w:gridSpan w:val="5"/>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有组织排放总计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vMerge w:val="restart"/>
                  <w:vAlign w:val="center"/>
                </w:tcPr>
                <w:p>
                  <w:pPr>
                    <w:widowControl/>
                    <w:jc w:val="left"/>
                    <w:rPr>
                      <w:color w:val="000000" w:themeColor="text1"/>
                      <w14:textFill>
                        <w14:solidFill>
                          <w14:schemeClr w14:val="tx1"/>
                        </w14:solidFill>
                      </w14:textFill>
                    </w:rPr>
                  </w:pPr>
                  <w:r>
                    <w:rPr>
                      <w:color w:val="000000" w:themeColor="text1"/>
                      <w14:textFill>
                        <w14:solidFill>
                          <w14:schemeClr w14:val="tx1"/>
                        </w14:solidFill>
                      </w14:textFill>
                    </w:rPr>
                    <w:t>有组织排放总计</w:t>
                  </w:r>
                </w:p>
              </w:tc>
              <w:tc>
                <w:tcPr>
                  <w:tcW w:w="5278" w:type="dxa"/>
                  <w:gridSpan w:val="3"/>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VOCs</w:t>
                  </w:r>
                </w:p>
              </w:tc>
              <w:tc>
                <w:tcPr>
                  <w:tcW w:w="2194" w:type="dxa"/>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0.7071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60" w:hRule="atLeast"/>
                <w:jc w:val="center"/>
              </w:trPr>
              <w:tc>
                <w:tcPr>
                  <w:tcW w:w="1311" w:type="dxa"/>
                  <w:vMerge w:val="continue"/>
                  <w:vAlign w:val="center"/>
                </w:tcPr>
                <w:p>
                  <w:pPr>
                    <w:widowControl/>
                    <w:jc w:val="left"/>
                    <w:rPr>
                      <w:color w:val="000000" w:themeColor="text1"/>
                      <w14:textFill>
                        <w14:solidFill>
                          <w14:schemeClr w14:val="tx1"/>
                        </w14:solidFill>
                      </w14:textFill>
                    </w:rPr>
                  </w:pPr>
                </w:p>
              </w:tc>
              <w:tc>
                <w:tcPr>
                  <w:tcW w:w="5278" w:type="dxa"/>
                  <w:gridSpan w:val="3"/>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2194" w:type="dxa"/>
                  <w:vAlign w:val="bottom"/>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0.1528</w:t>
                  </w:r>
                </w:p>
              </w:tc>
            </w:tr>
          </w:tbl>
          <w:p>
            <w:pPr>
              <w:jc w:val="center"/>
              <w:rPr>
                <w:rFonts w:eastAsia="黑体"/>
                <w:color w:val="000000" w:themeColor="text1"/>
                <w:kern w:val="0"/>
                <w:sz w:val="24"/>
                <w14:textFill>
                  <w14:solidFill>
                    <w14:schemeClr w14:val="tx1"/>
                  </w14:solidFill>
                </w14:textFill>
              </w:rPr>
            </w:pPr>
            <w:r>
              <w:rPr>
                <w:rFonts w:eastAsia="黑体"/>
                <w:color w:val="000000" w:themeColor="text1"/>
                <w:kern w:val="0"/>
                <w:sz w:val="24"/>
                <w14:textFill>
                  <w14:solidFill>
                    <w14:schemeClr w14:val="tx1"/>
                  </w14:solidFill>
                </w14:textFill>
              </w:rPr>
              <w:t>表31  大气污染物无组织排放量核算表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64"/>
              <w:gridCol w:w="912"/>
              <w:gridCol w:w="1335"/>
              <w:gridCol w:w="2335"/>
              <w:gridCol w:w="1398"/>
              <w:gridCol w:w="163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54" w:hRule="atLeast"/>
                <w:tblHeader/>
                <w:jc w:val="center"/>
              </w:trPr>
              <w:tc>
                <w:tcPr>
                  <w:tcW w:w="1164" w:type="dxa"/>
                  <w:vMerge w:val="restart"/>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产污环节</w:t>
                  </w:r>
                </w:p>
              </w:tc>
              <w:tc>
                <w:tcPr>
                  <w:tcW w:w="912" w:type="dxa"/>
                  <w:vMerge w:val="restart"/>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335" w:type="dxa"/>
                  <w:vMerge w:val="restart"/>
                  <w:shd w:val="pct10" w:color="auto" w:fill="auto"/>
                  <w:vAlign w:val="center"/>
                </w:tcPr>
                <w:p>
                  <w:pPr>
                    <w:adjustRightInd w:val="0"/>
                    <w:snapToGrid w:val="0"/>
                    <w:jc w:val="center"/>
                    <w:rPr>
                      <w:b/>
                      <w:color w:val="000000" w:themeColor="text1"/>
                      <w:vertAlign w:val="superscript"/>
                      <w14:textFill>
                        <w14:solidFill>
                          <w14:schemeClr w14:val="tx1"/>
                        </w14:solidFill>
                      </w14:textFill>
                    </w:rPr>
                  </w:pPr>
                  <w:r>
                    <w:rPr>
                      <w:b/>
                      <w:color w:val="000000" w:themeColor="text1"/>
                      <w14:textFill>
                        <w14:solidFill>
                          <w14:schemeClr w14:val="tx1"/>
                        </w14:solidFill>
                      </w14:textFill>
                    </w:rPr>
                    <w:t>防治措施</w:t>
                  </w:r>
                </w:p>
              </w:tc>
              <w:tc>
                <w:tcPr>
                  <w:tcW w:w="3733" w:type="dxa"/>
                  <w:gridSpan w:val="2"/>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国家或地方排放标准</w:t>
                  </w:r>
                </w:p>
              </w:tc>
              <w:tc>
                <w:tcPr>
                  <w:tcW w:w="1639" w:type="dxa"/>
                  <w:vMerge w:val="restart"/>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核算年排放量（</w:t>
                  </w:r>
                  <w:r>
                    <w:rPr>
                      <w:color w:val="000000" w:themeColor="text1"/>
                      <w14:textFill>
                        <w14:solidFill>
                          <w14:schemeClr w14:val="tx1"/>
                        </w14:solidFill>
                      </w14:textFill>
                    </w:rPr>
                    <w:t>t/a</w:t>
                  </w:r>
                  <w:r>
                    <w:rPr>
                      <w:b/>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80" w:hRule="atLeast"/>
                <w:tblHeader/>
                <w:jc w:val="center"/>
              </w:trPr>
              <w:tc>
                <w:tcPr>
                  <w:tcW w:w="1164" w:type="dxa"/>
                  <w:vMerge w:val="continue"/>
                  <w:shd w:val="pct10" w:color="auto" w:fill="auto"/>
                  <w:vAlign w:val="center"/>
                </w:tcPr>
                <w:p>
                  <w:pPr>
                    <w:adjustRightInd w:val="0"/>
                    <w:snapToGrid w:val="0"/>
                    <w:jc w:val="center"/>
                    <w:rPr>
                      <w:b/>
                      <w:color w:val="000000" w:themeColor="text1"/>
                      <w14:textFill>
                        <w14:solidFill>
                          <w14:schemeClr w14:val="tx1"/>
                        </w14:solidFill>
                      </w14:textFill>
                    </w:rPr>
                  </w:pPr>
                </w:p>
              </w:tc>
              <w:tc>
                <w:tcPr>
                  <w:tcW w:w="912" w:type="dxa"/>
                  <w:vMerge w:val="continue"/>
                  <w:shd w:val="pct10" w:color="auto" w:fill="auto"/>
                  <w:vAlign w:val="center"/>
                </w:tcPr>
                <w:p>
                  <w:pPr>
                    <w:adjustRightInd w:val="0"/>
                    <w:snapToGrid w:val="0"/>
                    <w:jc w:val="center"/>
                    <w:rPr>
                      <w:b/>
                      <w:color w:val="000000" w:themeColor="text1"/>
                      <w14:textFill>
                        <w14:solidFill>
                          <w14:schemeClr w14:val="tx1"/>
                        </w14:solidFill>
                      </w14:textFill>
                    </w:rPr>
                  </w:pPr>
                </w:p>
              </w:tc>
              <w:tc>
                <w:tcPr>
                  <w:tcW w:w="1335" w:type="dxa"/>
                  <w:vMerge w:val="continue"/>
                  <w:shd w:val="pct10" w:color="auto" w:fill="auto"/>
                  <w:vAlign w:val="center"/>
                </w:tcPr>
                <w:p>
                  <w:pPr>
                    <w:adjustRightInd w:val="0"/>
                    <w:snapToGrid w:val="0"/>
                    <w:jc w:val="center"/>
                    <w:rPr>
                      <w:b/>
                      <w:color w:val="000000" w:themeColor="text1"/>
                      <w14:textFill>
                        <w14:solidFill>
                          <w14:schemeClr w14:val="tx1"/>
                        </w14:solidFill>
                      </w14:textFill>
                    </w:rPr>
                  </w:pPr>
                </w:p>
              </w:tc>
              <w:tc>
                <w:tcPr>
                  <w:tcW w:w="2335" w:type="dxa"/>
                  <w:shd w:val="pct10" w:color="auto" w:fill="auto"/>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标准名称</w:t>
                  </w:r>
                </w:p>
              </w:tc>
              <w:tc>
                <w:tcPr>
                  <w:tcW w:w="1398" w:type="dxa"/>
                  <w:shd w:val="pct10" w:color="auto" w:fill="auto"/>
                  <w:vAlign w:val="center"/>
                </w:tcPr>
                <w:p>
                  <w:pPr>
                    <w:widowControl/>
                    <w:wordWrap w:val="0"/>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浓度限值</w:t>
                  </w:r>
                </w:p>
                <w:p>
                  <w:pPr>
                    <w:adjustRightInd w:val="0"/>
                    <w:snapToGrid w:val="0"/>
                    <w:jc w:val="center"/>
                    <w:rPr>
                      <w:b/>
                      <w:color w:val="000000" w:themeColor="text1"/>
                      <w14:textFill>
                        <w14:solidFill>
                          <w14:schemeClr w14:val="tx1"/>
                        </w14:solidFill>
                      </w14:textFill>
                    </w:rPr>
                  </w:pPr>
                  <w:r>
                    <w:rPr>
                      <w:b/>
                      <w:color w:val="000000" w:themeColor="text1"/>
                      <w:kern w:val="0"/>
                      <w14:textFill>
                        <w14:solidFill>
                          <w14:schemeClr w14:val="tx1"/>
                        </w14:solidFill>
                      </w14:textFill>
                    </w:rPr>
                    <w:t>mg/m</w:t>
                  </w:r>
                  <w:r>
                    <w:rPr>
                      <w:b/>
                      <w:color w:val="000000" w:themeColor="text1"/>
                      <w:kern w:val="0"/>
                      <w:vertAlign w:val="superscript"/>
                      <w14:textFill>
                        <w14:solidFill>
                          <w14:schemeClr w14:val="tx1"/>
                        </w14:solidFill>
                      </w14:textFill>
                    </w:rPr>
                    <w:t>3</w:t>
                  </w:r>
                </w:p>
              </w:tc>
              <w:tc>
                <w:tcPr>
                  <w:tcW w:w="1639" w:type="dxa"/>
                  <w:vMerge w:val="continue"/>
                  <w:shd w:val="pct10" w:color="auto" w:fill="auto"/>
                  <w:vAlign w:val="center"/>
                </w:tcPr>
                <w:p>
                  <w:pPr>
                    <w:adjustRightInd w:val="0"/>
                    <w:snapToGrid w:val="0"/>
                    <w:jc w:val="center"/>
                    <w:rPr>
                      <w:b/>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164" w:type="dxa"/>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打磨工序</w:t>
                  </w:r>
                </w:p>
              </w:tc>
              <w:tc>
                <w:tcPr>
                  <w:tcW w:w="9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1335" w:type="dxa"/>
                  <w:tcBorders>
                    <w:top w:val="single" w:color="auto" w:sz="4" w:space="0"/>
                  </w:tcBorders>
                  <w:vAlign w:val="center"/>
                </w:tcPr>
                <w:p>
                  <w:pPr>
                    <w:widowControl/>
                    <w:jc w:val="center"/>
                    <w:textAlignment w:val="bottom"/>
                    <w:rPr>
                      <w:color w:val="000000" w:themeColor="text1"/>
                      <w14:textFill>
                        <w14:solidFill>
                          <w14:schemeClr w14:val="tx1"/>
                        </w14:solidFill>
                      </w14:textFill>
                    </w:rPr>
                  </w:pPr>
                  <w:r>
                    <w:rPr>
                      <w:rFonts w:hint="eastAsia"/>
                      <w:color w:val="000000" w:themeColor="text1"/>
                      <w14:textFill>
                        <w14:solidFill>
                          <w14:schemeClr w14:val="tx1"/>
                        </w14:solidFill>
                      </w14:textFill>
                    </w:rPr>
                    <w:t>排风集气箱收集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干式</w:t>
                  </w:r>
                  <w:r>
                    <w:rPr>
                      <w:color w:val="000000" w:themeColor="text1"/>
                      <w14:textFill>
                        <w14:solidFill>
                          <w14:schemeClr w14:val="tx1"/>
                        </w14:solidFill>
                      </w14:textFill>
                    </w:rPr>
                    <w:t>过滤器</w:t>
                  </w:r>
                </w:p>
              </w:tc>
              <w:tc>
                <w:tcPr>
                  <w:tcW w:w="2335" w:type="dxa"/>
                  <w:vMerge w:val="restart"/>
                  <w:tcBorders>
                    <w:top w:val="single" w:color="auto" w:sz="4" w:space="0"/>
                  </w:tcBorders>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《大气污染物综合排放标准》（GB16297-1996）</w:t>
                  </w:r>
                </w:p>
              </w:tc>
              <w:tc>
                <w:tcPr>
                  <w:tcW w:w="1398" w:type="dxa"/>
                  <w:vMerge w:val="restart"/>
                  <w:tcBorders>
                    <w:top w:val="single" w:color="auto" w:sz="4" w:space="0"/>
                  </w:tcBorders>
                  <w:vAlign w:val="center"/>
                </w:tcPr>
                <w:p>
                  <w:pPr>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639" w:type="dxa"/>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0.168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164"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喷漆工序</w:t>
                  </w:r>
                </w:p>
              </w:tc>
              <w:tc>
                <w:tcPr>
                  <w:tcW w:w="9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1335" w:type="dxa"/>
                  <w:vMerge w:val="restart"/>
                  <w:vAlign w:val="center"/>
                </w:tcPr>
                <w:p>
                  <w:pPr>
                    <w:jc w:val="center"/>
                    <w:textAlignment w:val="bottom"/>
                    <w:rPr>
                      <w:color w:val="000000" w:themeColor="text1"/>
                      <w14:textFill>
                        <w14:solidFill>
                          <w14:schemeClr w14:val="tx1"/>
                        </w14:solidFill>
                      </w14:textFill>
                    </w:rPr>
                  </w:pPr>
                  <w:r>
                    <w:rPr>
                      <w:rFonts w:hint="eastAsia"/>
                      <w:color w:val="000000" w:themeColor="text1"/>
                      <w14:textFill>
                        <w14:solidFill>
                          <w14:schemeClr w14:val="tx1"/>
                        </w14:solidFill>
                      </w14:textFill>
                    </w:rPr>
                    <w:t>排风集气箱收集</w:t>
                  </w:r>
                  <w:r>
                    <w:rPr>
                      <w:color w:val="000000" w:themeColor="text1"/>
                      <w14:textFill>
                        <w14:solidFill>
                          <w14:schemeClr w14:val="tx1"/>
                        </w14:solidFill>
                      </w14:textFill>
                    </w:rPr>
                    <w:t>+干式过滤器+活性炭吸附箱</w:t>
                  </w:r>
                </w:p>
              </w:tc>
              <w:tc>
                <w:tcPr>
                  <w:tcW w:w="2335" w:type="dxa"/>
                  <w:vMerge w:val="continue"/>
                  <w:vAlign w:val="center"/>
                </w:tcPr>
                <w:p>
                  <w:pPr>
                    <w:widowControl/>
                    <w:jc w:val="center"/>
                    <w:textAlignment w:val="bottom"/>
                    <w:rPr>
                      <w:bCs/>
                      <w:color w:val="000000" w:themeColor="text1"/>
                      <w14:textFill>
                        <w14:solidFill>
                          <w14:schemeClr w14:val="tx1"/>
                        </w14:solidFill>
                      </w14:textFill>
                    </w:rPr>
                  </w:pPr>
                </w:p>
              </w:tc>
              <w:tc>
                <w:tcPr>
                  <w:tcW w:w="1398" w:type="dxa"/>
                  <w:vMerge w:val="continue"/>
                  <w:tcBorders>
                    <w:bottom w:val="single" w:color="auto" w:sz="4" w:space="0"/>
                  </w:tcBorders>
                  <w:vAlign w:val="center"/>
                </w:tcPr>
                <w:p>
                  <w:pPr>
                    <w:widowControl/>
                    <w:jc w:val="center"/>
                    <w:textAlignment w:val="bottom"/>
                    <w:rPr>
                      <w:color w:val="000000" w:themeColor="text1"/>
                      <w14:textFill>
                        <w14:solidFill>
                          <w14:schemeClr w14:val="tx1"/>
                        </w14:solidFill>
                      </w14:textFill>
                    </w:rPr>
                  </w:pPr>
                </w:p>
              </w:tc>
              <w:tc>
                <w:tcPr>
                  <w:tcW w:w="1639" w:type="dxa"/>
                  <w:tcBorders>
                    <w:bottom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0.072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49" w:hRule="atLeast"/>
                <w:jc w:val="center"/>
              </w:trPr>
              <w:tc>
                <w:tcPr>
                  <w:tcW w:w="1164" w:type="dxa"/>
                  <w:vMerge w:val="continue"/>
                  <w:vAlign w:val="center"/>
                </w:tcPr>
                <w:p>
                  <w:pPr>
                    <w:widowControl/>
                    <w:jc w:val="center"/>
                    <w:rPr>
                      <w:color w:val="000000" w:themeColor="text1"/>
                      <w14:textFill>
                        <w14:solidFill>
                          <w14:schemeClr w14:val="tx1"/>
                        </w14:solidFill>
                      </w14:textFill>
                    </w:rPr>
                  </w:pPr>
                </w:p>
              </w:tc>
              <w:tc>
                <w:tcPr>
                  <w:tcW w:w="9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335" w:type="dxa"/>
                  <w:vMerge w:val="continue"/>
                  <w:vAlign w:val="center"/>
                </w:tcPr>
                <w:p>
                  <w:pPr>
                    <w:widowControl/>
                    <w:jc w:val="center"/>
                    <w:textAlignment w:val="bottom"/>
                    <w:rPr>
                      <w:color w:val="000000" w:themeColor="text1"/>
                      <w14:textFill>
                        <w14:solidFill>
                          <w14:schemeClr w14:val="tx1"/>
                        </w14:solidFill>
                      </w14:textFill>
                    </w:rPr>
                  </w:pPr>
                </w:p>
              </w:tc>
              <w:tc>
                <w:tcPr>
                  <w:tcW w:w="2335" w:type="dxa"/>
                  <w:vMerge w:val="restart"/>
                  <w:vAlign w:val="center"/>
                </w:tcPr>
                <w:p>
                  <w:pPr>
                    <w:widowControl/>
                    <w:jc w:val="center"/>
                    <w:textAlignment w:val="bottom"/>
                    <w:rPr>
                      <w:color w:val="000000" w:themeColor="text1"/>
                      <w14:textFill>
                        <w14:solidFill>
                          <w14:schemeClr w14:val="tx1"/>
                        </w14:solidFill>
                      </w14:textFill>
                    </w:rPr>
                  </w:pPr>
                  <w:r>
                    <w:rPr>
                      <w:bCs/>
                      <w:color w:val="000000" w:themeColor="text1"/>
                      <w14:textFill>
                        <w14:solidFill>
                          <w14:schemeClr w14:val="tx1"/>
                        </w14:solidFill>
                      </w14:textFill>
                    </w:rPr>
                    <w:t>《挥发性有机物排放控制标准》（DB61/T1061-2017）</w:t>
                  </w:r>
                </w:p>
              </w:tc>
              <w:tc>
                <w:tcPr>
                  <w:tcW w:w="1398" w:type="dxa"/>
                  <w:tcBorders>
                    <w:bottom w:val="single" w:color="auto" w:sz="4" w:space="0"/>
                  </w:tcBorders>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3</w:t>
                  </w:r>
                </w:p>
              </w:tc>
              <w:tc>
                <w:tcPr>
                  <w:tcW w:w="1639" w:type="dxa"/>
                  <w:tcBorders>
                    <w:bottom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0.228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21" w:hRule="atLeast"/>
                <w:jc w:val="center"/>
              </w:trPr>
              <w:tc>
                <w:tcPr>
                  <w:tcW w:w="1164" w:type="dxa"/>
                  <w:vMerge w:val="continue"/>
                  <w:vAlign w:val="center"/>
                </w:tcPr>
                <w:p>
                  <w:pPr>
                    <w:widowControl/>
                    <w:jc w:val="center"/>
                    <w:rPr>
                      <w:color w:val="000000" w:themeColor="text1"/>
                      <w14:textFill>
                        <w14:solidFill>
                          <w14:schemeClr w14:val="tx1"/>
                        </w14:solidFill>
                      </w14:textFill>
                    </w:rPr>
                  </w:pPr>
                </w:p>
              </w:tc>
              <w:tc>
                <w:tcPr>
                  <w:tcW w:w="9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甲苯+乙苯</w:t>
                  </w:r>
                </w:p>
              </w:tc>
              <w:tc>
                <w:tcPr>
                  <w:tcW w:w="1335" w:type="dxa"/>
                  <w:vMerge w:val="continue"/>
                  <w:vAlign w:val="center"/>
                </w:tcPr>
                <w:p>
                  <w:pPr>
                    <w:widowControl/>
                    <w:jc w:val="center"/>
                    <w:textAlignment w:val="bottom"/>
                    <w:rPr>
                      <w:color w:val="000000" w:themeColor="text1"/>
                      <w14:textFill>
                        <w14:solidFill>
                          <w14:schemeClr w14:val="tx1"/>
                        </w14:solidFill>
                      </w14:textFill>
                    </w:rPr>
                  </w:pPr>
                </w:p>
              </w:tc>
              <w:tc>
                <w:tcPr>
                  <w:tcW w:w="2335" w:type="dxa"/>
                  <w:vMerge w:val="continue"/>
                  <w:vAlign w:val="center"/>
                </w:tcPr>
                <w:p>
                  <w:pPr>
                    <w:widowControl/>
                    <w:jc w:val="center"/>
                    <w:textAlignment w:val="bottom"/>
                    <w:rPr>
                      <w:color w:val="000000" w:themeColor="text1"/>
                      <w14:textFill>
                        <w14:solidFill>
                          <w14:schemeClr w14:val="tx1"/>
                        </w14:solidFill>
                      </w14:textFill>
                    </w:rPr>
                  </w:pPr>
                </w:p>
              </w:tc>
              <w:tc>
                <w:tcPr>
                  <w:tcW w:w="1398" w:type="dxa"/>
                  <w:tcBorders>
                    <w:top w:val="single" w:color="auto" w:sz="4" w:space="0"/>
                    <w:bottom w:val="single" w:color="auto" w:sz="4" w:space="0"/>
                  </w:tcBorders>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0.3</w:t>
                  </w:r>
                </w:p>
              </w:tc>
              <w:tc>
                <w:tcPr>
                  <w:tcW w:w="1639" w:type="dxa"/>
                  <w:tcBorders>
                    <w:top w:val="single" w:color="auto" w:sz="4" w:space="0"/>
                  </w:tcBorders>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0.0066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67" w:hRule="atLeast"/>
                <w:jc w:val="center"/>
              </w:trPr>
              <w:tc>
                <w:tcPr>
                  <w:tcW w:w="1164" w:type="dxa"/>
                  <w:vMerge w:val="continue"/>
                  <w:vAlign w:val="center"/>
                </w:tcPr>
                <w:p>
                  <w:pPr>
                    <w:widowControl/>
                    <w:jc w:val="center"/>
                    <w:rPr>
                      <w:color w:val="000000" w:themeColor="text1"/>
                      <w14:textFill>
                        <w14:solidFill>
                          <w14:schemeClr w14:val="tx1"/>
                        </w14:solidFill>
                      </w14:textFill>
                    </w:rPr>
                  </w:pPr>
                </w:p>
              </w:tc>
              <w:tc>
                <w:tcPr>
                  <w:tcW w:w="9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二甲苯</w:t>
                  </w:r>
                </w:p>
              </w:tc>
              <w:tc>
                <w:tcPr>
                  <w:tcW w:w="1335" w:type="dxa"/>
                  <w:vMerge w:val="continue"/>
                  <w:vAlign w:val="center"/>
                </w:tcPr>
                <w:p>
                  <w:pPr>
                    <w:widowControl/>
                    <w:jc w:val="center"/>
                    <w:textAlignment w:val="bottom"/>
                    <w:rPr>
                      <w:color w:val="000000" w:themeColor="text1"/>
                      <w14:textFill>
                        <w14:solidFill>
                          <w14:schemeClr w14:val="tx1"/>
                        </w14:solidFill>
                      </w14:textFill>
                    </w:rPr>
                  </w:pPr>
                </w:p>
              </w:tc>
              <w:tc>
                <w:tcPr>
                  <w:tcW w:w="2335" w:type="dxa"/>
                  <w:vMerge w:val="continue"/>
                  <w:vAlign w:val="center"/>
                </w:tcPr>
                <w:p>
                  <w:pPr>
                    <w:widowControl/>
                    <w:jc w:val="center"/>
                    <w:textAlignment w:val="bottom"/>
                    <w:rPr>
                      <w:color w:val="000000" w:themeColor="text1"/>
                      <w14:textFill>
                        <w14:solidFill>
                          <w14:schemeClr w14:val="tx1"/>
                        </w14:solidFill>
                      </w14:textFill>
                    </w:rPr>
                  </w:pPr>
                </w:p>
              </w:tc>
              <w:tc>
                <w:tcPr>
                  <w:tcW w:w="1398" w:type="dxa"/>
                  <w:tcBorders>
                    <w:top w:val="single" w:color="auto" w:sz="4" w:space="0"/>
                  </w:tcBorders>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9.3</w:t>
                  </w:r>
                </w:p>
              </w:tc>
              <w:tc>
                <w:tcPr>
                  <w:tcW w:w="1639"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0.013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208" w:hRule="atLeast"/>
                <w:jc w:val="center"/>
              </w:trPr>
              <w:tc>
                <w:tcPr>
                  <w:tcW w:w="8783" w:type="dxa"/>
                  <w:gridSpan w:val="6"/>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无组织排放总计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62" w:hRule="atLeast"/>
                <w:jc w:val="center"/>
              </w:trPr>
              <w:tc>
                <w:tcPr>
                  <w:tcW w:w="2076" w:type="dxa"/>
                  <w:gridSpan w:val="2"/>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无组织排放总计</w:t>
                  </w:r>
                </w:p>
              </w:tc>
              <w:tc>
                <w:tcPr>
                  <w:tcW w:w="3670" w:type="dxa"/>
                  <w:gridSpan w:val="2"/>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3037" w:type="dxa"/>
                  <w:gridSpan w:val="2"/>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62" w:hRule="atLeast"/>
                <w:jc w:val="center"/>
              </w:trPr>
              <w:tc>
                <w:tcPr>
                  <w:tcW w:w="2076" w:type="dxa"/>
                  <w:gridSpan w:val="2"/>
                  <w:vMerge w:val="continue"/>
                  <w:vAlign w:val="center"/>
                </w:tcPr>
                <w:p>
                  <w:pPr>
                    <w:jc w:val="center"/>
                    <w:rPr>
                      <w:color w:val="000000" w:themeColor="text1"/>
                      <w14:textFill>
                        <w14:solidFill>
                          <w14:schemeClr w14:val="tx1"/>
                        </w14:solidFill>
                      </w14:textFill>
                    </w:rPr>
                  </w:pPr>
                </w:p>
              </w:tc>
              <w:tc>
                <w:tcPr>
                  <w:tcW w:w="3670" w:type="dxa"/>
                  <w:gridSpan w:val="2"/>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VOCs</w:t>
                  </w:r>
                </w:p>
              </w:tc>
              <w:tc>
                <w:tcPr>
                  <w:tcW w:w="3037" w:type="dxa"/>
                  <w:gridSpan w:val="2"/>
                  <w:vAlign w:val="center"/>
                </w:tcPr>
                <w:p>
                  <w:pPr>
                    <w:widowControl/>
                    <w:jc w:val="center"/>
                    <w:textAlignment w:val="bottom"/>
                    <w:rPr>
                      <w:color w:val="000000" w:themeColor="text1"/>
                      <w14:textFill>
                        <w14:solidFill>
                          <w14:schemeClr w14:val="tx1"/>
                        </w14:solidFill>
                      </w14:textFill>
                    </w:rPr>
                  </w:pPr>
                  <w:r>
                    <w:rPr>
                      <w:color w:val="000000" w:themeColor="text1"/>
                      <w14:textFill>
                        <w14:solidFill>
                          <w14:schemeClr w14:val="tx1"/>
                        </w14:solidFill>
                      </w14:textFill>
                    </w:rPr>
                    <w:t>0.2476</w:t>
                  </w:r>
                </w:p>
              </w:tc>
            </w:tr>
          </w:tbl>
          <w:p>
            <w:pPr>
              <w:adjustRightInd w:val="0"/>
              <w:snapToGrid w:val="0"/>
              <w:spacing w:line="520" w:lineRule="exact"/>
              <w:ind w:firstLine="480" w:firstLineChars="200"/>
              <w:rPr>
                <w:sz w:val="24"/>
                <w:szCs w:val="32"/>
              </w:rPr>
            </w:pPr>
            <w:r>
              <w:rPr>
                <w:sz w:val="24"/>
                <w:szCs w:val="32"/>
              </w:rPr>
              <w:t>综上，</w:t>
            </w:r>
            <w:r>
              <w:rPr>
                <w:sz w:val="24"/>
              </w:rPr>
              <w:t>本项目所在地区域属不达标区，经估算，本项目大气环境影响评价工作等级为二级，不进行进一步预测与评价，项目颗粒物</w:t>
            </w:r>
            <w:r>
              <w:rPr>
                <w:rFonts w:hint="eastAsia"/>
                <w:sz w:val="24"/>
              </w:rPr>
              <w:t>的</w:t>
            </w:r>
            <w:r>
              <w:rPr>
                <w:sz w:val="24"/>
              </w:rPr>
              <w:t>最大落地浓度为26.9156ug/m</w:t>
            </w:r>
            <w:r>
              <w:rPr>
                <w:sz w:val="24"/>
                <w:vertAlign w:val="superscript"/>
              </w:rPr>
              <w:t>3</w:t>
            </w:r>
            <w:r>
              <w:rPr>
                <w:sz w:val="24"/>
              </w:rPr>
              <w:t>，项目</w:t>
            </w:r>
            <w:r>
              <w:rPr>
                <w:rFonts w:hint="eastAsia"/>
                <w:sz w:val="24"/>
              </w:rPr>
              <w:t>NMHC的</w:t>
            </w:r>
            <w:r>
              <w:rPr>
                <w:sz w:val="24"/>
              </w:rPr>
              <w:t>最大落地浓度为28.6410ug/m</w:t>
            </w:r>
            <w:r>
              <w:rPr>
                <w:sz w:val="24"/>
                <w:vertAlign w:val="superscript"/>
              </w:rPr>
              <w:t>3</w:t>
            </w:r>
            <w:r>
              <w:rPr>
                <w:rFonts w:hint="eastAsia"/>
                <w:sz w:val="24"/>
              </w:rPr>
              <w:t>，</w:t>
            </w:r>
            <w:r>
              <w:rPr>
                <w:sz w:val="24"/>
              </w:rPr>
              <w:t>项目</w:t>
            </w:r>
            <w:r>
              <w:rPr>
                <w:rFonts w:hint="eastAsia"/>
                <w:sz w:val="24"/>
              </w:rPr>
              <w:t>甲苯的</w:t>
            </w:r>
            <w:r>
              <w:rPr>
                <w:sz w:val="24"/>
              </w:rPr>
              <w:t>最大落地浓度为0.7937ug/m</w:t>
            </w:r>
            <w:r>
              <w:rPr>
                <w:sz w:val="24"/>
                <w:vertAlign w:val="superscript"/>
              </w:rPr>
              <w:t>3</w:t>
            </w:r>
            <w:r>
              <w:rPr>
                <w:sz w:val="24"/>
              </w:rPr>
              <w:t>项目</w:t>
            </w:r>
            <w:r>
              <w:rPr>
                <w:rFonts w:hint="eastAsia"/>
                <w:sz w:val="24"/>
              </w:rPr>
              <w:t>二甲苯的</w:t>
            </w:r>
            <w:r>
              <w:rPr>
                <w:sz w:val="24"/>
              </w:rPr>
              <w:t>最大落地浓度为1.5528ug/m</w:t>
            </w:r>
            <w:r>
              <w:rPr>
                <w:sz w:val="24"/>
                <w:vertAlign w:val="superscript"/>
              </w:rPr>
              <w:t>3</w:t>
            </w:r>
            <w:r>
              <w:rPr>
                <w:rFonts w:hint="eastAsia"/>
                <w:sz w:val="24"/>
              </w:rPr>
              <w:t>，</w:t>
            </w:r>
            <w:r>
              <w:rPr>
                <w:sz w:val="24"/>
                <w:szCs w:val="32"/>
                <w:lang w:val="zh-CN"/>
              </w:rPr>
              <w:t>各大气污染物</w:t>
            </w:r>
            <w:r>
              <w:rPr>
                <w:rFonts w:hint="eastAsia"/>
                <w:sz w:val="24"/>
                <w:szCs w:val="32"/>
                <w:lang w:val="zh-CN"/>
              </w:rPr>
              <w:t>的</w:t>
            </w:r>
            <w:r>
              <w:rPr>
                <w:sz w:val="24"/>
                <w:szCs w:val="32"/>
                <w:lang w:val="zh-CN"/>
              </w:rPr>
              <w:t>最大浓度占标率Pmax均小于10%，</w:t>
            </w:r>
            <w:r>
              <w:rPr>
                <w:sz w:val="24"/>
              </w:rPr>
              <w:t>符合环境质量标准限值要求。因此，评价认为本项目大气污染物环境影响是可以接受的。项</w:t>
            </w:r>
            <w:r>
              <w:rPr>
                <w:sz w:val="24"/>
                <w:lang w:val="en-GB"/>
              </w:rPr>
              <w:t>目大气环境影响评价自查表见表</w:t>
            </w:r>
            <w:r>
              <w:rPr>
                <w:sz w:val="24"/>
              </w:rPr>
              <w:t>32</w:t>
            </w:r>
            <w:r>
              <w:rPr>
                <w:sz w:val="24"/>
                <w:lang w:val="en-GB"/>
              </w:rPr>
              <w:t>。</w:t>
            </w:r>
          </w:p>
          <w:p>
            <w:pPr>
              <w:adjustRightInd w:val="0"/>
              <w:snapToGrid w:val="0"/>
              <w:spacing w:before="76" w:beforeLines="20" w:after="38" w:afterLines="10"/>
              <w:jc w:val="center"/>
              <w:rPr>
                <w:rFonts w:eastAsia="黑体"/>
                <w:sz w:val="24"/>
                <w:szCs w:val="24"/>
              </w:rPr>
            </w:pPr>
            <w:r>
              <w:rPr>
                <w:rFonts w:eastAsia="黑体"/>
                <w:sz w:val="24"/>
                <w:szCs w:val="24"/>
              </w:rPr>
              <w:t>表32  建设项目大气环境影响评价自查表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5"/>
              <w:gridCol w:w="923"/>
              <w:gridCol w:w="1245"/>
              <w:gridCol w:w="395"/>
              <w:gridCol w:w="395"/>
              <w:gridCol w:w="716"/>
              <w:gridCol w:w="716"/>
              <w:gridCol w:w="414"/>
              <w:gridCol w:w="988"/>
              <w:gridCol w:w="1105"/>
              <w:gridCol w:w="88"/>
              <w:gridCol w:w="673"/>
              <w:gridCol w:w="78"/>
              <w:gridCol w:w="6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1358" w:type="dxa"/>
                  <w:gridSpan w:val="2"/>
                  <w:tcBorders>
                    <w:top w:val="single" w:color="auto" w:sz="12" w:space="0"/>
                    <w:left w:val="nil"/>
                    <w:bottom w:val="single" w:color="auto" w:sz="4" w:space="0"/>
                    <w:right w:val="single" w:color="auto" w:sz="4" w:space="0"/>
                  </w:tcBorders>
                  <w:vAlign w:val="center"/>
                </w:tcPr>
                <w:p>
                  <w:pPr>
                    <w:pStyle w:val="54"/>
                    <w:snapToGrid w:val="0"/>
                    <w:rPr>
                      <w:rFonts w:ascii="Times New Roman" w:hAnsi="Times New Roman" w:eastAsia="宋体" w:cs="Times New Roman"/>
                      <w:b/>
                      <w:bCs/>
                      <w:kern w:val="2"/>
                      <w:sz w:val="21"/>
                      <w:szCs w:val="21"/>
                    </w:rPr>
                  </w:pPr>
                  <w:r>
                    <w:rPr>
                      <w:rFonts w:ascii="Times New Roman" w:hAnsi="Times New Roman" w:eastAsia="宋体" w:cs="Times New Roman"/>
                      <w:b/>
                      <w:bCs/>
                      <w:sz w:val="21"/>
                      <w:szCs w:val="21"/>
                    </w:rPr>
                    <w:t>工作内容</w:t>
                  </w:r>
                </w:p>
              </w:tc>
              <w:tc>
                <w:tcPr>
                  <w:tcW w:w="7425" w:type="dxa"/>
                  <w:gridSpan w:val="12"/>
                  <w:tcBorders>
                    <w:top w:val="single" w:color="auto" w:sz="12" w:space="0"/>
                    <w:left w:val="single" w:color="auto" w:sz="4" w:space="0"/>
                    <w:bottom w:val="single" w:color="auto" w:sz="4" w:space="0"/>
                    <w:right w:val="nil"/>
                  </w:tcBorders>
                  <w:vAlign w:val="center"/>
                </w:tcPr>
                <w:p>
                  <w:pPr>
                    <w:pStyle w:val="54"/>
                    <w:snapToGrid w:val="0"/>
                    <w:rPr>
                      <w:rFonts w:ascii="Times New Roman" w:hAnsi="Times New Roman" w:eastAsia="宋体" w:cs="Times New Roman"/>
                      <w:b/>
                      <w:bCs/>
                      <w:kern w:val="2"/>
                      <w:sz w:val="21"/>
                      <w:szCs w:val="21"/>
                    </w:rPr>
                  </w:pPr>
                  <w:r>
                    <w:rPr>
                      <w:rFonts w:ascii="Times New Roman" w:hAnsi="Times New Roman" w:eastAsia="宋体" w:cs="Times New Roman"/>
                      <w:b/>
                      <w:bCs/>
                      <w:sz w:val="21"/>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评价等级与范围</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评价等级</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一级□</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二</w:t>
                  </w:r>
                  <w:r>
                    <w:rPr>
                      <w:rFonts w:ascii="Times New Roman" w:hAnsi="Times New Roman" w:eastAsia="宋体" w:cs="Times New Roman"/>
                      <w:sz w:val="21"/>
                      <w:szCs w:val="21"/>
                      <w:highlight w:val="none"/>
                    </w:rPr>
                    <w:t>级</w:t>
                  </w:r>
                  <w:r>
                    <w:rPr>
                      <w:rFonts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三</w:t>
                  </w:r>
                  <w:r>
                    <w:rPr>
                      <w:rFonts w:ascii="Times New Roman" w:hAnsi="Times New Roman" w:eastAsia="宋体" w:cs="Times New Roman"/>
                      <w:sz w:val="21"/>
                      <w:szCs w:val="21"/>
                      <w:highlight w:val="none"/>
                    </w:rPr>
                    <w:t>级</w:t>
                  </w:r>
                  <w:r>
                    <w:rPr>
                      <w:rFonts w:ascii="Times New Roman" w:hAnsi="Times New Roman" w:eastAsia="宋体" w:cs="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评价范围</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边长=50km□</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边长5～50k</w:t>
                  </w:r>
                  <w:r>
                    <w:rPr>
                      <w:rFonts w:ascii="Times New Roman" w:hAnsi="Times New Roman" w:eastAsia="宋体" w:cs="Times New Roman"/>
                      <w:sz w:val="21"/>
                      <w:szCs w:val="21"/>
                      <w:highlight w:val="none"/>
                    </w:rPr>
                    <w:t>m</w:t>
                  </w:r>
                  <w:r>
                    <w:rPr>
                      <w:rFonts w:ascii="Times New Roman" w:hAnsi="Times New Roman" w:eastAsia="宋体" w:cs="Times New Roman"/>
                      <w:sz w:val="21"/>
                      <w:szCs w:val="21"/>
                    </w:rPr>
                    <w:sym w:font="Wingdings 2" w:char="00A3"/>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边长=5 k</w:t>
                  </w:r>
                  <w:r>
                    <w:rPr>
                      <w:rFonts w:ascii="Times New Roman" w:hAnsi="Times New Roman" w:eastAsia="宋体" w:cs="Times New Roman"/>
                      <w:sz w:val="21"/>
                      <w:szCs w:val="21"/>
                      <w:highlight w:val="none"/>
                    </w:rPr>
                    <w:t>m</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评价</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因子</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SO</w:t>
                  </w:r>
                  <w:r>
                    <w:rPr>
                      <w:rFonts w:ascii="Times New Roman" w:hAnsi="Times New Roman" w:eastAsia="宋体" w:cs="Times New Roman"/>
                      <w:sz w:val="21"/>
                      <w:szCs w:val="21"/>
                      <w:vertAlign w:val="subscript"/>
                    </w:rPr>
                    <w:t xml:space="preserve">2 </w:t>
                  </w:r>
                  <w:r>
                    <w:rPr>
                      <w:rFonts w:ascii="Times New Roman" w:hAnsi="Times New Roman" w:eastAsia="宋体" w:cs="Times New Roman"/>
                      <w:sz w:val="21"/>
                      <w:szCs w:val="21"/>
                    </w:rPr>
                    <w:t>+NO</w:t>
                  </w:r>
                  <w:r>
                    <w:rPr>
                      <w:rFonts w:ascii="Times New Roman" w:hAnsi="Times New Roman" w:eastAsia="宋体" w:cs="Times New Roman"/>
                      <w:i/>
                      <w:sz w:val="21"/>
                      <w:szCs w:val="21"/>
                      <w:vertAlign w:val="subscript"/>
                    </w:rPr>
                    <w:t>x</w:t>
                  </w:r>
                  <w:r>
                    <w:rPr>
                      <w:rFonts w:ascii="Times New Roman" w:hAnsi="Times New Roman" w:eastAsia="宋体" w:cs="Times New Roman"/>
                      <w:sz w:val="21"/>
                      <w:szCs w:val="21"/>
                    </w:rPr>
                    <w:t>排放量</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 2000t/a□</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500 ~ 2000t/a□</w:t>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＜500 t/</w:t>
                  </w:r>
                  <w:r>
                    <w:rPr>
                      <w:rFonts w:ascii="Times New Roman" w:hAnsi="Times New Roman" w:eastAsia="宋体" w:cs="Times New Roman"/>
                      <w:sz w:val="21"/>
                      <w:szCs w:val="21"/>
                      <w:highlight w:val="none"/>
                    </w:rPr>
                    <w:t>a</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138"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评价因子</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基本污染物（SO</w:t>
                  </w:r>
                  <w:r>
                    <w:rPr>
                      <w:rFonts w:ascii="Times New Roman" w:hAnsi="Times New Roman" w:eastAsia="宋体" w:cs="Times New Roman"/>
                      <w:sz w:val="21"/>
                      <w:szCs w:val="21"/>
                      <w:vertAlign w:val="subscript"/>
                    </w:rPr>
                    <w:t>2</w:t>
                  </w:r>
                  <w:r>
                    <w:rPr>
                      <w:rFonts w:ascii="Times New Roman" w:hAnsi="Times New Roman" w:eastAsia="宋体" w:cs="Times New Roman"/>
                      <w:sz w:val="21"/>
                      <w:szCs w:val="21"/>
                    </w:rPr>
                    <w:t>、NO</w:t>
                  </w:r>
                  <w:r>
                    <w:rPr>
                      <w:rFonts w:ascii="Times New Roman" w:hAnsi="Times New Roman" w:eastAsia="宋体" w:cs="Times New Roman"/>
                      <w:sz w:val="21"/>
                      <w:szCs w:val="21"/>
                      <w:vertAlign w:val="subscript"/>
                    </w:rPr>
                    <w:t>2</w:t>
                  </w:r>
                  <w:r>
                    <w:rPr>
                      <w:rFonts w:ascii="Times New Roman" w:hAnsi="Times New Roman" w:eastAsia="宋体" w:cs="Times New Roman"/>
                      <w:sz w:val="21"/>
                      <w:szCs w:val="21"/>
                    </w:rPr>
                    <w:t>、PM</w:t>
                  </w:r>
                  <w:r>
                    <w:rPr>
                      <w:rFonts w:ascii="Times New Roman" w:hAnsi="Times New Roman" w:eastAsia="宋体" w:cs="Times New Roman"/>
                      <w:sz w:val="21"/>
                      <w:szCs w:val="21"/>
                      <w:vertAlign w:val="subscript"/>
                    </w:rPr>
                    <w:t>10</w:t>
                  </w:r>
                  <w:r>
                    <w:rPr>
                      <w:rFonts w:ascii="Times New Roman" w:hAnsi="Times New Roman" w:eastAsia="宋体" w:cs="Times New Roman"/>
                      <w:sz w:val="21"/>
                      <w:szCs w:val="21"/>
                    </w:rPr>
                    <w:t>、PM</w:t>
                  </w:r>
                  <w:r>
                    <w:rPr>
                      <w:rFonts w:ascii="Times New Roman" w:hAnsi="Times New Roman" w:eastAsia="宋体" w:cs="Times New Roman"/>
                      <w:sz w:val="21"/>
                      <w:szCs w:val="21"/>
                      <w:vertAlign w:val="subscript"/>
                    </w:rPr>
                    <w:t>2.5</w:t>
                  </w:r>
                  <w:r>
                    <w:rPr>
                      <w:rFonts w:ascii="Times New Roman" w:hAnsi="Times New Roman" w:eastAsia="宋体" w:cs="Times New Roman"/>
                      <w:sz w:val="21"/>
                      <w:szCs w:val="21"/>
                    </w:rPr>
                    <w:t>、CO和O</w:t>
                  </w:r>
                  <w:r>
                    <w:rPr>
                      <w:rFonts w:ascii="Times New Roman" w:hAnsi="Times New Roman" w:eastAsia="宋体" w:cs="Times New Roman"/>
                      <w:sz w:val="21"/>
                      <w:szCs w:val="21"/>
                      <w:vertAlign w:val="subscript"/>
                    </w:rPr>
                    <w:t>3</w:t>
                  </w:r>
                  <w:r>
                    <w:rPr>
                      <w:rFonts w:ascii="Times New Roman" w:hAnsi="Times New Roman" w:eastAsia="宋体" w:cs="Times New Roman"/>
                      <w:sz w:val="21"/>
                      <w:szCs w:val="21"/>
                    </w:rPr>
                    <w:t>）</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其他污染物（非甲烷总烃、甲苯、二甲苯、乙苯）</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包括二次PM</w:t>
                  </w:r>
                  <w:r>
                    <w:rPr>
                      <w:rFonts w:ascii="Times New Roman" w:hAnsi="Times New Roman" w:eastAsia="宋体" w:cs="Times New Roman"/>
                      <w:sz w:val="21"/>
                      <w:szCs w:val="21"/>
                      <w:vertAlign w:val="subscript"/>
                    </w:rPr>
                    <w:t>2.5</w:t>
                  </w:r>
                  <w:r>
                    <w:rPr>
                      <w:rFonts w:ascii="Times New Roman" w:hAnsi="Times New Roman" w:eastAsia="宋体" w:cs="Times New Roman"/>
                      <w:sz w:val="21"/>
                      <w:szCs w:val="21"/>
                    </w:rPr>
                    <w:t>□</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不包括二次PM</w:t>
                  </w:r>
                  <w:r>
                    <w:rPr>
                      <w:rFonts w:ascii="Times New Roman" w:hAnsi="Times New Roman" w:eastAsia="宋体" w:cs="Times New Roman"/>
                      <w:sz w:val="21"/>
                      <w:szCs w:val="21"/>
                      <w:vertAlign w:val="subscript"/>
                    </w:rPr>
                    <w:t>2.</w:t>
                  </w:r>
                  <w:r>
                    <w:rPr>
                      <w:rFonts w:ascii="Times New Roman" w:hAnsi="Times New Roman" w:eastAsia="宋体" w:cs="Times New Roman"/>
                      <w:sz w:val="21"/>
                      <w:szCs w:val="21"/>
                      <w:highlight w:val="none"/>
                      <w:vertAlign w:val="subscript"/>
                    </w:rPr>
                    <w:t>5</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评价</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标准</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评价标准</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国家标</w:t>
                  </w:r>
                  <w:r>
                    <w:rPr>
                      <w:rFonts w:ascii="Times New Roman" w:hAnsi="Times New Roman" w:eastAsia="宋体" w:cs="Times New Roman"/>
                      <w:sz w:val="21"/>
                      <w:szCs w:val="21"/>
                      <w:highlight w:val="none"/>
                    </w:rPr>
                    <w:t>准</w:t>
                  </w:r>
                  <w:r>
                    <w:rPr>
                      <w:rFonts w:ascii="Times New Roman" w:hAnsi="Times New Roman" w:eastAsia="宋体" w:cs="Times New Roman"/>
                      <w:sz w:val="21"/>
                      <w:szCs w:val="21"/>
                    </w:rPr>
                    <w:sym w:font="Wingdings 2" w:char="0052"/>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地方标准□</w:t>
                  </w:r>
                </w:p>
              </w:tc>
              <w:tc>
                <w:tcPr>
                  <w:tcW w:w="1866"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附录D □</w:t>
                  </w:r>
                </w:p>
              </w:tc>
              <w:tc>
                <w:tcPr>
                  <w:tcW w:w="690" w:type="dxa"/>
                  <w:gridSpan w:val="2"/>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其他标准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现状</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环境功能区</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一类区□</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二类</w:t>
                  </w:r>
                  <w:r>
                    <w:rPr>
                      <w:rFonts w:ascii="Times New Roman" w:hAnsi="Times New Roman" w:eastAsia="宋体" w:cs="Times New Roman"/>
                      <w:sz w:val="21"/>
                      <w:szCs w:val="21"/>
                      <w:highlight w:val="none"/>
                    </w:rPr>
                    <w:t>区</w:t>
                  </w:r>
                  <w:r>
                    <w:rPr>
                      <w:rFonts w:ascii="Times New Roman" w:hAnsi="Times New Roman" w:eastAsia="宋体" w:cs="Times New Roman"/>
                      <w:sz w:val="21"/>
                      <w:szCs w:val="21"/>
                    </w:rPr>
                    <w:sym w:font="Wingdings 2" w:char="0052"/>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一类区和二类区□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评价基准年</w:t>
                  </w:r>
                </w:p>
              </w:tc>
              <w:tc>
                <w:tcPr>
                  <w:tcW w:w="7425" w:type="dxa"/>
                  <w:gridSpan w:val="12"/>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（2018）年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环境空气质量现状调查数据来源</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长期例行监测数</w:t>
                  </w:r>
                  <w:r>
                    <w:rPr>
                      <w:rFonts w:ascii="Times New Roman" w:hAnsi="Times New Roman" w:eastAsia="宋体" w:cs="Times New Roman"/>
                      <w:sz w:val="21"/>
                      <w:szCs w:val="21"/>
                      <w:highlight w:val="none"/>
                    </w:rPr>
                    <w:t>据</w:t>
                  </w:r>
                  <w:r>
                    <w:rPr>
                      <w:rFonts w:ascii="Times New Roman" w:hAnsi="Times New Roman" w:eastAsia="宋体" w:cs="Times New Roman"/>
                      <w:sz w:val="21"/>
                      <w:szCs w:val="21"/>
                    </w:rPr>
                    <w:sym w:font="Wingdings 2" w:char="0052"/>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主管部门发布的数</w:t>
                  </w:r>
                  <w:r>
                    <w:rPr>
                      <w:rFonts w:ascii="Times New Roman" w:hAnsi="Times New Roman" w:eastAsia="宋体" w:cs="Times New Roman"/>
                      <w:sz w:val="21"/>
                      <w:szCs w:val="21"/>
                      <w:highlight w:val="none"/>
                    </w:rPr>
                    <w:t>据</w:t>
                  </w:r>
                  <w:r>
                    <w:rPr>
                      <w:rFonts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现状补充监</w:t>
                  </w:r>
                  <w:r>
                    <w:rPr>
                      <w:rFonts w:ascii="Times New Roman" w:hAnsi="Times New Roman" w:eastAsia="宋体" w:cs="Times New Roman"/>
                      <w:sz w:val="21"/>
                      <w:szCs w:val="21"/>
                      <w:highlight w:val="none"/>
                    </w:rPr>
                    <w:t>测</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现状评价</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达标区□</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不达标</w:t>
                  </w:r>
                  <w:r>
                    <w:rPr>
                      <w:rFonts w:ascii="Times New Roman" w:hAnsi="Times New Roman" w:eastAsia="宋体" w:cs="Times New Roman"/>
                      <w:sz w:val="21"/>
                      <w:szCs w:val="21"/>
                      <w:highlight w:val="none"/>
                    </w:rPr>
                    <w:t>区</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138" w:hRule="atLeast"/>
              </w:trPr>
              <w:tc>
                <w:tcPr>
                  <w:tcW w:w="435" w:type="dxa"/>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污染源调查</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调查内容</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本项目正常排放</w:t>
                  </w:r>
                  <w:r>
                    <w:rPr>
                      <w:rFonts w:ascii="Times New Roman" w:hAnsi="Times New Roman" w:eastAsia="宋体" w:cs="Times New Roman"/>
                      <w:sz w:val="21"/>
                      <w:szCs w:val="21"/>
                      <w:highlight w:val="none"/>
                    </w:rPr>
                    <w:t>源</w:t>
                  </w:r>
                  <w:r>
                    <w:rPr>
                      <w:rFonts w:ascii="Times New Roman" w:hAnsi="Times New Roman" w:eastAsia="宋体" w:cs="Times New Roman"/>
                      <w:sz w:val="21"/>
                      <w:szCs w:val="21"/>
                    </w:rPr>
                    <w:sym w:font="Wingdings 2" w:char="0052"/>
                  </w:r>
                </w:p>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本项目非正常排放源□</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现有污染源 □</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拟替代的污染源□</w:t>
                  </w:r>
                </w:p>
              </w:tc>
              <w:tc>
                <w:tcPr>
                  <w:tcW w:w="1866"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其他在建、拟建项目污染源□</w:t>
                  </w:r>
                </w:p>
              </w:tc>
              <w:tc>
                <w:tcPr>
                  <w:tcW w:w="690" w:type="dxa"/>
                  <w:gridSpan w:val="2"/>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区域污染源□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大气环境影响预测与评价</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预测模型</w:t>
                  </w:r>
                </w:p>
              </w:tc>
              <w:tc>
                <w:tcPr>
                  <w:tcW w:w="1245"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AERMOD□</w:t>
                  </w:r>
                </w:p>
              </w:tc>
              <w:tc>
                <w:tcPr>
                  <w:tcW w:w="790" w:type="dxa"/>
                  <w:gridSpan w:val="2"/>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ADMS□</w:t>
                  </w:r>
                </w:p>
              </w:tc>
              <w:tc>
                <w:tcPr>
                  <w:tcW w:w="1432" w:type="dxa"/>
                  <w:gridSpan w:val="2"/>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AUSTAL2000□</w:t>
                  </w:r>
                </w:p>
              </w:tc>
              <w:tc>
                <w:tcPr>
                  <w:tcW w:w="1402" w:type="dxa"/>
                  <w:gridSpan w:val="2"/>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EDMS/AEDT□</w:t>
                  </w:r>
                </w:p>
              </w:tc>
              <w:tc>
                <w:tcPr>
                  <w:tcW w:w="1105"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CALPUFF□</w:t>
                  </w:r>
                </w:p>
              </w:tc>
              <w:tc>
                <w:tcPr>
                  <w:tcW w:w="839"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网格模型□</w:t>
                  </w:r>
                </w:p>
              </w:tc>
              <w:tc>
                <w:tcPr>
                  <w:tcW w:w="612" w:type="dxa"/>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预测范围</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 50km□</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边长5～50km □</w:t>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边长 = 5 km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预测因子</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预测因子(------)</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包括二次PM</w:t>
                  </w:r>
                  <w:r>
                    <w:rPr>
                      <w:rFonts w:ascii="Times New Roman" w:hAnsi="Times New Roman" w:eastAsia="宋体" w:cs="Times New Roman"/>
                      <w:sz w:val="21"/>
                      <w:szCs w:val="21"/>
                      <w:vertAlign w:val="subscript"/>
                    </w:rPr>
                    <w:t>2.5</w:t>
                  </w:r>
                  <w:r>
                    <w:rPr>
                      <w:rFonts w:ascii="Times New Roman" w:hAnsi="Times New Roman" w:eastAsia="宋体" w:cs="Times New Roman"/>
                      <w:sz w:val="21"/>
                      <w:szCs w:val="21"/>
                    </w:rPr>
                    <w:t xml:space="preserve"> □</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不包括二次PM</w:t>
                  </w:r>
                  <w:r>
                    <w:rPr>
                      <w:rFonts w:ascii="Times New Roman" w:hAnsi="Times New Roman" w:eastAsia="宋体" w:cs="Times New Roman"/>
                      <w:sz w:val="21"/>
                      <w:szCs w:val="21"/>
                      <w:vertAlign w:val="subscript"/>
                    </w:rPr>
                    <w:t>2.5</w:t>
                  </w:r>
                  <w:r>
                    <w:rPr>
                      <w:rFonts w:ascii="Times New Roman" w:hAnsi="Times New Roman" w:eastAsia="宋体" w:cs="Times New Roman"/>
                      <w:sz w:val="21"/>
                      <w:szCs w:val="21"/>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正常排放短期浓度贡献值</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最大占标率≤100%□</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最大占标率＞100%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vMerge w:val="restart"/>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正常排放年均浓度贡献值</w:t>
                  </w:r>
                </w:p>
              </w:tc>
              <w:tc>
                <w:tcPr>
                  <w:tcW w:w="1245"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一类区</w:t>
                  </w:r>
                </w:p>
              </w:tc>
              <w:tc>
                <w:tcPr>
                  <w:tcW w:w="3624" w:type="dxa"/>
                  <w:gridSpan w:val="6"/>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最大占标率≤10%□</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最大标率＞10%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245"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二类区</w:t>
                  </w:r>
                </w:p>
              </w:tc>
              <w:tc>
                <w:tcPr>
                  <w:tcW w:w="3624" w:type="dxa"/>
                  <w:gridSpan w:val="6"/>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最大占标率≤30%□</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最大标率＞30%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非正常排放1h浓度贡献值</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非正常持续时长（--）h</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占标率≤100% □</w:t>
                  </w:r>
                </w:p>
              </w:tc>
              <w:tc>
                <w:tcPr>
                  <w:tcW w:w="2556" w:type="dxa"/>
                  <w:gridSpan w:val="5"/>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138"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保证率日平均浓度和年平均浓度叠加值</w:t>
                  </w:r>
                </w:p>
              </w:tc>
              <w:tc>
                <w:tcPr>
                  <w:tcW w:w="3881" w:type="dxa"/>
                  <w:gridSpan w:val="6"/>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达标 □</w:t>
                  </w:r>
                </w:p>
              </w:tc>
              <w:tc>
                <w:tcPr>
                  <w:tcW w:w="3544" w:type="dxa"/>
                  <w:gridSpan w:val="6"/>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不达标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区域环境质量的整体变化情况</w:t>
                  </w:r>
                </w:p>
              </w:tc>
              <w:tc>
                <w:tcPr>
                  <w:tcW w:w="3881" w:type="dxa"/>
                  <w:gridSpan w:val="6"/>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i/>
                      <w:sz w:val="21"/>
                      <w:szCs w:val="21"/>
                    </w:rPr>
                    <w:t xml:space="preserve">k </w:t>
                  </w:r>
                  <w:r>
                    <w:rPr>
                      <w:rFonts w:ascii="Times New Roman" w:hAnsi="Times New Roman" w:eastAsia="宋体" w:cs="Times New Roman"/>
                      <w:sz w:val="21"/>
                      <w:szCs w:val="21"/>
                    </w:rPr>
                    <w:t>≤-20% □</w:t>
                  </w:r>
                </w:p>
              </w:tc>
              <w:tc>
                <w:tcPr>
                  <w:tcW w:w="3544" w:type="dxa"/>
                  <w:gridSpan w:val="6"/>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i/>
                      <w:sz w:val="21"/>
                      <w:szCs w:val="21"/>
                    </w:rPr>
                    <w:t>k</w:t>
                  </w:r>
                  <w:r>
                    <w:rPr>
                      <w:rFonts w:ascii="Times New Roman" w:hAnsi="Times New Roman" w:eastAsia="宋体" w:cs="Times New Roman"/>
                      <w:sz w:val="21"/>
                      <w:szCs w:val="21"/>
                    </w:rPr>
                    <w:t xml:space="preserve"> ＞-20%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环境监测计划</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污染源监测</w:t>
                  </w:r>
                </w:p>
              </w:tc>
              <w:tc>
                <w:tcPr>
                  <w:tcW w:w="2751"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监测因子：（非甲烷总烃、甲苯、二甲苯、乙苯）</w:t>
                  </w:r>
                </w:p>
              </w:tc>
              <w:tc>
                <w:tcPr>
                  <w:tcW w:w="3223"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有组织废气监</w:t>
                  </w:r>
                  <w:r>
                    <w:rPr>
                      <w:rFonts w:ascii="Times New Roman" w:hAnsi="Times New Roman" w:eastAsia="宋体" w:cs="Times New Roman"/>
                      <w:sz w:val="21"/>
                      <w:szCs w:val="21"/>
                      <w:highlight w:val="none"/>
                    </w:rPr>
                    <w:t>测</w:t>
                  </w:r>
                  <w:r>
                    <w:rPr>
                      <w:rFonts w:ascii="Times New Roman" w:hAnsi="Times New Roman" w:eastAsia="宋体" w:cs="Times New Roman"/>
                      <w:sz w:val="21"/>
                      <w:szCs w:val="21"/>
                    </w:rPr>
                    <w:sym w:font="Wingdings 2" w:char="0052"/>
                  </w:r>
                  <w:r>
                    <w:rPr>
                      <w:rFonts w:ascii="Times New Roman" w:hAnsi="Times New Roman" w:eastAsia="宋体" w:cs="Times New Roman"/>
                      <w:sz w:val="21"/>
                      <w:szCs w:val="21"/>
                    </w:rPr>
                    <w:t xml:space="preserve">  </w:t>
                  </w:r>
                  <w:r>
                    <w:rPr>
                      <w:rFonts w:ascii="Times New Roman" w:hAnsi="Times New Roman" w:eastAsia="宋体" w:cs="Times New Roman"/>
                      <w:sz w:val="21"/>
                      <w:szCs w:val="21"/>
                    </w:rPr>
                    <w:br w:type="textWrapping"/>
                  </w:r>
                  <w:r>
                    <w:rPr>
                      <w:rFonts w:ascii="Times New Roman" w:hAnsi="Times New Roman" w:eastAsia="宋体" w:cs="Times New Roman"/>
                      <w:sz w:val="21"/>
                      <w:szCs w:val="21"/>
                    </w:rPr>
                    <w:t>无组织废气监测</w:t>
                  </w:r>
                  <w:r>
                    <w:rPr>
                      <w:rFonts w:ascii="Times New Roman" w:hAnsi="Times New Roman" w:eastAsia="宋体" w:cs="Times New Roman"/>
                      <w:sz w:val="21"/>
                      <w:szCs w:val="21"/>
                      <w:highlight w:val="none"/>
                    </w:rPr>
                    <w:t xml:space="preserve"> </w:t>
                  </w:r>
                  <w:r>
                    <w:rPr>
                      <w:rFonts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环境质量监测</w:t>
                  </w:r>
                </w:p>
              </w:tc>
              <w:tc>
                <w:tcPr>
                  <w:tcW w:w="2751"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监测因子：（--）</w:t>
                  </w:r>
                </w:p>
              </w:tc>
              <w:tc>
                <w:tcPr>
                  <w:tcW w:w="3223"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监测点位数（--）</w:t>
                  </w:r>
                </w:p>
              </w:tc>
              <w:tc>
                <w:tcPr>
                  <w:tcW w:w="1451" w:type="dxa"/>
                  <w:gridSpan w:val="4"/>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无监</w:t>
                  </w:r>
                  <w:r>
                    <w:rPr>
                      <w:rFonts w:ascii="Times New Roman" w:hAnsi="Times New Roman" w:eastAsia="宋体" w:cs="Times New Roman"/>
                      <w:sz w:val="21"/>
                      <w:szCs w:val="21"/>
                      <w:highlight w:val="none"/>
                    </w:rPr>
                    <w:t>测</w:t>
                  </w:r>
                  <w:r>
                    <w:rPr>
                      <w:rFonts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snapToGrid w:val="0"/>
                    <w:rPr>
                      <w:rFonts w:ascii="Times New Roman" w:hAnsi="Times New Roman" w:eastAsia="宋体" w:cs="Times New Roman"/>
                      <w:sz w:val="21"/>
                      <w:szCs w:val="21"/>
                    </w:rPr>
                  </w:pPr>
                  <w:r>
                    <w:rPr>
                      <w:rFonts w:ascii="Times New Roman" w:hAnsi="Times New Roman" w:eastAsia="宋体" w:cs="Times New Roman"/>
                      <w:sz w:val="21"/>
                      <w:szCs w:val="21"/>
                    </w:rPr>
                    <w:t>评价</w:t>
                  </w:r>
                </w:p>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结论</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环境影响</w:t>
                  </w:r>
                </w:p>
              </w:tc>
              <w:tc>
                <w:tcPr>
                  <w:tcW w:w="7425" w:type="dxa"/>
                  <w:gridSpan w:val="12"/>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可以接受</w:t>
                  </w:r>
                  <w:r>
                    <w:rPr>
                      <w:rFonts w:ascii="Times New Roman" w:hAnsi="Times New Roman" w:eastAsia="宋体" w:cs="Times New Roman"/>
                      <w:sz w:val="21"/>
                      <w:szCs w:val="21"/>
                      <w:highlight w:val="none"/>
                    </w:rPr>
                    <w:t xml:space="preserve"> </w:t>
                  </w:r>
                  <w:r>
                    <w:rPr>
                      <w:rFonts w:ascii="Times New Roman" w:hAnsi="Times New Roman" w:eastAsia="宋体" w:cs="Times New Roman"/>
                      <w:sz w:val="21"/>
                      <w:szCs w:val="21"/>
                    </w:rPr>
                    <w:sym w:font="Wingdings 2" w:char="0052"/>
                  </w:r>
                  <w:r>
                    <w:rPr>
                      <w:rFonts w:ascii="Times New Roman" w:hAnsi="Times New Roman" w:eastAsia="宋体" w:cs="Times New Roman"/>
                      <w:sz w:val="21"/>
                      <w:szCs w:val="21"/>
                    </w:rPr>
                    <w:t xml:space="preserve">       不可以接受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大气环境防护距离</w:t>
                  </w:r>
                </w:p>
              </w:tc>
              <w:tc>
                <w:tcPr>
                  <w:tcW w:w="7425" w:type="dxa"/>
                  <w:gridSpan w:val="12"/>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距（--）厂界最远（--）m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widowControl/>
                    <w:jc w:val="left"/>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污染源年排放量（t/a）</w:t>
                  </w:r>
                </w:p>
              </w:tc>
              <w:tc>
                <w:tcPr>
                  <w:tcW w:w="1640" w:type="dxa"/>
                  <w:gridSpan w:val="2"/>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SO</w:t>
                  </w:r>
                  <w:r>
                    <w:rPr>
                      <w:rFonts w:ascii="Times New Roman" w:hAnsi="Times New Roman" w:eastAsia="宋体" w:cs="Times New Roman"/>
                      <w:sz w:val="21"/>
                      <w:szCs w:val="21"/>
                      <w:vertAlign w:val="subscript"/>
                    </w:rPr>
                    <w:t>2</w:t>
                  </w:r>
                  <w:r>
                    <w:rPr>
                      <w:rFonts w:ascii="Times New Roman" w:hAnsi="Times New Roman" w:eastAsia="宋体" w:cs="Times New Roman"/>
                      <w:sz w:val="21"/>
                      <w:szCs w:val="21"/>
                    </w:rPr>
                    <w:t>:（--）</w:t>
                  </w:r>
                </w:p>
              </w:tc>
              <w:tc>
                <w:tcPr>
                  <w:tcW w:w="1827" w:type="dxa"/>
                  <w:gridSpan w:val="3"/>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NO</w:t>
                  </w:r>
                  <w:r>
                    <w:rPr>
                      <w:rFonts w:ascii="Times New Roman" w:hAnsi="Times New Roman" w:eastAsia="宋体" w:cs="Times New Roman"/>
                      <w:sz w:val="21"/>
                      <w:szCs w:val="21"/>
                      <w:vertAlign w:val="subscript"/>
                    </w:rPr>
                    <w:t>x</w:t>
                  </w:r>
                  <w:r>
                    <w:rPr>
                      <w:rFonts w:ascii="Times New Roman" w:hAnsi="Times New Roman" w:eastAsia="宋体" w:cs="Times New Roman"/>
                      <w:sz w:val="21"/>
                      <w:szCs w:val="21"/>
                    </w:rPr>
                    <w:t>:（--）</w:t>
                  </w:r>
                </w:p>
              </w:tc>
              <w:tc>
                <w:tcPr>
                  <w:tcW w:w="2595" w:type="dxa"/>
                  <w:gridSpan w:val="4"/>
                  <w:tcBorders>
                    <w:top w:val="single" w:color="auto" w:sz="4" w:space="0"/>
                    <w:left w:val="single" w:color="auto" w:sz="4" w:space="0"/>
                    <w:bottom w:val="single" w:color="auto" w:sz="4" w:space="0"/>
                    <w:right w:val="single" w:color="auto" w:sz="4" w:space="0"/>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颗粒物:（0.3928t/a）</w:t>
                  </w:r>
                </w:p>
              </w:tc>
              <w:tc>
                <w:tcPr>
                  <w:tcW w:w="1363" w:type="dxa"/>
                  <w:gridSpan w:val="3"/>
                  <w:tcBorders>
                    <w:top w:val="single" w:color="auto" w:sz="4" w:space="0"/>
                    <w:left w:val="single" w:color="auto" w:sz="4" w:space="0"/>
                    <w:bottom w:val="single" w:color="auto" w:sz="4" w:space="0"/>
                    <w:right w:val="nil"/>
                  </w:tcBorders>
                  <w:vAlign w:val="center"/>
                </w:tcPr>
                <w:p>
                  <w:pPr>
                    <w:pStyle w:val="54"/>
                    <w:snapToGrid w:val="0"/>
                    <w:rPr>
                      <w:rFonts w:ascii="Times New Roman" w:hAnsi="Times New Roman" w:eastAsia="宋体" w:cs="Times New Roman"/>
                      <w:kern w:val="2"/>
                      <w:sz w:val="21"/>
                      <w:szCs w:val="21"/>
                    </w:rPr>
                  </w:pPr>
                  <w:r>
                    <w:rPr>
                      <w:rFonts w:ascii="Times New Roman" w:hAnsi="Times New Roman" w:eastAsia="宋体" w:cs="Times New Roman"/>
                      <w:sz w:val="21"/>
                      <w:szCs w:val="21"/>
                    </w:rPr>
                    <w:t>VOC</w:t>
                  </w:r>
                  <w:r>
                    <w:rPr>
                      <w:rFonts w:ascii="Times New Roman" w:hAnsi="Times New Roman" w:eastAsia="宋体" w:cs="Times New Roman"/>
                      <w:sz w:val="21"/>
                      <w:szCs w:val="21"/>
                      <w:vertAlign w:val="subscript"/>
                    </w:rPr>
                    <w:t>s</w:t>
                  </w:r>
                  <w:r>
                    <w:rPr>
                      <w:rFonts w:ascii="Times New Roman" w:hAnsi="Times New Roman" w:eastAsia="宋体" w:cs="Times New Roman"/>
                      <w:sz w:val="21"/>
                      <w:szCs w:val="21"/>
                    </w:rPr>
                    <w:t>:（0.9547t/a）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8783" w:type="dxa"/>
                  <w:gridSpan w:val="14"/>
                  <w:tcBorders>
                    <w:top w:val="single" w:color="auto" w:sz="4" w:space="0"/>
                    <w:left w:val="nil"/>
                    <w:bottom w:val="single" w:color="auto" w:sz="12" w:space="0"/>
                    <w:right w:val="nil"/>
                  </w:tcBorders>
                  <w:vAlign w:val="center"/>
                </w:tcPr>
                <w:p>
                  <w:pPr>
                    <w:pStyle w:val="54"/>
                    <w:snapToGrid w:val="0"/>
                    <w:jc w:val="left"/>
                    <w:rPr>
                      <w:rFonts w:ascii="Times New Roman" w:hAnsi="Times New Roman" w:eastAsia="宋体" w:cs="Times New Roman"/>
                      <w:kern w:val="2"/>
                      <w:sz w:val="21"/>
                      <w:szCs w:val="21"/>
                    </w:rPr>
                  </w:pPr>
                  <w:r>
                    <w:rPr>
                      <w:rFonts w:ascii="Times New Roman" w:hAnsi="Times New Roman" w:eastAsia="宋体" w:cs="Times New Roman"/>
                      <w:sz w:val="21"/>
                      <w:szCs w:val="21"/>
                    </w:rPr>
                    <w:t>注：“□” 为勾选项 ，填“√” ；“（   ）” 为内容填写项</w:t>
                  </w:r>
                </w:p>
              </w:tc>
            </w:tr>
          </w:tbl>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2、地表水环境影响分析</w:t>
            </w:r>
          </w:p>
          <w:p>
            <w:pPr>
              <w:spacing w:line="520" w:lineRule="exact"/>
              <w:ind w:firstLine="480" w:firstLineChars="200"/>
              <w:rPr>
                <w:sz w:val="24"/>
              </w:rPr>
            </w:pPr>
            <w:r>
              <w:rPr>
                <w:sz w:val="24"/>
              </w:rPr>
              <w:t>本项目废水主要是员工少量生活污水和清洗废水。</w:t>
            </w:r>
          </w:p>
          <w:p>
            <w:pPr>
              <w:spacing w:line="520" w:lineRule="exact"/>
              <w:ind w:firstLine="480" w:firstLineChars="200"/>
              <w:rPr>
                <w:color w:val="000000" w:themeColor="text1"/>
                <w:sz w:val="24"/>
                <w14:textFill>
                  <w14:solidFill>
                    <w14:schemeClr w14:val="tx1"/>
                  </w14:solidFill>
                </w14:textFill>
              </w:rPr>
            </w:pPr>
            <w:r>
              <w:rPr>
                <w:sz w:val="24"/>
              </w:rPr>
              <w:t>项目清洗废水产生量为1.8m</w:t>
            </w:r>
            <w:r>
              <w:rPr>
                <w:sz w:val="24"/>
                <w:vertAlign w:val="superscript"/>
              </w:rPr>
              <w:t>3</w:t>
            </w:r>
            <w:r>
              <w:rPr>
                <w:sz w:val="24"/>
              </w:rPr>
              <w:t>/架次，本机库</w:t>
            </w:r>
            <w:r>
              <w:rPr>
                <w:rFonts w:hint="eastAsia"/>
                <w:sz w:val="24"/>
              </w:rPr>
              <w:t>飞机清洗量为</w:t>
            </w:r>
            <w:r>
              <w:rPr>
                <w:sz w:val="24"/>
              </w:rPr>
              <w:t>18架次/年，则清洗废水产生量为</w:t>
            </w:r>
            <w:r>
              <w:rPr>
                <w:rFonts w:hint="eastAsia"/>
                <w:sz w:val="24"/>
              </w:rPr>
              <w:t>3</w:t>
            </w:r>
            <w:r>
              <w:rPr>
                <w:sz w:val="24"/>
              </w:rPr>
              <w:t>2.4m</w:t>
            </w:r>
            <w:r>
              <w:rPr>
                <w:sz w:val="24"/>
                <w:vertAlign w:val="superscript"/>
              </w:rPr>
              <w:t>3</w:t>
            </w:r>
            <w:r>
              <w:rPr>
                <w:sz w:val="24"/>
              </w:rPr>
              <w:t>/a（</w:t>
            </w:r>
            <w:r>
              <w:rPr>
                <w:rFonts w:hint="eastAsia"/>
                <w:sz w:val="24"/>
              </w:rPr>
              <w:t>0.089</w:t>
            </w:r>
            <w:r>
              <w:rPr>
                <w:sz w:val="24"/>
              </w:rPr>
              <w:t>m</w:t>
            </w:r>
            <w:r>
              <w:rPr>
                <w:sz w:val="24"/>
                <w:vertAlign w:val="superscript"/>
              </w:rPr>
              <w:t>3</w:t>
            </w:r>
            <w:r>
              <w:rPr>
                <w:sz w:val="24"/>
              </w:rPr>
              <w:t>/d</w:t>
            </w:r>
            <w:r>
              <w:rPr>
                <w:rFonts w:hint="eastAsia"/>
                <w:sz w:val="24"/>
              </w:rPr>
              <w:t>）</w:t>
            </w:r>
            <w:r>
              <w:rPr>
                <w:sz w:val="24"/>
              </w:rPr>
              <w:t>。清洗废水经水泵抽至过滤桶，过滤桶内设过滤网，将过滤棉放置过滤网上，废水经过滤棉过滤后通过管网排至咸阳机场污水处理厂。</w:t>
            </w:r>
          </w:p>
          <w:p>
            <w:pPr>
              <w:pStyle w:val="3"/>
              <w:spacing w:after="0" w:line="520" w:lineRule="exact"/>
              <w:ind w:left="0" w:leftChars="0" w:firstLine="480"/>
              <w:rPr>
                <w:rFonts w:ascii="Times New Roman" w:hAnsi="Times New Roman"/>
                <w:sz w:val="24"/>
                <w:szCs w:val="20"/>
              </w:rPr>
            </w:pPr>
            <w:r>
              <w:rPr>
                <w:rFonts w:ascii="Times New Roman" w:hAnsi="Times New Roman"/>
                <w:sz w:val="24"/>
              </w:rPr>
              <w:t>项目定员54人，不涉及食宿，设值班人员1人，全年生产365天，</w:t>
            </w:r>
            <w:r>
              <w:rPr>
                <w:rFonts w:ascii="Times New Roman" w:hAnsi="Times New Roman"/>
                <w:sz w:val="24"/>
                <w:szCs w:val="20"/>
              </w:rPr>
              <w:t>则生活用水量为717.225m</w:t>
            </w:r>
            <w:r>
              <w:rPr>
                <w:rFonts w:ascii="Times New Roman" w:hAnsi="Times New Roman"/>
                <w:sz w:val="24"/>
                <w:szCs w:val="20"/>
                <w:vertAlign w:val="superscript"/>
              </w:rPr>
              <w:t>3</w:t>
            </w:r>
            <w:r>
              <w:rPr>
                <w:rFonts w:ascii="Times New Roman" w:hAnsi="Times New Roman"/>
                <w:sz w:val="24"/>
                <w:szCs w:val="20"/>
              </w:rPr>
              <w:t>/a（1.965m</w:t>
            </w:r>
            <w:r>
              <w:rPr>
                <w:rFonts w:ascii="Times New Roman" w:hAnsi="Times New Roman"/>
                <w:sz w:val="24"/>
                <w:szCs w:val="20"/>
                <w:vertAlign w:val="superscript"/>
              </w:rPr>
              <w:t>3</w:t>
            </w:r>
            <w:r>
              <w:rPr>
                <w:rFonts w:ascii="Times New Roman" w:hAnsi="Times New Roman"/>
                <w:sz w:val="24"/>
                <w:szCs w:val="20"/>
              </w:rPr>
              <w:t>/d），产污系数按0.8计，废水产生量为573.78m</w:t>
            </w:r>
            <w:r>
              <w:rPr>
                <w:rFonts w:ascii="Times New Roman" w:hAnsi="Times New Roman"/>
                <w:sz w:val="24"/>
                <w:szCs w:val="20"/>
                <w:vertAlign w:val="superscript"/>
              </w:rPr>
              <w:t>3</w:t>
            </w:r>
            <w:r>
              <w:rPr>
                <w:rFonts w:ascii="Times New Roman" w:hAnsi="Times New Roman"/>
                <w:sz w:val="24"/>
                <w:szCs w:val="20"/>
              </w:rPr>
              <w:t>/a（1.572m</w:t>
            </w:r>
            <w:r>
              <w:rPr>
                <w:rFonts w:ascii="Times New Roman" w:hAnsi="Times New Roman"/>
                <w:sz w:val="24"/>
                <w:szCs w:val="20"/>
                <w:vertAlign w:val="superscript"/>
              </w:rPr>
              <w:t>3</w:t>
            </w:r>
            <w:r>
              <w:rPr>
                <w:rFonts w:ascii="Times New Roman" w:hAnsi="Times New Roman"/>
                <w:sz w:val="24"/>
                <w:szCs w:val="20"/>
              </w:rPr>
              <w:t>/d），生活污水经化粪池预处理后，进入咸阳机场污水处理厂。</w:t>
            </w:r>
          </w:p>
          <w:p>
            <w:pPr>
              <w:adjustRightInd w:val="0"/>
              <w:snapToGrid w:val="0"/>
              <w:spacing w:before="76" w:beforeLines="20" w:after="38" w:afterLines="10"/>
              <w:jc w:val="center"/>
              <w:rPr>
                <w:rFonts w:eastAsia="黑体"/>
                <w:sz w:val="24"/>
                <w:szCs w:val="24"/>
              </w:rPr>
            </w:pPr>
            <w:r>
              <w:rPr>
                <w:rFonts w:eastAsia="黑体"/>
                <w:sz w:val="24"/>
                <w:szCs w:val="24"/>
              </w:rPr>
              <w:t>表33   项目废水污染物产排及达标情况</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68"/>
              <w:gridCol w:w="1844"/>
              <w:gridCol w:w="775"/>
              <w:gridCol w:w="677"/>
              <w:gridCol w:w="724"/>
              <w:gridCol w:w="694"/>
              <w:gridCol w:w="724"/>
              <w:gridCol w:w="850"/>
              <w:gridCol w:w="709"/>
              <w:gridCol w:w="8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rPr>
                      <w:b/>
                    </w:rPr>
                  </w:pPr>
                  <w:r>
                    <w:rPr>
                      <w:b/>
                    </w:rPr>
                    <w:t>废水类别</w:t>
                  </w:r>
                </w:p>
              </w:tc>
              <w:tc>
                <w:tcPr>
                  <w:tcW w:w="1844" w:type="dxa"/>
                  <w:vMerge w:val="restart"/>
                  <w:vAlign w:val="center"/>
                </w:tcPr>
                <w:p>
                  <w:pPr>
                    <w:pStyle w:val="86"/>
                    <w:rPr>
                      <w:b/>
                    </w:rPr>
                  </w:pPr>
                  <w:r>
                    <w:rPr>
                      <w:b/>
                    </w:rPr>
                    <w:t>名称</w:t>
                  </w:r>
                </w:p>
              </w:tc>
              <w:tc>
                <w:tcPr>
                  <w:tcW w:w="5971" w:type="dxa"/>
                  <w:gridSpan w:val="8"/>
                  <w:vAlign w:val="center"/>
                </w:tcPr>
                <w:p>
                  <w:pPr>
                    <w:pStyle w:val="86"/>
                    <w:rPr>
                      <w:b/>
                    </w:rPr>
                  </w:pPr>
                  <w:r>
                    <w:rPr>
                      <w:b/>
                    </w:rPr>
                    <w:t>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rPr>
                      <w:b/>
                    </w:rPr>
                  </w:pPr>
                </w:p>
              </w:tc>
              <w:tc>
                <w:tcPr>
                  <w:tcW w:w="1844" w:type="dxa"/>
                  <w:vMerge w:val="continue"/>
                  <w:vAlign w:val="center"/>
                </w:tcPr>
                <w:p>
                  <w:pPr>
                    <w:pStyle w:val="86"/>
                    <w:rPr>
                      <w:b/>
                    </w:rPr>
                  </w:pPr>
                </w:p>
              </w:tc>
              <w:tc>
                <w:tcPr>
                  <w:tcW w:w="775" w:type="dxa"/>
                  <w:vAlign w:val="center"/>
                </w:tcPr>
                <w:p>
                  <w:pPr>
                    <w:pStyle w:val="86"/>
                    <w:rPr>
                      <w:b/>
                    </w:rPr>
                  </w:pPr>
                  <w:r>
                    <w:rPr>
                      <w:b/>
                    </w:rPr>
                    <w:t>COD</w:t>
                  </w:r>
                </w:p>
              </w:tc>
              <w:tc>
                <w:tcPr>
                  <w:tcW w:w="677" w:type="dxa"/>
                  <w:vAlign w:val="center"/>
                </w:tcPr>
                <w:p>
                  <w:pPr>
                    <w:pStyle w:val="86"/>
                    <w:rPr>
                      <w:b/>
                    </w:rPr>
                  </w:pPr>
                  <w:r>
                    <w:rPr>
                      <w:b/>
                    </w:rPr>
                    <w:t>BOD</w:t>
                  </w:r>
                  <w:r>
                    <w:rPr>
                      <w:b/>
                      <w:vertAlign w:val="subscript"/>
                    </w:rPr>
                    <w:t>5</w:t>
                  </w:r>
                </w:p>
              </w:tc>
              <w:tc>
                <w:tcPr>
                  <w:tcW w:w="724" w:type="dxa"/>
                  <w:vAlign w:val="center"/>
                </w:tcPr>
                <w:p>
                  <w:pPr>
                    <w:pStyle w:val="86"/>
                    <w:rPr>
                      <w:b/>
                    </w:rPr>
                  </w:pPr>
                  <w:r>
                    <w:rPr>
                      <w:b/>
                    </w:rPr>
                    <w:t>SS</w:t>
                  </w:r>
                </w:p>
              </w:tc>
              <w:tc>
                <w:tcPr>
                  <w:tcW w:w="694" w:type="dxa"/>
                  <w:vAlign w:val="center"/>
                </w:tcPr>
                <w:p>
                  <w:pPr>
                    <w:pStyle w:val="86"/>
                    <w:rPr>
                      <w:b/>
                    </w:rPr>
                  </w:pPr>
                  <w:r>
                    <w:rPr>
                      <w:b/>
                    </w:rPr>
                    <w:t>NH</w:t>
                  </w:r>
                  <w:r>
                    <w:rPr>
                      <w:b/>
                      <w:vertAlign w:val="subscript"/>
                    </w:rPr>
                    <w:t>3</w:t>
                  </w:r>
                  <w:r>
                    <w:rPr>
                      <w:b/>
                    </w:rPr>
                    <w:t>-N</w:t>
                  </w:r>
                </w:p>
              </w:tc>
              <w:tc>
                <w:tcPr>
                  <w:tcW w:w="724" w:type="dxa"/>
                  <w:vAlign w:val="center"/>
                </w:tcPr>
                <w:p>
                  <w:pPr>
                    <w:pStyle w:val="86"/>
                    <w:rPr>
                      <w:b/>
                    </w:rPr>
                  </w:pPr>
                  <w:r>
                    <w:rPr>
                      <w:b/>
                    </w:rPr>
                    <w:t>TP</w:t>
                  </w:r>
                </w:p>
              </w:tc>
              <w:tc>
                <w:tcPr>
                  <w:tcW w:w="850" w:type="dxa"/>
                  <w:vAlign w:val="center"/>
                </w:tcPr>
                <w:p>
                  <w:pPr>
                    <w:pStyle w:val="86"/>
                    <w:rPr>
                      <w:b/>
                    </w:rPr>
                  </w:pPr>
                  <w:r>
                    <w:rPr>
                      <w:b/>
                    </w:rPr>
                    <w:t>TN</w:t>
                  </w:r>
                </w:p>
              </w:tc>
              <w:tc>
                <w:tcPr>
                  <w:tcW w:w="709" w:type="dxa"/>
                  <w:vAlign w:val="center"/>
                </w:tcPr>
                <w:p>
                  <w:pPr>
                    <w:pStyle w:val="86"/>
                    <w:rPr>
                      <w:b/>
                    </w:rPr>
                  </w:pPr>
                  <w:r>
                    <w:rPr>
                      <w:b/>
                    </w:rPr>
                    <w:t>LAS</w:t>
                  </w:r>
                </w:p>
              </w:tc>
              <w:tc>
                <w:tcPr>
                  <w:tcW w:w="818" w:type="dxa"/>
                  <w:vAlign w:val="center"/>
                </w:tcPr>
                <w:p>
                  <w:pPr>
                    <w:pStyle w:val="86"/>
                    <w:rPr>
                      <w:b/>
                    </w:rPr>
                  </w:pPr>
                  <w:r>
                    <w:rPr>
                      <w:b/>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pPr>
                  <w:r>
                    <w:t>生活污水573.78m</w:t>
                  </w:r>
                  <w:r>
                    <w:rPr>
                      <w:vertAlign w:val="superscript"/>
                    </w:rPr>
                    <w:t>3</w:t>
                  </w:r>
                  <w:r>
                    <w:t>/a</w:t>
                  </w:r>
                </w:p>
              </w:tc>
              <w:tc>
                <w:tcPr>
                  <w:tcW w:w="1844" w:type="dxa"/>
                  <w:vAlign w:val="center"/>
                </w:tcPr>
                <w:p>
                  <w:pPr>
                    <w:pStyle w:val="86"/>
                  </w:pPr>
                  <w:r>
                    <w:t>产生浓度（mg/L）</w:t>
                  </w:r>
                </w:p>
              </w:tc>
              <w:tc>
                <w:tcPr>
                  <w:tcW w:w="775" w:type="dxa"/>
                  <w:vAlign w:val="center"/>
                </w:tcPr>
                <w:p>
                  <w:pPr>
                    <w:pStyle w:val="86"/>
                  </w:pPr>
                  <w:r>
                    <w:t>350</w:t>
                  </w:r>
                </w:p>
              </w:tc>
              <w:tc>
                <w:tcPr>
                  <w:tcW w:w="677" w:type="dxa"/>
                  <w:vAlign w:val="center"/>
                </w:tcPr>
                <w:p>
                  <w:pPr>
                    <w:pStyle w:val="86"/>
                  </w:pPr>
                  <w:r>
                    <w:t>180</w:t>
                  </w:r>
                </w:p>
              </w:tc>
              <w:tc>
                <w:tcPr>
                  <w:tcW w:w="724" w:type="dxa"/>
                  <w:vAlign w:val="center"/>
                </w:tcPr>
                <w:p>
                  <w:pPr>
                    <w:pStyle w:val="86"/>
                  </w:pPr>
                  <w:r>
                    <w:t>120</w:t>
                  </w:r>
                </w:p>
              </w:tc>
              <w:tc>
                <w:tcPr>
                  <w:tcW w:w="694" w:type="dxa"/>
                  <w:vAlign w:val="center"/>
                </w:tcPr>
                <w:p>
                  <w:pPr>
                    <w:pStyle w:val="86"/>
                  </w:pPr>
                  <w:r>
                    <w:t>20</w:t>
                  </w:r>
                </w:p>
              </w:tc>
              <w:tc>
                <w:tcPr>
                  <w:tcW w:w="724" w:type="dxa"/>
                  <w:vAlign w:val="center"/>
                </w:tcPr>
                <w:p>
                  <w:pPr>
                    <w:pStyle w:val="86"/>
                  </w:pPr>
                  <w:r>
                    <w:t>7</w:t>
                  </w:r>
                </w:p>
              </w:tc>
              <w:tc>
                <w:tcPr>
                  <w:tcW w:w="850" w:type="dxa"/>
                  <w:vAlign w:val="center"/>
                </w:tcPr>
                <w:p>
                  <w:pPr>
                    <w:pStyle w:val="86"/>
                  </w:pPr>
                  <w:r>
                    <w:t>30</w:t>
                  </w:r>
                </w:p>
              </w:tc>
              <w:tc>
                <w:tcPr>
                  <w:tcW w:w="709" w:type="dxa"/>
                  <w:vAlign w:val="center"/>
                </w:tcPr>
                <w:p>
                  <w:pPr>
                    <w:pStyle w:val="86"/>
                  </w:pPr>
                  <w: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pPr>
                  <w:r>
                    <w:t>污染物产生量（t/a）</w:t>
                  </w:r>
                </w:p>
              </w:tc>
              <w:tc>
                <w:tcPr>
                  <w:tcW w:w="775" w:type="dxa"/>
                  <w:vAlign w:val="center"/>
                </w:tcPr>
                <w:p>
                  <w:pPr>
                    <w:pStyle w:val="86"/>
                  </w:pPr>
                  <w:r>
                    <w:t>0.2</w:t>
                  </w:r>
                </w:p>
              </w:tc>
              <w:tc>
                <w:tcPr>
                  <w:tcW w:w="677" w:type="dxa"/>
                  <w:vAlign w:val="center"/>
                </w:tcPr>
                <w:p>
                  <w:pPr>
                    <w:pStyle w:val="86"/>
                  </w:pPr>
                  <w:r>
                    <w:t>0.11</w:t>
                  </w:r>
                </w:p>
              </w:tc>
              <w:tc>
                <w:tcPr>
                  <w:tcW w:w="724" w:type="dxa"/>
                  <w:vAlign w:val="center"/>
                </w:tcPr>
                <w:p>
                  <w:pPr>
                    <w:pStyle w:val="86"/>
                  </w:pPr>
                  <w:r>
                    <w:t>0.069</w:t>
                  </w:r>
                </w:p>
              </w:tc>
              <w:tc>
                <w:tcPr>
                  <w:tcW w:w="694" w:type="dxa"/>
                  <w:vAlign w:val="center"/>
                </w:tcPr>
                <w:p>
                  <w:pPr>
                    <w:pStyle w:val="86"/>
                  </w:pPr>
                  <w:r>
                    <w:t>0.012</w:t>
                  </w:r>
                </w:p>
              </w:tc>
              <w:tc>
                <w:tcPr>
                  <w:tcW w:w="724" w:type="dxa"/>
                  <w:vAlign w:val="center"/>
                </w:tcPr>
                <w:p>
                  <w:pPr>
                    <w:pStyle w:val="86"/>
                  </w:pPr>
                  <w:r>
                    <w:t>0.004</w:t>
                  </w:r>
                </w:p>
              </w:tc>
              <w:tc>
                <w:tcPr>
                  <w:tcW w:w="850" w:type="dxa"/>
                  <w:vAlign w:val="center"/>
                </w:tcPr>
                <w:p>
                  <w:pPr>
                    <w:pStyle w:val="86"/>
                  </w:pPr>
                  <w:r>
                    <w:t>0.018</w:t>
                  </w:r>
                </w:p>
              </w:tc>
              <w:tc>
                <w:tcPr>
                  <w:tcW w:w="709" w:type="dxa"/>
                  <w:vAlign w:val="center"/>
                </w:tcPr>
                <w:p>
                  <w:pPr>
                    <w:pStyle w:val="86"/>
                  </w:pPr>
                  <w: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pPr>
                  <w:r>
                    <w:t>化粪池处理效率（%）</w:t>
                  </w:r>
                </w:p>
              </w:tc>
              <w:tc>
                <w:tcPr>
                  <w:tcW w:w="775" w:type="dxa"/>
                  <w:vAlign w:val="center"/>
                </w:tcPr>
                <w:p>
                  <w:pPr>
                    <w:pStyle w:val="86"/>
                  </w:pPr>
                  <w:r>
                    <w:t>15</w:t>
                  </w:r>
                </w:p>
              </w:tc>
              <w:tc>
                <w:tcPr>
                  <w:tcW w:w="677" w:type="dxa"/>
                  <w:vAlign w:val="center"/>
                </w:tcPr>
                <w:p>
                  <w:pPr>
                    <w:pStyle w:val="86"/>
                  </w:pPr>
                  <w:r>
                    <w:t>10</w:t>
                  </w:r>
                </w:p>
              </w:tc>
              <w:tc>
                <w:tcPr>
                  <w:tcW w:w="724" w:type="dxa"/>
                  <w:vAlign w:val="center"/>
                </w:tcPr>
                <w:p>
                  <w:pPr>
                    <w:pStyle w:val="86"/>
                  </w:pPr>
                  <w:r>
                    <w:t>30</w:t>
                  </w:r>
                </w:p>
              </w:tc>
              <w:tc>
                <w:tcPr>
                  <w:tcW w:w="694" w:type="dxa"/>
                  <w:vAlign w:val="center"/>
                </w:tcPr>
                <w:p>
                  <w:pPr>
                    <w:pStyle w:val="86"/>
                  </w:pPr>
                  <w:r>
                    <w:t>0</w:t>
                  </w:r>
                </w:p>
              </w:tc>
              <w:tc>
                <w:tcPr>
                  <w:tcW w:w="724" w:type="dxa"/>
                  <w:vAlign w:val="center"/>
                </w:tcPr>
                <w:p>
                  <w:pPr>
                    <w:pStyle w:val="86"/>
                  </w:pPr>
                  <w:r>
                    <w:t>0</w:t>
                  </w:r>
                </w:p>
              </w:tc>
              <w:tc>
                <w:tcPr>
                  <w:tcW w:w="850" w:type="dxa"/>
                  <w:vAlign w:val="center"/>
                </w:tcPr>
                <w:p>
                  <w:pPr>
                    <w:pStyle w:val="86"/>
                  </w:pPr>
                  <w:r>
                    <w:t>0</w:t>
                  </w:r>
                </w:p>
              </w:tc>
              <w:tc>
                <w:tcPr>
                  <w:tcW w:w="709" w:type="dxa"/>
                  <w:vAlign w:val="center"/>
                </w:tcPr>
                <w:p>
                  <w:pPr>
                    <w:pStyle w:val="86"/>
                  </w:pPr>
                  <w: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pPr>
                  <w:r>
                    <w:t>处理后浓度（mg/L）</w:t>
                  </w:r>
                </w:p>
              </w:tc>
              <w:tc>
                <w:tcPr>
                  <w:tcW w:w="775" w:type="dxa"/>
                  <w:vAlign w:val="center"/>
                </w:tcPr>
                <w:p>
                  <w:pPr>
                    <w:pStyle w:val="86"/>
                  </w:pPr>
                  <w:r>
                    <w:t>298</w:t>
                  </w:r>
                </w:p>
              </w:tc>
              <w:tc>
                <w:tcPr>
                  <w:tcW w:w="677" w:type="dxa"/>
                  <w:vAlign w:val="center"/>
                </w:tcPr>
                <w:p>
                  <w:pPr>
                    <w:pStyle w:val="86"/>
                  </w:pPr>
                  <w:r>
                    <w:t>162</w:t>
                  </w:r>
                </w:p>
              </w:tc>
              <w:tc>
                <w:tcPr>
                  <w:tcW w:w="724" w:type="dxa"/>
                  <w:vAlign w:val="center"/>
                </w:tcPr>
                <w:p>
                  <w:pPr>
                    <w:pStyle w:val="86"/>
                  </w:pPr>
                  <w:r>
                    <w:t>84</w:t>
                  </w:r>
                </w:p>
              </w:tc>
              <w:tc>
                <w:tcPr>
                  <w:tcW w:w="694" w:type="dxa"/>
                  <w:vAlign w:val="center"/>
                </w:tcPr>
                <w:p>
                  <w:pPr>
                    <w:pStyle w:val="86"/>
                  </w:pPr>
                  <w:r>
                    <w:t>20</w:t>
                  </w:r>
                </w:p>
              </w:tc>
              <w:tc>
                <w:tcPr>
                  <w:tcW w:w="724" w:type="dxa"/>
                  <w:vAlign w:val="center"/>
                </w:tcPr>
                <w:p>
                  <w:pPr>
                    <w:pStyle w:val="86"/>
                  </w:pPr>
                  <w:r>
                    <w:t>7</w:t>
                  </w:r>
                </w:p>
              </w:tc>
              <w:tc>
                <w:tcPr>
                  <w:tcW w:w="850" w:type="dxa"/>
                  <w:vAlign w:val="center"/>
                </w:tcPr>
                <w:p>
                  <w:pPr>
                    <w:pStyle w:val="86"/>
                  </w:pPr>
                  <w:r>
                    <w:t>30</w:t>
                  </w:r>
                </w:p>
              </w:tc>
              <w:tc>
                <w:tcPr>
                  <w:tcW w:w="709" w:type="dxa"/>
                  <w:vAlign w:val="center"/>
                </w:tcPr>
                <w:p>
                  <w:pPr>
                    <w:pStyle w:val="86"/>
                  </w:pPr>
                  <w: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处理后污染物排放量（t/a）</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0.17</w:t>
                  </w:r>
                </w:p>
              </w:tc>
              <w:tc>
                <w:tcPr>
                  <w:tcW w:w="67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0.093</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0.049</w:t>
                  </w:r>
                </w:p>
              </w:tc>
              <w:tc>
                <w:tcPr>
                  <w:tcW w:w="69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0.012</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0.004</w:t>
                  </w:r>
                </w:p>
              </w:tc>
              <w:tc>
                <w:tcPr>
                  <w:tcW w:w="850"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0.018</w:t>
                  </w:r>
                </w:p>
              </w:tc>
              <w:tc>
                <w:tcPr>
                  <w:tcW w:w="70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pPr>
                  <w:r>
                    <w:t>清洗废水32.4m</w:t>
                  </w:r>
                  <w:r>
                    <w:rPr>
                      <w:vertAlign w:val="superscript"/>
                    </w:rPr>
                    <w:t>3</w:t>
                  </w:r>
                  <w:r>
                    <w:t>/a</w:t>
                  </w: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产生浓度（mg/L）</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550</w:t>
                  </w:r>
                </w:p>
              </w:tc>
              <w:tc>
                <w:tcPr>
                  <w:tcW w:w="67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69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25</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850"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w:t>
                  </w:r>
                </w:p>
              </w:tc>
              <w:tc>
                <w:tcPr>
                  <w:tcW w:w="70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18" w:type="dxa"/>
                  <w:vAlign w:val="center"/>
                </w:tcPr>
                <w:p>
                  <w:pPr>
                    <w:pStyle w:val="86"/>
                  </w:pPr>
                  <w:r>
                    <w:rPr>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污染物产生量（t/a）</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018</w:t>
                  </w:r>
                </w:p>
              </w:tc>
              <w:tc>
                <w:tcPr>
                  <w:tcW w:w="67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0.013</w:t>
                  </w:r>
                </w:p>
              </w:tc>
              <w:tc>
                <w:tcPr>
                  <w:tcW w:w="69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0.00081</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0.00023</w:t>
                  </w:r>
                </w:p>
              </w:tc>
              <w:tc>
                <w:tcPr>
                  <w:tcW w:w="850"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0.0012</w:t>
                  </w:r>
                </w:p>
              </w:tc>
              <w:tc>
                <w:tcPr>
                  <w:tcW w:w="70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18"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过滤棉过滤效率（%）</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67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80</w:t>
                  </w:r>
                </w:p>
              </w:tc>
              <w:tc>
                <w:tcPr>
                  <w:tcW w:w="69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50"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70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p>
              </w:tc>
              <w:tc>
                <w:tcPr>
                  <w:tcW w:w="818" w:type="dxa"/>
                  <w:vAlign w:val="center"/>
                </w:tcPr>
                <w:p>
                  <w:pPr>
                    <w:pStyle w:val="86"/>
                  </w:pPr>
                  <w: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处理后浓度（mg/L）</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550</w:t>
                  </w:r>
                </w:p>
              </w:tc>
              <w:tc>
                <w:tcPr>
                  <w:tcW w:w="677"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80</w:t>
                  </w:r>
                </w:p>
              </w:tc>
              <w:tc>
                <w:tcPr>
                  <w:tcW w:w="69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25</w:t>
                  </w:r>
                </w:p>
              </w:tc>
              <w:tc>
                <w:tcPr>
                  <w:tcW w:w="72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7</w:t>
                  </w:r>
                </w:p>
              </w:tc>
              <w:tc>
                <w:tcPr>
                  <w:tcW w:w="850"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35</w:t>
                  </w:r>
                </w:p>
              </w:tc>
              <w:tc>
                <w:tcPr>
                  <w:tcW w:w="709"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30</w:t>
                  </w:r>
                </w:p>
              </w:tc>
              <w:tc>
                <w:tcPr>
                  <w:tcW w:w="818" w:type="dxa"/>
                  <w:vAlign w:val="center"/>
                </w:tcPr>
                <w:p>
                  <w:pPr>
                    <w:pStyle w:val="86"/>
                  </w:pPr>
                  <w:r>
                    <w:rPr>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处理后污染物排放量（t/a）</w:t>
                  </w:r>
                </w:p>
              </w:tc>
              <w:tc>
                <w:tcPr>
                  <w:tcW w:w="775"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018</w:t>
                  </w:r>
                </w:p>
              </w:tc>
              <w:tc>
                <w:tcPr>
                  <w:tcW w:w="67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0.0026</w:t>
                  </w:r>
                </w:p>
              </w:tc>
              <w:tc>
                <w:tcPr>
                  <w:tcW w:w="69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0.00081</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0.00023</w:t>
                  </w:r>
                </w:p>
              </w:tc>
              <w:tc>
                <w:tcPr>
                  <w:tcW w:w="850"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0.0012</w:t>
                  </w:r>
                </w:p>
              </w:tc>
              <w:tc>
                <w:tcPr>
                  <w:tcW w:w="70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18"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restart"/>
                  <w:vAlign w:val="center"/>
                </w:tcPr>
                <w:p>
                  <w:pPr>
                    <w:pStyle w:val="86"/>
                  </w:pPr>
                  <w:r>
                    <w:t>合计</w:t>
                  </w:r>
                  <w:r>
                    <w:rPr>
                      <w:rFonts w:hint="eastAsia"/>
                    </w:rPr>
                    <w:t>60</w:t>
                  </w:r>
                  <w:r>
                    <w:t>6.18</w:t>
                  </w:r>
                </w:p>
                <w:p>
                  <w:pPr>
                    <w:pStyle w:val="86"/>
                  </w:pPr>
                  <w:r>
                    <w:t>m</w:t>
                  </w:r>
                  <w:r>
                    <w:rPr>
                      <w:vertAlign w:val="superscript"/>
                    </w:rPr>
                    <w:t>3</w:t>
                  </w:r>
                  <w:r>
                    <w:t>/a</w:t>
                  </w: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产生浓度（mg/L）</w:t>
                  </w:r>
                </w:p>
              </w:tc>
              <w:tc>
                <w:tcPr>
                  <w:tcW w:w="77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311</w:t>
                  </w:r>
                </w:p>
              </w:tc>
              <w:tc>
                <w:tcPr>
                  <w:tcW w:w="67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174</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86</w:t>
                  </w:r>
                </w:p>
              </w:tc>
              <w:tc>
                <w:tcPr>
                  <w:tcW w:w="69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850"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70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818" w:type="dxa"/>
                  <w:vAlign w:val="center"/>
                </w:tcPr>
                <w:p>
                  <w:pPr>
                    <w:pStyle w:val="86"/>
                  </w:pPr>
                  <w:r>
                    <w:rPr>
                      <w:rFonts w:hint="eastAsi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968" w:type="dxa"/>
                  <w:vMerge w:val="continue"/>
                  <w:vAlign w:val="center"/>
                </w:tcPr>
                <w:p>
                  <w:pPr>
                    <w:pStyle w:val="86"/>
                  </w:pPr>
                </w:p>
              </w:tc>
              <w:tc>
                <w:tcPr>
                  <w:tcW w:w="1844" w:type="dxa"/>
                  <w:vAlign w:val="center"/>
                </w:tcPr>
                <w:p>
                  <w:pPr>
                    <w:pStyle w:val="86"/>
                    <w:rPr>
                      <w:color w:val="000000" w:themeColor="text1"/>
                      <w14:textFill>
                        <w14:solidFill>
                          <w14:schemeClr w14:val="tx1"/>
                        </w14:solidFill>
                      </w14:textFill>
                    </w:rPr>
                  </w:pPr>
                  <w:r>
                    <w:rPr>
                      <w:color w:val="000000" w:themeColor="text1"/>
                      <w14:textFill>
                        <w14:solidFill>
                          <w14:schemeClr w14:val="tx1"/>
                        </w14:solidFill>
                      </w14:textFill>
                    </w:rPr>
                    <w:t>污染物产生量（t/a）</w:t>
                  </w:r>
                </w:p>
              </w:tc>
              <w:tc>
                <w:tcPr>
                  <w:tcW w:w="775"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0.188</w:t>
                  </w:r>
                </w:p>
              </w:tc>
              <w:tc>
                <w:tcPr>
                  <w:tcW w:w="677"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0.105</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0.0516</w:t>
                  </w:r>
                </w:p>
              </w:tc>
              <w:tc>
                <w:tcPr>
                  <w:tcW w:w="69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0.01281</w:t>
                  </w:r>
                </w:p>
              </w:tc>
              <w:tc>
                <w:tcPr>
                  <w:tcW w:w="724"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0.00423</w:t>
                  </w:r>
                </w:p>
              </w:tc>
              <w:tc>
                <w:tcPr>
                  <w:tcW w:w="850"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0.0192</w:t>
                  </w:r>
                </w:p>
              </w:tc>
              <w:tc>
                <w:tcPr>
                  <w:tcW w:w="709" w:type="dxa"/>
                  <w:vAlign w:val="center"/>
                </w:tcPr>
                <w:p>
                  <w:pPr>
                    <w:pStyle w:val="86"/>
                    <w:rPr>
                      <w:color w:val="000000" w:themeColor="text1"/>
                      <w14:textFill>
                        <w14:solidFill>
                          <w14:schemeClr w14:val="tx1"/>
                        </w14:solidFill>
                      </w14:textFill>
                    </w:rPr>
                  </w:pPr>
                  <w:r>
                    <w:rPr>
                      <w:rFonts w:hint="eastAsia"/>
                      <w:color w:val="000000" w:themeColor="text1"/>
                      <w14:textFill>
                        <w14:solidFill>
                          <w14:schemeClr w14:val="tx1"/>
                        </w14:solidFill>
                      </w14:textFill>
                    </w:rPr>
                    <w:t>0.00098</w:t>
                  </w:r>
                </w:p>
              </w:tc>
              <w:tc>
                <w:tcPr>
                  <w:tcW w:w="818" w:type="dxa"/>
                  <w:vAlign w:val="center"/>
                </w:tcPr>
                <w:p>
                  <w:pPr>
                    <w:pStyle w:val="86"/>
                  </w:pPr>
                  <w:r>
                    <w:rPr>
                      <w:rFonts w:hint="eastAsia"/>
                      <w:color w:val="000000" w:themeColor="text1"/>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812" w:type="dxa"/>
                  <w:gridSpan w:val="2"/>
                  <w:vAlign w:val="center"/>
                </w:tcPr>
                <w:p>
                  <w:pPr>
                    <w:pStyle w:val="86"/>
                  </w:pPr>
                  <w:r>
                    <w:t>《污水综合排放标准》（GB8978-1996）中的三级标准</w:t>
                  </w:r>
                </w:p>
              </w:tc>
              <w:tc>
                <w:tcPr>
                  <w:tcW w:w="775" w:type="dxa"/>
                  <w:vAlign w:val="center"/>
                </w:tcPr>
                <w:p>
                  <w:pPr>
                    <w:pStyle w:val="86"/>
                  </w:pPr>
                  <w:r>
                    <w:t>500</w:t>
                  </w:r>
                </w:p>
              </w:tc>
              <w:tc>
                <w:tcPr>
                  <w:tcW w:w="677" w:type="dxa"/>
                  <w:vAlign w:val="center"/>
                </w:tcPr>
                <w:p>
                  <w:pPr>
                    <w:pStyle w:val="86"/>
                    <w:rPr>
                      <w:color w:val="FF0000"/>
                    </w:rPr>
                  </w:pPr>
                  <w:r>
                    <w:t>300</w:t>
                  </w:r>
                </w:p>
              </w:tc>
              <w:tc>
                <w:tcPr>
                  <w:tcW w:w="724" w:type="dxa"/>
                  <w:vAlign w:val="center"/>
                </w:tcPr>
                <w:p>
                  <w:pPr>
                    <w:pStyle w:val="86"/>
                    <w:rPr>
                      <w:color w:val="FF0000"/>
                    </w:rPr>
                  </w:pPr>
                  <w:r>
                    <w:t>400</w:t>
                  </w:r>
                </w:p>
              </w:tc>
              <w:tc>
                <w:tcPr>
                  <w:tcW w:w="694" w:type="dxa"/>
                  <w:vAlign w:val="center"/>
                </w:tcPr>
                <w:p>
                  <w:pPr>
                    <w:pStyle w:val="86"/>
                    <w:rPr>
                      <w:color w:val="FF0000"/>
                    </w:rPr>
                  </w:pPr>
                  <w:r>
                    <w:t>/</w:t>
                  </w:r>
                </w:p>
              </w:tc>
              <w:tc>
                <w:tcPr>
                  <w:tcW w:w="724" w:type="dxa"/>
                  <w:vAlign w:val="center"/>
                </w:tcPr>
                <w:p>
                  <w:pPr>
                    <w:pStyle w:val="86"/>
                  </w:pPr>
                  <w:r>
                    <w:t>/</w:t>
                  </w:r>
                </w:p>
              </w:tc>
              <w:tc>
                <w:tcPr>
                  <w:tcW w:w="850" w:type="dxa"/>
                  <w:vAlign w:val="center"/>
                </w:tcPr>
                <w:p>
                  <w:pPr>
                    <w:pStyle w:val="86"/>
                  </w:pPr>
                  <w:r>
                    <w:t>/</w:t>
                  </w:r>
                </w:p>
              </w:tc>
              <w:tc>
                <w:tcPr>
                  <w:tcW w:w="709" w:type="dxa"/>
                  <w:vAlign w:val="center"/>
                </w:tcPr>
                <w:p>
                  <w:pPr>
                    <w:pStyle w:val="86"/>
                  </w:pPr>
                  <w:r>
                    <w:t>/</w:t>
                  </w:r>
                </w:p>
              </w:tc>
              <w:tc>
                <w:tcPr>
                  <w:tcW w:w="818" w:type="dxa"/>
                  <w:vAlign w:val="center"/>
                </w:tcPr>
                <w:p>
                  <w:pPr>
                    <w:pStyle w:val="86"/>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812" w:type="dxa"/>
                  <w:gridSpan w:val="2"/>
                  <w:vAlign w:val="center"/>
                </w:tcPr>
                <w:p>
                  <w:pPr>
                    <w:pStyle w:val="86"/>
                  </w:pPr>
                  <w:r>
                    <w:t>《污水排入城镇下水道水质标准》（GB/T31962-2015）A级标准</w:t>
                  </w:r>
                </w:p>
              </w:tc>
              <w:tc>
                <w:tcPr>
                  <w:tcW w:w="775" w:type="dxa"/>
                  <w:vAlign w:val="center"/>
                </w:tcPr>
                <w:p>
                  <w:pPr>
                    <w:pStyle w:val="86"/>
                  </w:pPr>
                  <w:r>
                    <w:t>/</w:t>
                  </w:r>
                </w:p>
              </w:tc>
              <w:tc>
                <w:tcPr>
                  <w:tcW w:w="677" w:type="dxa"/>
                  <w:vAlign w:val="center"/>
                </w:tcPr>
                <w:p>
                  <w:pPr>
                    <w:pStyle w:val="86"/>
                    <w:rPr>
                      <w:color w:val="FF0000"/>
                    </w:rPr>
                  </w:pPr>
                  <w:r>
                    <w:t>/</w:t>
                  </w:r>
                </w:p>
              </w:tc>
              <w:tc>
                <w:tcPr>
                  <w:tcW w:w="724" w:type="dxa"/>
                  <w:vAlign w:val="center"/>
                </w:tcPr>
                <w:p>
                  <w:pPr>
                    <w:pStyle w:val="86"/>
                    <w:rPr>
                      <w:color w:val="FF0000"/>
                    </w:rPr>
                  </w:pPr>
                  <w:r>
                    <w:t>/</w:t>
                  </w:r>
                </w:p>
              </w:tc>
              <w:tc>
                <w:tcPr>
                  <w:tcW w:w="694" w:type="dxa"/>
                  <w:vAlign w:val="center"/>
                </w:tcPr>
                <w:p>
                  <w:pPr>
                    <w:pStyle w:val="86"/>
                    <w:rPr>
                      <w:color w:val="FF0000"/>
                    </w:rPr>
                  </w:pPr>
                  <w:r>
                    <w:t>45</w:t>
                  </w:r>
                </w:p>
              </w:tc>
              <w:tc>
                <w:tcPr>
                  <w:tcW w:w="724" w:type="dxa"/>
                  <w:vAlign w:val="center"/>
                </w:tcPr>
                <w:p>
                  <w:pPr>
                    <w:pStyle w:val="86"/>
                  </w:pPr>
                  <w:r>
                    <w:t>8</w:t>
                  </w:r>
                </w:p>
              </w:tc>
              <w:tc>
                <w:tcPr>
                  <w:tcW w:w="850" w:type="dxa"/>
                  <w:vAlign w:val="center"/>
                </w:tcPr>
                <w:p>
                  <w:pPr>
                    <w:pStyle w:val="86"/>
                  </w:pPr>
                  <w:r>
                    <w:t>70</w:t>
                  </w:r>
                </w:p>
              </w:tc>
              <w:tc>
                <w:tcPr>
                  <w:tcW w:w="709" w:type="dxa"/>
                  <w:vAlign w:val="center"/>
                </w:tcPr>
                <w:p>
                  <w:pPr>
                    <w:pStyle w:val="86"/>
                  </w:pPr>
                  <w:r>
                    <w:t>20</w:t>
                  </w:r>
                </w:p>
              </w:tc>
              <w:tc>
                <w:tcPr>
                  <w:tcW w:w="818" w:type="dxa"/>
                  <w:vAlign w:val="center"/>
                </w:tcPr>
                <w:p>
                  <w:pPr>
                    <w:pStyle w:val="86"/>
                  </w:pPr>
                  <w:r>
                    <w:t>15</w:t>
                  </w:r>
                </w:p>
              </w:tc>
            </w:tr>
          </w:tbl>
          <w:p>
            <w:pPr>
              <w:spacing w:line="520" w:lineRule="exact"/>
              <w:ind w:firstLine="480" w:firstLineChars="200"/>
              <w:rPr>
                <w:sz w:val="24"/>
              </w:rPr>
            </w:pPr>
            <w:r>
              <w:rPr>
                <w:sz w:val="24"/>
              </w:rPr>
              <w:t xml:space="preserve">由上表可知，项目废水污染物的排放浓度满足《污水综合排放标准》(GB68978-1996)表4中三级标准和《污水排入城镇下水道水质标准》（GB/T31962-2015）表1中A级标准。 </w:t>
            </w:r>
          </w:p>
          <w:p>
            <w:pPr>
              <w:spacing w:line="520" w:lineRule="exact"/>
              <w:ind w:firstLine="480" w:firstLineChars="200"/>
              <w:rPr>
                <w:sz w:val="24"/>
              </w:rPr>
            </w:pPr>
            <w:r>
              <w:rPr>
                <w:sz w:val="24"/>
              </w:rPr>
              <w:t>根据《环境影响评价技术导则 地表水环境》（HJ2.3-2018），项目生活污水经化粪池预处理后和经预处理的清洗废水一起由污水管网排至咸阳机场污水处理厂，因此本项目地表水环境评价等级为三级B。</w:t>
            </w:r>
          </w:p>
          <w:p>
            <w:pPr>
              <w:adjustRightInd w:val="0"/>
              <w:snapToGrid w:val="0"/>
              <w:spacing w:before="76" w:beforeLines="20" w:after="38" w:afterLines="10"/>
              <w:jc w:val="center"/>
              <w:rPr>
                <w:rFonts w:eastAsia="黑体"/>
                <w:sz w:val="24"/>
                <w:szCs w:val="24"/>
              </w:rPr>
            </w:pPr>
            <w:r>
              <w:rPr>
                <w:rFonts w:eastAsia="黑体"/>
                <w:sz w:val="24"/>
                <w:szCs w:val="24"/>
              </w:rPr>
              <w:t>表34   建设项目地表水环境影响评价自查表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370"/>
              <w:gridCol w:w="1244"/>
              <w:gridCol w:w="492"/>
              <w:gridCol w:w="116"/>
              <w:gridCol w:w="177"/>
              <w:gridCol w:w="808"/>
              <w:gridCol w:w="634"/>
              <w:gridCol w:w="550"/>
              <w:gridCol w:w="362"/>
              <w:gridCol w:w="11"/>
              <w:gridCol w:w="884"/>
              <w:gridCol w:w="100"/>
              <w:gridCol w:w="669"/>
              <w:gridCol w:w="9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823"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工作内容</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影响识别</w:t>
                  </w: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影响类型</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水污染影响型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r>
                    <w:rPr>
                      <w:rFonts w:ascii="Times New Roman" w:hAnsi="Times New Roman"/>
                      <w:sz w:val="21"/>
                      <w:szCs w:val="21"/>
                    </w:rPr>
                    <w:t>；水文要素影响型</w:t>
                  </w:r>
                  <w:r>
                    <w:rPr>
                      <w:rFonts w:ascii="Times New Roman" w:hAnsi="Times New Roman"/>
                      <w:sz w:val="21"/>
                      <w:szCs w:val="21"/>
                      <w:highlight w:val="none"/>
                    </w:rPr>
                    <w:t xml:space="preserve"> </w:t>
                  </w:r>
                  <w:r>
                    <w:rPr>
                      <w:rFonts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水环境保护目标</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应用</w:t>
                  </w:r>
                  <w:r>
                    <w:rPr>
                      <w:rFonts w:ascii="Times New Roman" w:hAnsi="Times New Roman"/>
                      <w:sz w:val="21"/>
                      <w:szCs w:val="21"/>
                      <w:highlight w:val="none"/>
                    </w:rPr>
                    <w:t>水水</w:t>
                  </w:r>
                  <w:r>
                    <w:rPr>
                      <w:rFonts w:ascii="Times New Roman" w:hAnsi="Times New Roman"/>
                      <w:sz w:val="21"/>
                      <w:szCs w:val="21"/>
                    </w:rPr>
                    <w:t xml:space="preserve">源保护区 </w:t>
                  </w:r>
                  <w:r>
                    <w:rPr>
                      <w:rFonts w:ascii="Times New Roman" w:hAnsi="Times New Roman"/>
                      <w:sz w:val="21"/>
                      <w:szCs w:val="21"/>
                      <w:highlight w:val="none"/>
                    </w:rPr>
                    <w:sym w:font="Wingdings 2" w:char="00A3"/>
                  </w:r>
                  <w:r>
                    <w:rPr>
                      <w:rFonts w:ascii="Times New Roman" w:hAnsi="Times New Roman"/>
                      <w:sz w:val="21"/>
                      <w:szCs w:val="21"/>
                    </w:rPr>
                    <w:t xml:space="preserve">；饮用水取水口 </w:t>
                  </w:r>
                  <w:r>
                    <w:rPr>
                      <w:rFonts w:ascii="Times New Roman" w:hAnsi="Times New Roman"/>
                      <w:sz w:val="21"/>
                      <w:szCs w:val="21"/>
                      <w:highlight w:val="none"/>
                    </w:rPr>
                    <w:sym w:font="Wingdings 2" w:char="00A3"/>
                  </w:r>
                  <w:r>
                    <w:rPr>
                      <w:rFonts w:ascii="Times New Roman" w:hAnsi="Times New Roman"/>
                      <w:sz w:val="21"/>
                      <w:szCs w:val="21"/>
                    </w:rPr>
                    <w:t xml:space="preserve">；涉水的自然保护区 </w:t>
                  </w:r>
                  <w:r>
                    <w:rPr>
                      <w:rFonts w:ascii="Times New Roman" w:hAnsi="Times New Roman"/>
                      <w:sz w:val="21"/>
                      <w:szCs w:val="21"/>
                      <w:highlight w:val="none"/>
                    </w:rPr>
                    <w:sym w:font="Wingdings 2" w:char="00A3"/>
                  </w:r>
                  <w:r>
                    <w:rPr>
                      <w:rFonts w:ascii="Times New Roman" w:hAnsi="Times New Roman"/>
                      <w:sz w:val="21"/>
                      <w:szCs w:val="21"/>
                    </w:rPr>
                    <w:t xml:space="preserve">；重要湿地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重点保护与珍稀水生生物的栖息地 </w:t>
                  </w:r>
                  <w:r>
                    <w:rPr>
                      <w:rFonts w:ascii="Times New Roman" w:hAnsi="Times New Roman"/>
                      <w:sz w:val="21"/>
                      <w:szCs w:val="21"/>
                      <w:highlight w:val="none"/>
                    </w:rPr>
                    <w:sym w:font="Wingdings 2" w:char="00A3"/>
                  </w:r>
                  <w:r>
                    <w:rPr>
                      <w:rFonts w:ascii="Times New Roman" w:hAnsi="Times New Roman"/>
                      <w:sz w:val="21"/>
                      <w:szCs w:val="21"/>
                    </w:rPr>
                    <w:t xml:space="preserve">；重要水生生物的自然产卵地及索耳场、越冬场和洄游通道、天然渔场等水体；涉水的风景名胜区 </w:t>
                  </w:r>
                  <w:r>
                    <w:rPr>
                      <w:rFonts w:ascii="Times New Roman" w:hAnsi="Times New Roman"/>
                      <w:sz w:val="21"/>
                      <w:szCs w:val="21"/>
                      <w:highlight w:val="none"/>
                    </w:rPr>
                    <w:sym w:font="Wingdings 2" w:char="00A3"/>
                  </w:r>
                  <w:r>
                    <w:rPr>
                      <w:rFonts w:ascii="Times New Roman" w:hAnsi="Times New Roman"/>
                      <w:sz w:val="21"/>
                      <w:szCs w:val="21"/>
                    </w:rPr>
                    <w:t>；其他</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影响途径</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水污染影响型</w:t>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直接排放 </w:t>
                  </w:r>
                  <w:r>
                    <w:rPr>
                      <w:rFonts w:ascii="Times New Roman" w:hAnsi="Times New Roman"/>
                      <w:sz w:val="21"/>
                      <w:szCs w:val="21"/>
                      <w:highlight w:val="none"/>
                    </w:rPr>
                    <w:sym w:font="Wingdings 2" w:char="00A3"/>
                  </w:r>
                  <w:r>
                    <w:rPr>
                      <w:rFonts w:ascii="Times New Roman" w:hAnsi="Times New Roman"/>
                      <w:sz w:val="21"/>
                      <w:szCs w:val="21"/>
                    </w:rPr>
                    <w:t xml:space="preserve">；间接排放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r>
                    <w:rPr>
                      <w:rFonts w:ascii="Times New Roman" w:hAnsi="Times New Roman"/>
                      <w:sz w:val="21"/>
                      <w:szCs w:val="21"/>
                    </w:rPr>
                    <w:t>；其他</w:t>
                  </w:r>
                  <w:r>
                    <w:rPr>
                      <w:rFonts w:ascii="Times New Roman" w:hAnsi="Times New Roman"/>
                      <w:sz w:val="21"/>
                      <w:szCs w:val="21"/>
                      <w:highlight w:val="none"/>
                    </w:rPr>
                    <w:t xml:space="preserve"> </w:t>
                  </w:r>
                  <w:r>
                    <w:rPr>
                      <w:rFonts w:ascii="Times New Roman" w:hAnsi="Times New Roman"/>
                      <w:sz w:val="21"/>
                      <w:szCs w:val="21"/>
                    </w:rPr>
                    <w:sym w:font="Wingdings 2" w:char="00A3"/>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水温 </w:t>
                  </w:r>
                  <w:r>
                    <w:rPr>
                      <w:rFonts w:ascii="Times New Roman" w:hAnsi="Times New Roman"/>
                      <w:sz w:val="21"/>
                      <w:szCs w:val="21"/>
                      <w:highlight w:val="none"/>
                    </w:rPr>
                    <w:sym w:font="Wingdings 2" w:char="00A3"/>
                  </w:r>
                  <w:r>
                    <w:rPr>
                      <w:rFonts w:ascii="Times New Roman" w:hAnsi="Times New Roman"/>
                      <w:sz w:val="21"/>
                      <w:szCs w:val="21"/>
                    </w:rPr>
                    <w:t xml:space="preserve">；径流 </w:t>
                  </w:r>
                  <w:r>
                    <w:rPr>
                      <w:rFonts w:ascii="Times New Roman" w:hAnsi="Times New Roman"/>
                      <w:sz w:val="21"/>
                      <w:szCs w:val="21"/>
                      <w:highlight w:val="none"/>
                    </w:rPr>
                    <w:sym w:font="Wingdings 2" w:char="00A3"/>
                  </w:r>
                  <w:r>
                    <w:rPr>
                      <w:rFonts w:ascii="Times New Roman" w:hAnsi="Times New Roman"/>
                      <w:sz w:val="21"/>
                      <w:szCs w:val="21"/>
                    </w:rPr>
                    <w:t xml:space="preserve">；水域面积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影响因子</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持久性污染物 </w:t>
                  </w:r>
                  <w:r>
                    <w:rPr>
                      <w:rFonts w:ascii="Times New Roman" w:hAnsi="Times New Roman"/>
                      <w:sz w:val="21"/>
                      <w:szCs w:val="21"/>
                      <w:highlight w:val="none"/>
                    </w:rPr>
                    <w:sym w:font="Wingdings 2" w:char="00A3"/>
                  </w:r>
                  <w:r>
                    <w:rPr>
                      <w:rFonts w:ascii="Times New Roman" w:hAnsi="Times New Roman"/>
                      <w:sz w:val="21"/>
                      <w:szCs w:val="21"/>
                    </w:rPr>
                    <w:t xml:space="preserve">；有毒有害污染物 </w:t>
                  </w:r>
                  <w:r>
                    <w:rPr>
                      <w:rFonts w:ascii="Times New Roman" w:hAnsi="Times New Roman"/>
                      <w:sz w:val="21"/>
                      <w:szCs w:val="21"/>
                      <w:highlight w:val="none"/>
                    </w:rPr>
                    <w:sym w:font="Wingdings 2" w:char="00A3"/>
                  </w:r>
                  <w:r>
                    <w:rPr>
                      <w:rFonts w:ascii="Times New Roman" w:hAnsi="Times New Roman"/>
                      <w:sz w:val="21"/>
                      <w:szCs w:val="21"/>
                    </w:rPr>
                    <w:t xml:space="preserve">；非持久性污染物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r>
                    <w:rPr>
                      <w:rFonts w:ascii="Times New Roman" w:hAnsi="Times New Roman"/>
                      <w:sz w:val="21"/>
                      <w:szCs w:val="21"/>
                    </w:rPr>
                    <w:t>；pH值</w:t>
                  </w:r>
                  <w:r>
                    <w:rPr>
                      <w:rFonts w:ascii="Times New Roman" w:hAnsi="Times New Roman"/>
                      <w:sz w:val="21"/>
                      <w:szCs w:val="21"/>
                      <w:highlight w:val="none"/>
                    </w:rPr>
                    <w:t xml:space="preserve"> </w:t>
                  </w:r>
                  <w:r>
                    <w:rPr>
                      <w:rFonts w:ascii="Times New Roman" w:hAnsi="Times New Roman"/>
                      <w:sz w:val="21"/>
                      <w:szCs w:val="21"/>
                    </w:rPr>
                    <w:sym w:font="Wingdings 2" w:char="00A3"/>
                  </w:r>
                  <w:r>
                    <w:rPr>
                      <w:rFonts w:ascii="Times New Roman" w:hAnsi="Times New Roman"/>
                      <w:sz w:val="21"/>
                      <w:szCs w:val="21"/>
                    </w:rPr>
                    <w:t>；热污染</w:t>
                  </w:r>
                  <w:r>
                    <w:rPr>
                      <w:rFonts w:ascii="Times New Roman" w:hAnsi="Times New Roman"/>
                      <w:sz w:val="21"/>
                      <w:szCs w:val="21"/>
                      <w:highlight w:val="none"/>
                    </w:rPr>
                    <w:t xml:space="preserve"> </w:t>
                  </w:r>
                  <w:r>
                    <w:rPr>
                      <w:rFonts w:ascii="Times New Roman" w:hAnsi="Times New Roman"/>
                      <w:sz w:val="21"/>
                      <w:szCs w:val="21"/>
                    </w:rPr>
                    <w:sym w:font="Wingdings 2" w:char="00A3"/>
                  </w:r>
                  <w:r>
                    <w:rPr>
                      <w:rFonts w:ascii="Times New Roman" w:hAnsi="Times New Roman"/>
                      <w:sz w:val="21"/>
                      <w:szCs w:val="21"/>
                    </w:rPr>
                    <w:t>；富营养化</w:t>
                  </w:r>
                  <w:r>
                    <w:rPr>
                      <w:rFonts w:ascii="Times New Roman" w:hAnsi="Times New Roman"/>
                      <w:sz w:val="21"/>
                      <w:szCs w:val="21"/>
                      <w:highlight w:val="none"/>
                    </w:rPr>
                    <w:t xml:space="preserve"> </w:t>
                  </w:r>
                  <w:r>
                    <w:rPr>
                      <w:rFonts w:ascii="Times New Roman" w:hAnsi="Times New Roman"/>
                      <w:sz w:val="21"/>
                      <w:szCs w:val="21"/>
                    </w:rPr>
                    <w:sym w:font="Wingdings 2" w:char="00A3"/>
                  </w:r>
                  <w:r>
                    <w:rPr>
                      <w:rFonts w:ascii="Times New Roman" w:hAnsi="Times New Roman"/>
                      <w:sz w:val="21"/>
                      <w:szCs w:val="21"/>
                    </w:rPr>
                    <w:t>；其他</w:t>
                  </w:r>
                  <w:r>
                    <w:rPr>
                      <w:rFonts w:ascii="Times New Roman" w:hAnsi="Times New Roman"/>
                      <w:sz w:val="21"/>
                      <w:szCs w:val="21"/>
                      <w:highlight w:val="none"/>
                    </w:rPr>
                    <w:t xml:space="preserve"> </w:t>
                  </w:r>
                  <w:r>
                    <w:rPr>
                      <w:rFonts w:ascii="Times New Roman" w:hAnsi="Times New Roman"/>
                      <w:sz w:val="21"/>
                      <w:szCs w:val="21"/>
                    </w:rPr>
                    <w:sym w:font="Wingdings 2" w:char="00A3"/>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水温 </w:t>
                  </w:r>
                  <w:r>
                    <w:rPr>
                      <w:rFonts w:ascii="Times New Roman" w:hAnsi="Times New Roman"/>
                      <w:sz w:val="21"/>
                      <w:szCs w:val="21"/>
                      <w:highlight w:val="none"/>
                    </w:rPr>
                    <w:sym w:font="Wingdings 2" w:char="00A3"/>
                  </w:r>
                  <w:r>
                    <w:rPr>
                      <w:rFonts w:ascii="Times New Roman" w:hAnsi="Times New Roman"/>
                      <w:sz w:val="21"/>
                      <w:szCs w:val="21"/>
                    </w:rPr>
                    <w:t xml:space="preserve">；水位（水深） </w:t>
                  </w:r>
                  <w:r>
                    <w:rPr>
                      <w:rFonts w:ascii="Times New Roman" w:hAnsi="Times New Roman"/>
                      <w:sz w:val="21"/>
                      <w:szCs w:val="21"/>
                      <w:highlight w:val="none"/>
                    </w:rPr>
                    <w:sym w:font="Wingdings 2" w:char="00A3"/>
                  </w:r>
                  <w:r>
                    <w:rPr>
                      <w:rFonts w:ascii="Times New Roman" w:hAnsi="Times New Roman"/>
                      <w:sz w:val="21"/>
                      <w:szCs w:val="21"/>
                    </w:rPr>
                    <w:t xml:space="preserve">；流速 </w:t>
                  </w:r>
                  <w:r>
                    <w:rPr>
                      <w:rFonts w:ascii="Times New Roman" w:hAnsi="Times New Roman"/>
                      <w:sz w:val="21"/>
                      <w:szCs w:val="21"/>
                      <w:highlight w:val="none"/>
                    </w:rPr>
                    <w:sym w:font="Wingdings 2" w:char="00A3"/>
                  </w:r>
                  <w:r>
                    <w:rPr>
                      <w:rFonts w:ascii="Times New Roman" w:hAnsi="Times New Roman"/>
                      <w:sz w:val="21"/>
                      <w:szCs w:val="21"/>
                    </w:rPr>
                    <w:t xml:space="preserve">；流量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823" w:type="dxa"/>
                  <w:gridSpan w:val="2"/>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评价等级</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水污染影响型</w:t>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823" w:type="dxa"/>
                  <w:gridSpan w:val="2"/>
                  <w:vMerge w:val="continue"/>
                  <w:shd w:val="clear" w:color="auto" w:fill="auto"/>
                  <w:vAlign w:val="center"/>
                </w:tcPr>
                <w:p>
                  <w:pPr>
                    <w:pStyle w:val="3"/>
                    <w:spacing w:after="0"/>
                    <w:ind w:left="0" w:leftChars="0"/>
                    <w:rPr>
                      <w:rFonts w:ascii="Times New Roman" w:hAnsi="Times New Roman"/>
                      <w:sz w:val="21"/>
                      <w:szCs w:val="21"/>
                    </w:rPr>
                  </w:pP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一级 </w:t>
                  </w:r>
                  <w:r>
                    <w:rPr>
                      <w:rFonts w:ascii="Times New Roman" w:hAnsi="Times New Roman"/>
                      <w:sz w:val="21"/>
                      <w:szCs w:val="21"/>
                      <w:highlight w:val="none"/>
                    </w:rPr>
                    <w:sym w:font="Wingdings 2" w:char="00A3"/>
                  </w:r>
                  <w:r>
                    <w:rPr>
                      <w:rFonts w:ascii="Times New Roman" w:hAnsi="Times New Roman"/>
                      <w:sz w:val="21"/>
                      <w:szCs w:val="21"/>
                    </w:rPr>
                    <w:t xml:space="preserve">；二级 </w:t>
                  </w:r>
                  <w:r>
                    <w:rPr>
                      <w:rFonts w:ascii="Times New Roman" w:hAnsi="Times New Roman"/>
                      <w:sz w:val="21"/>
                      <w:szCs w:val="21"/>
                      <w:highlight w:val="none"/>
                    </w:rPr>
                    <w:sym w:font="Wingdings 2" w:char="00A3"/>
                  </w:r>
                  <w:r>
                    <w:rPr>
                      <w:rFonts w:ascii="Times New Roman" w:hAnsi="Times New Roman"/>
                      <w:sz w:val="21"/>
                      <w:szCs w:val="21"/>
                    </w:rPr>
                    <w:t xml:space="preserve">；三级A </w:t>
                  </w:r>
                  <w:r>
                    <w:rPr>
                      <w:rFonts w:ascii="Times New Roman" w:hAnsi="Times New Roman"/>
                      <w:sz w:val="21"/>
                      <w:szCs w:val="21"/>
                      <w:highlight w:val="none"/>
                    </w:rPr>
                    <w:sym w:font="Wingdings 2" w:char="00A3"/>
                  </w:r>
                  <w:r>
                    <w:rPr>
                      <w:rFonts w:ascii="Times New Roman" w:hAnsi="Times New Roman"/>
                      <w:sz w:val="21"/>
                      <w:szCs w:val="21"/>
                    </w:rPr>
                    <w:t xml:space="preserve">；三级B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一级 </w:t>
                  </w:r>
                  <w:r>
                    <w:rPr>
                      <w:rFonts w:ascii="Times New Roman" w:hAnsi="Times New Roman"/>
                      <w:sz w:val="21"/>
                      <w:szCs w:val="21"/>
                      <w:highlight w:val="none"/>
                    </w:rPr>
                    <w:sym w:font="Wingdings 2" w:char="00A3"/>
                  </w:r>
                  <w:r>
                    <w:rPr>
                      <w:rFonts w:ascii="Times New Roman" w:hAnsi="Times New Roman"/>
                      <w:sz w:val="21"/>
                      <w:szCs w:val="21"/>
                    </w:rPr>
                    <w:t xml:space="preserve">；二级 </w:t>
                  </w:r>
                  <w:r>
                    <w:rPr>
                      <w:rFonts w:ascii="Times New Roman" w:hAnsi="Times New Roman"/>
                      <w:sz w:val="21"/>
                      <w:szCs w:val="21"/>
                      <w:highlight w:val="none"/>
                    </w:rPr>
                    <w:sym w:font="Wingdings 2" w:char="00A3"/>
                  </w:r>
                  <w:r>
                    <w:rPr>
                      <w:rFonts w:ascii="Times New Roman" w:hAnsi="Times New Roman"/>
                      <w:sz w:val="21"/>
                      <w:szCs w:val="21"/>
                    </w:rPr>
                    <w:t xml:space="preserve">；三级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现状调查</w:t>
                  </w: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区域污染源</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调查项目</w:t>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2029"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已建 </w:t>
                  </w:r>
                  <w:r>
                    <w:rPr>
                      <w:rFonts w:ascii="Times New Roman" w:hAnsi="Times New Roman"/>
                      <w:sz w:val="21"/>
                      <w:szCs w:val="21"/>
                      <w:highlight w:val="none"/>
                    </w:rPr>
                    <w:sym w:font="Wingdings 2" w:char="00A3"/>
                  </w:r>
                  <w:r>
                    <w:rPr>
                      <w:rFonts w:ascii="Times New Roman" w:hAnsi="Times New Roman"/>
                      <w:sz w:val="21"/>
                      <w:szCs w:val="21"/>
                    </w:rPr>
                    <w:t xml:space="preserve">；在建 </w:t>
                  </w:r>
                  <w:r>
                    <w:rPr>
                      <w:rFonts w:ascii="Times New Roman" w:hAnsi="Times New Roman"/>
                      <w:sz w:val="21"/>
                      <w:szCs w:val="21"/>
                      <w:highlight w:val="none"/>
                    </w:rPr>
                    <w:sym w:font="Wingdings 2" w:char="00A3"/>
                  </w:r>
                  <w:r>
                    <w:rPr>
                      <w:rFonts w:ascii="Times New Roman" w:hAnsi="Times New Roman"/>
                      <w:sz w:val="21"/>
                      <w:szCs w:val="21"/>
                    </w:rPr>
                    <w:t xml:space="preserve">；拟建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r>
                    <w:rPr>
                      <w:rFonts w:ascii="Times New Roman" w:hAnsi="Times New Roman"/>
                      <w:sz w:val="21"/>
                      <w:szCs w:val="21"/>
                    </w:rPr>
                    <w:t>；</w:t>
                  </w:r>
                </w:p>
              </w:tc>
              <w:tc>
                <w:tcPr>
                  <w:tcW w:w="1442"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拟替代的污染源 </w:t>
                  </w:r>
                  <w:r>
                    <w:rPr>
                      <w:rFonts w:ascii="Times New Roman" w:hAnsi="Times New Roman"/>
                      <w:sz w:val="21"/>
                      <w:szCs w:val="21"/>
                      <w:highlight w:val="none"/>
                    </w:rPr>
                    <w:sym w:font="Wingdings 2" w:char="00A3"/>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排污许可证 </w:t>
                  </w:r>
                  <w:r>
                    <w:rPr>
                      <w:rFonts w:ascii="Times New Roman" w:hAnsi="Times New Roman"/>
                      <w:sz w:val="21"/>
                      <w:szCs w:val="21"/>
                      <w:highlight w:val="none"/>
                    </w:rPr>
                    <w:sym w:font="Wingdings 2" w:char="00A3"/>
                  </w:r>
                  <w:r>
                    <w:rPr>
                      <w:rFonts w:ascii="Times New Roman" w:hAnsi="Times New Roman"/>
                      <w:sz w:val="21"/>
                      <w:szCs w:val="21"/>
                    </w:rPr>
                    <w:t xml:space="preserve">；环评 </w:t>
                  </w:r>
                  <w:r>
                    <w:rPr>
                      <w:rFonts w:ascii="Times New Roman" w:hAnsi="Times New Roman"/>
                      <w:sz w:val="21"/>
                      <w:szCs w:val="21"/>
                      <w:highlight w:val="none"/>
                    </w:rPr>
                    <w:sym w:font="Wingdings 2" w:char="00A3"/>
                  </w:r>
                  <w:r>
                    <w:rPr>
                      <w:rFonts w:ascii="Times New Roman" w:hAnsi="Times New Roman"/>
                      <w:sz w:val="21"/>
                      <w:szCs w:val="21"/>
                    </w:rPr>
                    <w:t xml:space="preserve">；环保验收 </w:t>
                  </w:r>
                  <w:r>
                    <w:rPr>
                      <w:rFonts w:ascii="Times New Roman" w:hAnsi="Times New Roman"/>
                      <w:sz w:val="21"/>
                      <w:szCs w:val="21"/>
                      <w:highlight w:val="none"/>
                    </w:rPr>
                    <w:sym w:font="Wingdings 2" w:char="00A3"/>
                  </w:r>
                  <w:r>
                    <w:rPr>
                      <w:rFonts w:ascii="Times New Roman" w:hAnsi="Times New Roman"/>
                      <w:sz w:val="21"/>
                      <w:szCs w:val="21"/>
                    </w:rPr>
                    <w:t xml:space="preserve">；即有实测 </w:t>
                  </w:r>
                  <w:r>
                    <w:rPr>
                      <w:rFonts w:ascii="Times New Roman" w:hAnsi="Times New Roman"/>
                      <w:sz w:val="21"/>
                      <w:szCs w:val="21"/>
                      <w:highlight w:val="none"/>
                    </w:rPr>
                    <w:sym w:font="Wingdings 2" w:char="00A3"/>
                  </w:r>
                  <w:r>
                    <w:rPr>
                      <w:rFonts w:ascii="Times New Roman" w:hAnsi="Times New Roman"/>
                      <w:sz w:val="21"/>
                      <w:szCs w:val="21"/>
                    </w:rPr>
                    <w:t xml:space="preserve">；现场监测 </w:t>
                  </w:r>
                  <w:r>
                    <w:rPr>
                      <w:rFonts w:ascii="Times New Roman" w:hAnsi="Times New Roman"/>
                      <w:sz w:val="21"/>
                      <w:szCs w:val="21"/>
                      <w:highlight w:val="none"/>
                    </w:rPr>
                    <w:sym w:font="Wingdings 2" w:char="00A3"/>
                  </w:r>
                  <w:r>
                    <w:rPr>
                      <w:rFonts w:ascii="Times New Roman" w:hAnsi="Times New Roman"/>
                      <w:sz w:val="21"/>
                      <w:szCs w:val="21"/>
                    </w:rPr>
                    <w:t xml:space="preserve">；入河排放口数据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受影响水体水环境质量</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调查时期</w:t>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丰水期 </w:t>
                  </w:r>
                  <w:r>
                    <w:rPr>
                      <w:rFonts w:ascii="Times New Roman" w:hAnsi="Times New Roman"/>
                      <w:sz w:val="21"/>
                      <w:szCs w:val="21"/>
                      <w:highlight w:val="none"/>
                    </w:rPr>
                    <w:sym w:font="Wingdings 2" w:char="00A3"/>
                  </w:r>
                  <w:r>
                    <w:rPr>
                      <w:rFonts w:ascii="Times New Roman" w:hAnsi="Times New Roman"/>
                      <w:sz w:val="21"/>
                      <w:szCs w:val="21"/>
                    </w:rPr>
                    <w:t xml:space="preserve">；平水期 </w:t>
                  </w:r>
                  <w:r>
                    <w:rPr>
                      <w:rFonts w:ascii="Times New Roman" w:hAnsi="Times New Roman"/>
                      <w:sz w:val="21"/>
                      <w:szCs w:val="21"/>
                      <w:highlight w:val="none"/>
                    </w:rPr>
                    <w:sym w:font="Wingdings 2" w:char="00A3"/>
                  </w:r>
                  <w:r>
                    <w:rPr>
                      <w:rFonts w:ascii="Times New Roman" w:hAnsi="Times New Roman"/>
                      <w:sz w:val="21"/>
                      <w:szCs w:val="21"/>
                    </w:rPr>
                    <w:t xml:space="preserve">；枯水期 </w:t>
                  </w:r>
                  <w:r>
                    <w:rPr>
                      <w:rFonts w:ascii="Times New Roman" w:hAnsi="Times New Roman"/>
                      <w:sz w:val="21"/>
                      <w:szCs w:val="21"/>
                      <w:highlight w:val="none"/>
                    </w:rPr>
                    <w:sym w:font="Wingdings 2" w:char="00A3"/>
                  </w:r>
                  <w:r>
                    <w:rPr>
                      <w:rFonts w:ascii="Times New Roman" w:hAnsi="Times New Roman"/>
                      <w:sz w:val="21"/>
                      <w:szCs w:val="21"/>
                    </w:rPr>
                    <w:t xml:space="preserve">；冰封期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春季 </w:t>
                  </w:r>
                  <w:r>
                    <w:rPr>
                      <w:rFonts w:ascii="Times New Roman" w:hAnsi="Times New Roman"/>
                      <w:sz w:val="21"/>
                      <w:szCs w:val="21"/>
                      <w:highlight w:val="none"/>
                    </w:rPr>
                    <w:sym w:font="Wingdings 2" w:char="00A3"/>
                  </w:r>
                  <w:r>
                    <w:rPr>
                      <w:rFonts w:ascii="Times New Roman" w:hAnsi="Times New Roman"/>
                      <w:sz w:val="21"/>
                      <w:szCs w:val="21"/>
                    </w:rPr>
                    <w:t xml:space="preserve">；夏季 </w:t>
                  </w:r>
                  <w:r>
                    <w:rPr>
                      <w:rFonts w:ascii="Times New Roman" w:hAnsi="Times New Roman"/>
                      <w:sz w:val="21"/>
                      <w:szCs w:val="21"/>
                      <w:highlight w:val="none"/>
                    </w:rPr>
                    <w:sym w:font="Wingdings 2" w:char="00A3"/>
                  </w:r>
                  <w:r>
                    <w:rPr>
                      <w:rFonts w:ascii="Times New Roman" w:hAnsi="Times New Roman"/>
                      <w:sz w:val="21"/>
                      <w:szCs w:val="21"/>
                    </w:rPr>
                    <w:t xml:space="preserve">；秋季 </w:t>
                  </w:r>
                  <w:r>
                    <w:rPr>
                      <w:rFonts w:ascii="Times New Roman" w:hAnsi="Times New Roman"/>
                      <w:sz w:val="21"/>
                      <w:szCs w:val="21"/>
                      <w:highlight w:val="none"/>
                    </w:rPr>
                    <w:sym w:font="Wingdings 2" w:char="00A3"/>
                  </w:r>
                  <w:r>
                    <w:rPr>
                      <w:rFonts w:ascii="Times New Roman" w:hAnsi="Times New Roman"/>
                      <w:sz w:val="21"/>
                      <w:szCs w:val="21"/>
                    </w:rPr>
                    <w:t xml:space="preserve">；冬季 </w:t>
                  </w:r>
                  <w:r>
                    <w:rPr>
                      <w:rFonts w:ascii="Times New Roman" w:hAnsi="Times New Roman"/>
                      <w:sz w:val="21"/>
                      <w:szCs w:val="21"/>
                      <w:highlight w:val="none"/>
                    </w:rPr>
                    <w:sym w:font="Wingdings 2" w:char="00A3"/>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生态环境保护主管部门 </w:t>
                  </w:r>
                  <w:r>
                    <w:rPr>
                      <w:rFonts w:ascii="Times New Roman" w:hAnsi="Times New Roman"/>
                      <w:sz w:val="21"/>
                      <w:szCs w:val="21"/>
                      <w:highlight w:val="none"/>
                    </w:rPr>
                    <w:sym w:font="Wingdings 2" w:char="00A3"/>
                  </w:r>
                  <w:r>
                    <w:rPr>
                      <w:rFonts w:ascii="Times New Roman" w:hAnsi="Times New Roman"/>
                      <w:sz w:val="21"/>
                      <w:szCs w:val="21"/>
                    </w:rPr>
                    <w:t xml:space="preserve">；补充监测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区域水资源开发利用状况</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未开发 </w:t>
                  </w:r>
                  <w:r>
                    <w:rPr>
                      <w:rFonts w:ascii="Times New Roman" w:hAnsi="Times New Roman"/>
                      <w:sz w:val="21"/>
                      <w:szCs w:val="21"/>
                      <w:highlight w:val="none"/>
                    </w:rPr>
                    <w:sym w:font="Wingdings 2" w:char="00A3"/>
                  </w:r>
                  <w:r>
                    <w:rPr>
                      <w:rFonts w:ascii="Times New Roman" w:hAnsi="Times New Roman"/>
                      <w:sz w:val="21"/>
                      <w:szCs w:val="21"/>
                    </w:rPr>
                    <w:t xml:space="preserve">；开发量40%以下 </w:t>
                  </w:r>
                  <w:r>
                    <w:rPr>
                      <w:rFonts w:ascii="Times New Roman" w:hAnsi="Times New Roman"/>
                      <w:sz w:val="21"/>
                      <w:szCs w:val="21"/>
                      <w:highlight w:val="none"/>
                    </w:rPr>
                    <w:sym w:font="Wingdings 2" w:char="00A3"/>
                  </w:r>
                  <w:r>
                    <w:rPr>
                      <w:rFonts w:ascii="Times New Roman" w:hAnsi="Times New Roman"/>
                      <w:sz w:val="21"/>
                      <w:szCs w:val="21"/>
                    </w:rPr>
                    <w:t xml:space="preserve">；开发量40%以上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水文情势调查</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调查时期</w:t>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丰水期 </w:t>
                  </w:r>
                  <w:r>
                    <w:rPr>
                      <w:rFonts w:ascii="Times New Roman" w:hAnsi="Times New Roman"/>
                      <w:sz w:val="21"/>
                      <w:szCs w:val="21"/>
                      <w:highlight w:val="none"/>
                    </w:rPr>
                    <w:sym w:font="Wingdings 2" w:char="00A3"/>
                  </w:r>
                  <w:r>
                    <w:rPr>
                      <w:rFonts w:ascii="Times New Roman" w:hAnsi="Times New Roman"/>
                      <w:sz w:val="21"/>
                      <w:szCs w:val="21"/>
                    </w:rPr>
                    <w:t xml:space="preserve">；平水期 </w:t>
                  </w:r>
                  <w:r>
                    <w:rPr>
                      <w:rFonts w:ascii="Times New Roman" w:hAnsi="Times New Roman"/>
                      <w:sz w:val="21"/>
                      <w:szCs w:val="21"/>
                      <w:highlight w:val="none"/>
                    </w:rPr>
                    <w:sym w:font="Wingdings 2" w:char="00A3"/>
                  </w:r>
                  <w:r>
                    <w:rPr>
                      <w:rFonts w:ascii="Times New Roman" w:hAnsi="Times New Roman"/>
                      <w:sz w:val="21"/>
                      <w:szCs w:val="21"/>
                    </w:rPr>
                    <w:t xml:space="preserve">；枯水期 </w:t>
                  </w:r>
                  <w:r>
                    <w:rPr>
                      <w:rFonts w:ascii="Times New Roman" w:hAnsi="Times New Roman"/>
                      <w:sz w:val="21"/>
                      <w:szCs w:val="21"/>
                      <w:highlight w:val="none"/>
                    </w:rPr>
                    <w:sym w:font="Wingdings 2" w:char="00A3"/>
                  </w:r>
                  <w:r>
                    <w:rPr>
                      <w:rFonts w:ascii="Times New Roman" w:hAnsi="Times New Roman"/>
                      <w:sz w:val="21"/>
                      <w:szCs w:val="21"/>
                    </w:rPr>
                    <w:t xml:space="preserve">；冰封期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春季 </w:t>
                  </w:r>
                  <w:r>
                    <w:rPr>
                      <w:rFonts w:ascii="Times New Roman" w:hAnsi="Times New Roman"/>
                      <w:sz w:val="21"/>
                      <w:szCs w:val="21"/>
                      <w:highlight w:val="none"/>
                    </w:rPr>
                    <w:sym w:font="Wingdings 2" w:char="00A3"/>
                  </w:r>
                  <w:r>
                    <w:rPr>
                      <w:rFonts w:ascii="Times New Roman" w:hAnsi="Times New Roman"/>
                      <w:sz w:val="21"/>
                      <w:szCs w:val="21"/>
                    </w:rPr>
                    <w:t xml:space="preserve">；夏季 </w:t>
                  </w:r>
                  <w:r>
                    <w:rPr>
                      <w:rFonts w:ascii="Times New Roman" w:hAnsi="Times New Roman"/>
                      <w:sz w:val="21"/>
                      <w:szCs w:val="21"/>
                      <w:highlight w:val="none"/>
                    </w:rPr>
                    <w:sym w:font="Wingdings 2" w:char="00A3"/>
                  </w:r>
                  <w:r>
                    <w:rPr>
                      <w:rFonts w:ascii="Times New Roman" w:hAnsi="Times New Roman"/>
                      <w:sz w:val="21"/>
                      <w:szCs w:val="21"/>
                    </w:rPr>
                    <w:t xml:space="preserve">；秋季 </w:t>
                  </w:r>
                  <w:r>
                    <w:rPr>
                      <w:rFonts w:ascii="Times New Roman" w:hAnsi="Times New Roman"/>
                      <w:sz w:val="21"/>
                      <w:szCs w:val="21"/>
                      <w:highlight w:val="none"/>
                    </w:rPr>
                    <w:sym w:font="Wingdings 2" w:char="00A3"/>
                  </w:r>
                  <w:r>
                    <w:rPr>
                      <w:rFonts w:ascii="Times New Roman" w:hAnsi="Times New Roman"/>
                      <w:sz w:val="21"/>
                      <w:szCs w:val="21"/>
                    </w:rPr>
                    <w:t xml:space="preserve">；冬季 </w:t>
                  </w:r>
                  <w:r>
                    <w:rPr>
                      <w:rFonts w:ascii="Times New Roman" w:hAnsi="Times New Roman"/>
                      <w:sz w:val="21"/>
                      <w:szCs w:val="21"/>
                      <w:highlight w:val="none"/>
                    </w:rPr>
                    <w:sym w:font="Wingdings 2" w:char="00A3"/>
                  </w:r>
                </w:p>
              </w:tc>
              <w:tc>
                <w:tcPr>
                  <w:tcW w:w="3489"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水行政主管部门 </w:t>
                  </w:r>
                  <w:r>
                    <w:rPr>
                      <w:rFonts w:ascii="Times New Roman" w:hAnsi="Times New Roman"/>
                      <w:sz w:val="21"/>
                      <w:szCs w:val="21"/>
                      <w:highlight w:val="none"/>
                    </w:rPr>
                    <w:sym w:font="Wingdings 2" w:char="00A3"/>
                  </w:r>
                  <w:r>
                    <w:rPr>
                      <w:rFonts w:ascii="Times New Roman" w:hAnsi="Times New Roman"/>
                      <w:sz w:val="21"/>
                      <w:szCs w:val="21"/>
                    </w:rPr>
                    <w:t xml:space="preserve">；补充监测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补充监测</w:t>
                  </w: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监测时期</w:t>
                  </w:r>
                </w:p>
              </w:tc>
              <w:tc>
                <w:tcPr>
                  <w:tcW w:w="1907"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监测因子</w:t>
                  </w:r>
                </w:p>
              </w:tc>
              <w:tc>
                <w:tcPr>
                  <w:tcW w:w="1582"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监测断面或点位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3471" w:type="dxa"/>
                  <w:gridSpan w:val="6"/>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丰水期 </w:t>
                  </w:r>
                  <w:r>
                    <w:rPr>
                      <w:rFonts w:ascii="Times New Roman" w:hAnsi="Times New Roman"/>
                      <w:sz w:val="21"/>
                      <w:szCs w:val="21"/>
                      <w:highlight w:val="none"/>
                    </w:rPr>
                    <w:sym w:font="Wingdings 2" w:char="00A3"/>
                  </w:r>
                  <w:r>
                    <w:rPr>
                      <w:rFonts w:ascii="Times New Roman" w:hAnsi="Times New Roman"/>
                      <w:sz w:val="21"/>
                      <w:szCs w:val="21"/>
                    </w:rPr>
                    <w:t xml:space="preserve">；平水期 </w:t>
                  </w:r>
                  <w:r>
                    <w:rPr>
                      <w:rFonts w:ascii="Times New Roman" w:hAnsi="Times New Roman"/>
                      <w:sz w:val="21"/>
                      <w:szCs w:val="21"/>
                      <w:highlight w:val="none"/>
                    </w:rPr>
                    <w:sym w:font="Wingdings 2" w:char="00A3"/>
                  </w:r>
                  <w:r>
                    <w:rPr>
                      <w:rFonts w:ascii="Times New Roman" w:hAnsi="Times New Roman"/>
                      <w:sz w:val="21"/>
                      <w:szCs w:val="21"/>
                    </w:rPr>
                    <w:t xml:space="preserve">；枯水期 </w:t>
                  </w:r>
                  <w:r>
                    <w:rPr>
                      <w:rFonts w:ascii="Times New Roman" w:hAnsi="Times New Roman"/>
                      <w:sz w:val="21"/>
                      <w:szCs w:val="21"/>
                      <w:highlight w:val="none"/>
                    </w:rPr>
                    <w:sym w:font="Wingdings 2" w:char="00A3"/>
                  </w:r>
                  <w:r>
                    <w:rPr>
                      <w:rFonts w:ascii="Times New Roman" w:hAnsi="Times New Roman"/>
                      <w:sz w:val="21"/>
                      <w:szCs w:val="21"/>
                    </w:rPr>
                    <w:t xml:space="preserve">；冰封期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春季 </w:t>
                  </w:r>
                  <w:r>
                    <w:rPr>
                      <w:rFonts w:ascii="Times New Roman" w:hAnsi="Times New Roman"/>
                      <w:sz w:val="21"/>
                      <w:szCs w:val="21"/>
                      <w:highlight w:val="none"/>
                    </w:rPr>
                    <w:sym w:font="Wingdings 2" w:char="00A3"/>
                  </w:r>
                  <w:r>
                    <w:rPr>
                      <w:rFonts w:ascii="Times New Roman" w:hAnsi="Times New Roman"/>
                      <w:sz w:val="21"/>
                      <w:szCs w:val="21"/>
                    </w:rPr>
                    <w:t xml:space="preserve">；夏季 </w:t>
                  </w:r>
                  <w:r>
                    <w:rPr>
                      <w:rFonts w:ascii="Times New Roman" w:hAnsi="Times New Roman"/>
                      <w:sz w:val="21"/>
                      <w:szCs w:val="21"/>
                      <w:highlight w:val="none"/>
                    </w:rPr>
                    <w:sym w:font="Wingdings 2" w:char="00A3"/>
                  </w:r>
                  <w:r>
                    <w:rPr>
                      <w:rFonts w:ascii="Times New Roman" w:hAnsi="Times New Roman"/>
                      <w:sz w:val="21"/>
                      <w:szCs w:val="21"/>
                    </w:rPr>
                    <w:t xml:space="preserve">；秋季 </w:t>
                  </w:r>
                  <w:r>
                    <w:rPr>
                      <w:rFonts w:ascii="Times New Roman" w:hAnsi="Times New Roman"/>
                      <w:sz w:val="21"/>
                      <w:szCs w:val="21"/>
                      <w:highlight w:val="none"/>
                    </w:rPr>
                    <w:sym w:font="Wingdings 2" w:char="00A3"/>
                  </w:r>
                  <w:r>
                    <w:rPr>
                      <w:rFonts w:ascii="Times New Roman" w:hAnsi="Times New Roman"/>
                      <w:sz w:val="21"/>
                      <w:szCs w:val="21"/>
                    </w:rPr>
                    <w:t xml:space="preserve">；冬季 </w:t>
                  </w:r>
                  <w:r>
                    <w:rPr>
                      <w:rFonts w:ascii="Times New Roman" w:hAnsi="Times New Roman"/>
                      <w:sz w:val="21"/>
                      <w:szCs w:val="21"/>
                      <w:highlight w:val="none"/>
                    </w:rPr>
                    <w:sym w:font="Wingdings 2" w:char="00A3"/>
                  </w:r>
                </w:p>
              </w:tc>
              <w:tc>
                <w:tcPr>
                  <w:tcW w:w="1907"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1582"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监测断面或点位个数</w:t>
                  </w:r>
                </w:p>
                <w:p>
                  <w:pPr>
                    <w:pStyle w:val="3"/>
                    <w:spacing w:after="0"/>
                    <w:ind w:left="0" w:leftChars="0"/>
                    <w:rPr>
                      <w:rFonts w:ascii="Times New Roman" w:hAnsi="Times New Roman"/>
                      <w:sz w:val="21"/>
                      <w:szCs w:val="21"/>
                    </w:rPr>
                  </w:pPr>
                  <w:r>
                    <w:rPr>
                      <w:rFonts w:ascii="Times New Roman" w:hAnsi="Times New Roman"/>
                      <w:sz w:val="21"/>
                      <w:szCs w:val="21"/>
                    </w:rPr>
                    <w:t>（  ）个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现状评价</w:t>
                  </w: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评价范围</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河流：长度（    ）km；湖库、河口及近岸海域：面积（    ）km</w:t>
                  </w:r>
                  <w:r>
                    <w:rPr>
                      <w:rFonts w:ascii="Times New Roman" w:hAnsi="Times New Roman"/>
                      <w:sz w:val="21"/>
                      <w:szCs w:val="21"/>
                      <w:vertAlign w:val="super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评价因子</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评价标准</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河流、湖库、河口：</w:t>
                  </w:r>
                  <w:r>
                    <w:rPr>
                      <w:rFonts w:ascii="MS Mincho" w:hAnsi="MS Mincho" w:eastAsia="MS Mincho" w:cs="MS Mincho"/>
                      <w:sz w:val="21"/>
                      <w:szCs w:val="21"/>
                    </w:rPr>
                    <w:t>Ⅰ</w:t>
                  </w:r>
                  <w:r>
                    <w:rPr>
                      <w:rFonts w:ascii="Times New Roman" w:hAnsi="Times New Roman"/>
                      <w:sz w:val="21"/>
                      <w:szCs w:val="21"/>
                    </w:rPr>
                    <w:t xml:space="preserve">类 </w:t>
                  </w:r>
                  <w:r>
                    <w:rPr>
                      <w:rFonts w:ascii="Times New Roman" w:hAnsi="Times New Roman"/>
                      <w:sz w:val="21"/>
                      <w:szCs w:val="21"/>
                      <w:highlight w:val="none"/>
                    </w:rPr>
                    <w:sym w:font="Wingdings 2" w:char="00A3"/>
                  </w:r>
                  <w:r>
                    <w:rPr>
                      <w:rFonts w:ascii="Times New Roman" w:hAnsi="Times New Roman"/>
                      <w:sz w:val="21"/>
                      <w:szCs w:val="21"/>
                    </w:rPr>
                    <w:t>；</w:t>
                  </w:r>
                  <w:r>
                    <w:rPr>
                      <w:rFonts w:ascii="MS Mincho" w:hAnsi="MS Mincho" w:eastAsia="MS Mincho" w:cs="MS Mincho"/>
                      <w:sz w:val="21"/>
                      <w:szCs w:val="21"/>
                    </w:rPr>
                    <w:t>Ⅱ</w:t>
                  </w:r>
                  <w:r>
                    <w:rPr>
                      <w:rFonts w:ascii="Times New Roman" w:hAnsi="Times New Roman"/>
                      <w:sz w:val="21"/>
                      <w:szCs w:val="21"/>
                    </w:rPr>
                    <w:t xml:space="preserve">类 </w:t>
                  </w:r>
                  <w:r>
                    <w:rPr>
                      <w:rFonts w:ascii="Times New Roman" w:hAnsi="Times New Roman"/>
                      <w:sz w:val="21"/>
                      <w:szCs w:val="21"/>
                      <w:highlight w:val="none"/>
                    </w:rPr>
                    <w:sym w:font="Wingdings 2" w:char="00A3"/>
                  </w:r>
                  <w:r>
                    <w:rPr>
                      <w:rFonts w:ascii="Times New Roman" w:hAnsi="Times New Roman"/>
                      <w:sz w:val="21"/>
                      <w:szCs w:val="21"/>
                    </w:rPr>
                    <w:t>；</w:t>
                  </w:r>
                  <w:r>
                    <w:rPr>
                      <w:rFonts w:ascii="MS Mincho" w:hAnsi="MS Mincho" w:eastAsia="MS Mincho" w:cs="MS Mincho"/>
                      <w:sz w:val="21"/>
                      <w:szCs w:val="21"/>
                    </w:rPr>
                    <w:t>Ⅲ</w:t>
                  </w:r>
                  <w:r>
                    <w:rPr>
                      <w:rFonts w:ascii="Times New Roman" w:hAnsi="Times New Roman"/>
                      <w:sz w:val="21"/>
                      <w:szCs w:val="21"/>
                    </w:rPr>
                    <w:t xml:space="preserve">类 </w:t>
                  </w:r>
                  <w:r>
                    <w:rPr>
                      <w:rFonts w:ascii="Times New Roman" w:hAnsi="Times New Roman"/>
                      <w:sz w:val="21"/>
                      <w:szCs w:val="21"/>
                      <w:highlight w:val="none"/>
                    </w:rPr>
                    <w:sym w:font="Wingdings 2" w:char="00A3"/>
                  </w:r>
                  <w:r>
                    <w:rPr>
                      <w:rFonts w:ascii="Times New Roman" w:hAnsi="Times New Roman"/>
                      <w:sz w:val="21"/>
                      <w:szCs w:val="21"/>
                    </w:rPr>
                    <w:t>；</w:t>
                  </w:r>
                  <w:r>
                    <w:rPr>
                      <w:rFonts w:ascii="MS Mincho" w:hAnsi="MS Mincho" w:eastAsia="MS Mincho" w:cs="MS Mincho"/>
                      <w:sz w:val="21"/>
                      <w:szCs w:val="21"/>
                    </w:rPr>
                    <w:t>Ⅳ</w:t>
                  </w:r>
                  <w:r>
                    <w:rPr>
                      <w:rFonts w:ascii="Times New Roman" w:hAnsi="Times New Roman"/>
                      <w:sz w:val="21"/>
                      <w:szCs w:val="21"/>
                    </w:rPr>
                    <w:t xml:space="preserve">类 </w:t>
                  </w:r>
                  <w:r>
                    <w:rPr>
                      <w:rFonts w:ascii="Times New Roman" w:hAnsi="Times New Roman"/>
                      <w:sz w:val="21"/>
                      <w:szCs w:val="21"/>
                      <w:highlight w:val="none"/>
                    </w:rPr>
                    <w:sym w:font="Wingdings 2" w:char="00A3"/>
                  </w:r>
                  <w:r>
                    <w:rPr>
                      <w:rFonts w:ascii="Times New Roman" w:hAnsi="Times New Roman"/>
                      <w:sz w:val="21"/>
                      <w:szCs w:val="21"/>
                    </w:rPr>
                    <w:t>；</w:t>
                  </w:r>
                  <w:r>
                    <w:rPr>
                      <w:rFonts w:ascii="MS Mincho" w:hAnsi="MS Mincho" w:eastAsia="MS Mincho" w:cs="MS Mincho"/>
                      <w:sz w:val="21"/>
                      <w:szCs w:val="21"/>
                    </w:rPr>
                    <w:t>Ⅴ</w:t>
                  </w:r>
                  <w:r>
                    <w:rPr>
                      <w:rFonts w:ascii="Times New Roman" w:hAnsi="Times New Roman"/>
                      <w:sz w:val="21"/>
                      <w:szCs w:val="21"/>
                    </w:rPr>
                    <w:t xml:space="preserve">类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近岸海域：第一类 </w:t>
                  </w:r>
                  <w:r>
                    <w:rPr>
                      <w:rFonts w:ascii="Times New Roman" w:hAnsi="Times New Roman"/>
                      <w:sz w:val="21"/>
                      <w:szCs w:val="21"/>
                      <w:highlight w:val="none"/>
                    </w:rPr>
                    <w:sym w:font="Wingdings 2" w:char="00A3"/>
                  </w:r>
                  <w:r>
                    <w:rPr>
                      <w:rFonts w:ascii="Times New Roman" w:hAnsi="Times New Roman"/>
                      <w:sz w:val="21"/>
                      <w:szCs w:val="21"/>
                    </w:rPr>
                    <w:t xml:space="preserve">；第二类 </w:t>
                  </w:r>
                  <w:r>
                    <w:rPr>
                      <w:rFonts w:ascii="Times New Roman" w:hAnsi="Times New Roman"/>
                      <w:sz w:val="21"/>
                      <w:szCs w:val="21"/>
                      <w:highlight w:val="none"/>
                    </w:rPr>
                    <w:sym w:font="Wingdings 2" w:char="00A3"/>
                  </w:r>
                  <w:r>
                    <w:rPr>
                      <w:rFonts w:ascii="Times New Roman" w:hAnsi="Times New Roman"/>
                      <w:sz w:val="21"/>
                      <w:szCs w:val="21"/>
                    </w:rPr>
                    <w:t xml:space="preserve">；第三类 </w:t>
                  </w:r>
                  <w:r>
                    <w:rPr>
                      <w:rFonts w:ascii="Times New Roman" w:hAnsi="Times New Roman"/>
                      <w:sz w:val="21"/>
                      <w:szCs w:val="21"/>
                      <w:highlight w:val="none"/>
                    </w:rPr>
                    <w:sym w:font="Wingdings 2" w:char="00A3"/>
                  </w:r>
                  <w:r>
                    <w:rPr>
                      <w:rFonts w:ascii="Times New Roman" w:hAnsi="Times New Roman"/>
                      <w:sz w:val="21"/>
                      <w:szCs w:val="21"/>
                    </w:rPr>
                    <w:t xml:space="preserve">；第四类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规划年评价标准（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评价时期</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丰水期 </w:t>
                  </w:r>
                  <w:r>
                    <w:rPr>
                      <w:rFonts w:ascii="Times New Roman" w:hAnsi="Times New Roman"/>
                      <w:sz w:val="21"/>
                      <w:szCs w:val="21"/>
                      <w:highlight w:val="none"/>
                    </w:rPr>
                    <w:sym w:font="Wingdings 2" w:char="00A3"/>
                  </w:r>
                  <w:r>
                    <w:rPr>
                      <w:rFonts w:ascii="Times New Roman" w:hAnsi="Times New Roman"/>
                      <w:sz w:val="21"/>
                      <w:szCs w:val="21"/>
                    </w:rPr>
                    <w:t xml:space="preserve">；平水期 </w:t>
                  </w:r>
                  <w:r>
                    <w:rPr>
                      <w:rFonts w:ascii="Times New Roman" w:hAnsi="Times New Roman"/>
                      <w:sz w:val="21"/>
                      <w:szCs w:val="21"/>
                      <w:highlight w:val="none"/>
                    </w:rPr>
                    <w:sym w:font="Wingdings 2" w:char="00A3"/>
                  </w:r>
                  <w:r>
                    <w:rPr>
                      <w:rFonts w:ascii="Times New Roman" w:hAnsi="Times New Roman"/>
                      <w:sz w:val="21"/>
                      <w:szCs w:val="21"/>
                    </w:rPr>
                    <w:t xml:space="preserve">；枯水期 </w:t>
                  </w:r>
                  <w:r>
                    <w:rPr>
                      <w:rFonts w:ascii="Times New Roman" w:hAnsi="Times New Roman"/>
                      <w:sz w:val="21"/>
                      <w:szCs w:val="21"/>
                      <w:highlight w:val="none"/>
                    </w:rPr>
                    <w:sym w:font="Wingdings 2" w:char="00A3"/>
                  </w:r>
                  <w:r>
                    <w:rPr>
                      <w:rFonts w:ascii="Times New Roman" w:hAnsi="Times New Roman"/>
                      <w:sz w:val="21"/>
                      <w:szCs w:val="21"/>
                    </w:rPr>
                    <w:t xml:space="preserve">；冰封期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春季 </w:t>
                  </w:r>
                  <w:r>
                    <w:rPr>
                      <w:rFonts w:ascii="Times New Roman" w:hAnsi="Times New Roman"/>
                      <w:sz w:val="21"/>
                      <w:szCs w:val="21"/>
                      <w:highlight w:val="none"/>
                    </w:rPr>
                    <w:sym w:font="Wingdings 2" w:char="00A3"/>
                  </w:r>
                  <w:r>
                    <w:rPr>
                      <w:rFonts w:ascii="Times New Roman" w:hAnsi="Times New Roman"/>
                      <w:sz w:val="21"/>
                      <w:szCs w:val="21"/>
                    </w:rPr>
                    <w:t xml:space="preserve">；夏季 </w:t>
                  </w:r>
                  <w:r>
                    <w:rPr>
                      <w:rFonts w:ascii="Times New Roman" w:hAnsi="Times New Roman"/>
                      <w:sz w:val="21"/>
                      <w:szCs w:val="21"/>
                      <w:highlight w:val="none"/>
                    </w:rPr>
                    <w:sym w:font="Wingdings 2" w:char="00A3"/>
                  </w:r>
                  <w:r>
                    <w:rPr>
                      <w:rFonts w:ascii="Times New Roman" w:hAnsi="Times New Roman"/>
                      <w:sz w:val="21"/>
                      <w:szCs w:val="21"/>
                    </w:rPr>
                    <w:t xml:space="preserve">；秋季 </w:t>
                  </w:r>
                  <w:r>
                    <w:rPr>
                      <w:rFonts w:ascii="Times New Roman" w:hAnsi="Times New Roman"/>
                      <w:sz w:val="21"/>
                      <w:szCs w:val="21"/>
                      <w:highlight w:val="none"/>
                    </w:rPr>
                    <w:sym w:font="Wingdings 2" w:char="00A3"/>
                  </w:r>
                  <w:r>
                    <w:rPr>
                      <w:rFonts w:ascii="Times New Roman" w:hAnsi="Times New Roman"/>
                      <w:sz w:val="21"/>
                      <w:szCs w:val="21"/>
                    </w:rPr>
                    <w:t xml:space="preserve">；冬季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评价结论</w:t>
                  </w:r>
                </w:p>
              </w:tc>
              <w:tc>
                <w:tcPr>
                  <w:tcW w:w="6047" w:type="dxa"/>
                  <w:gridSpan w:val="1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水环境功能区或水功能区、近岸海域环境功能区水质达标状况：达标 </w:t>
                  </w:r>
                  <w:r>
                    <w:rPr>
                      <w:rFonts w:ascii="Times New Roman" w:hAnsi="Times New Roman"/>
                      <w:sz w:val="21"/>
                      <w:szCs w:val="21"/>
                      <w:highlight w:val="none"/>
                    </w:rPr>
                    <w:sym w:font="Wingdings 2" w:char="00A3"/>
                  </w:r>
                  <w:r>
                    <w:rPr>
                      <w:rFonts w:ascii="Times New Roman" w:hAnsi="Times New Roman"/>
                      <w:sz w:val="21"/>
                      <w:szCs w:val="21"/>
                    </w:rPr>
                    <w:t xml:space="preserve">；不达标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水环境控制单元或断面水质达标状况 </w:t>
                  </w:r>
                  <w:r>
                    <w:rPr>
                      <w:rFonts w:ascii="Times New Roman" w:hAnsi="Times New Roman"/>
                      <w:sz w:val="21"/>
                      <w:szCs w:val="21"/>
                      <w:highlight w:val="none"/>
                    </w:rPr>
                    <w:sym w:font="Wingdings 2" w:char="00A3"/>
                  </w:r>
                  <w:r>
                    <w:rPr>
                      <w:rFonts w:ascii="Times New Roman" w:hAnsi="Times New Roman"/>
                      <w:sz w:val="21"/>
                      <w:szCs w:val="21"/>
                    </w:rPr>
                    <w:t xml:space="preserve">：达标 </w:t>
                  </w:r>
                  <w:r>
                    <w:rPr>
                      <w:rFonts w:ascii="Times New Roman" w:hAnsi="Times New Roman"/>
                      <w:sz w:val="21"/>
                      <w:szCs w:val="21"/>
                      <w:highlight w:val="none"/>
                    </w:rPr>
                    <w:sym w:font="Wingdings 2" w:char="00A3"/>
                  </w:r>
                  <w:r>
                    <w:rPr>
                      <w:rFonts w:ascii="Times New Roman" w:hAnsi="Times New Roman"/>
                      <w:sz w:val="21"/>
                      <w:szCs w:val="21"/>
                    </w:rPr>
                    <w:t xml:space="preserve">；不达标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水环境保护目标质量状况 </w:t>
                  </w:r>
                  <w:r>
                    <w:rPr>
                      <w:rFonts w:ascii="Times New Roman" w:hAnsi="Times New Roman"/>
                      <w:sz w:val="21"/>
                      <w:szCs w:val="21"/>
                      <w:highlight w:val="none"/>
                    </w:rPr>
                    <w:sym w:font="Wingdings 2" w:char="00A3"/>
                  </w:r>
                  <w:r>
                    <w:rPr>
                      <w:rFonts w:ascii="Times New Roman" w:hAnsi="Times New Roman"/>
                      <w:sz w:val="21"/>
                      <w:szCs w:val="21"/>
                    </w:rPr>
                    <w:t xml:space="preserve">：达标 </w:t>
                  </w:r>
                  <w:r>
                    <w:rPr>
                      <w:rFonts w:ascii="Times New Roman" w:hAnsi="Times New Roman"/>
                      <w:sz w:val="21"/>
                      <w:szCs w:val="21"/>
                      <w:highlight w:val="none"/>
                    </w:rPr>
                    <w:sym w:font="Wingdings 2" w:char="00A3"/>
                  </w:r>
                  <w:r>
                    <w:rPr>
                      <w:rFonts w:ascii="Times New Roman" w:hAnsi="Times New Roman"/>
                      <w:sz w:val="21"/>
                      <w:szCs w:val="21"/>
                    </w:rPr>
                    <w:t xml:space="preserve">；不达标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对照断面、控制断面等代表性断面的水质状况 </w:t>
                  </w:r>
                  <w:r>
                    <w:rPr>
                      <w:rFonts w:ascii="Times New Roman" w:hAnsi="Times New Roman"/>
                      <w:sz w:val="21"/>
                      <w:szCs w:val="21"/>
                      <w:highlight w:val="none"/>
                    </w:rPr>
                    <w:sym w:font="Wingdings 2" w:char="00A3"/>
                  </w:r>
                  <w:r>
                    <w:rPr>
                      <w:rFonts w:ascii="Times New Roman" w:hAnsi="Times New Roman"/>
                      <w:sz w:val="21"/>
                      <w:szCs w:val="21"/>
                    </w:rPr>
                    <w:t xml:space="preserve">：达标 </w:t>
                  </w:r>
                  <w:r>
                    <w:rPr>
                      <w:rFonts w:ascii="Times New Roman" w:hAnsi="Times New Roman"/>
                      <w:sz w:val="21"/>
                      <w:szCs w:val="21"/>
                      <w:highlight w:val="none"/>
                    </w:rPr>
                    <w:sym w:font="Wingdings 2" w:char="00A3"/>
                  </w:r>
                  <w:r>
                    <w:rPr>
                      <w:rFonts w:ascii="Times New Roman" w:hAnsi="Times New Roman"/>
                      <w:sz w:val="21"/>
                      <w:szCs w:val="21"/>
                    </w:rPr>
                    <w:t xml:space="preserve">；不达标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底泥污染评价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水资源与开发利用程度及其水文情势评价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水环境质量回顾评价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流域（区域）水资源（包括水能资源）与开发利用总体状况、生态流量管理要求与现状满足程度、建设项目占用水域空间的水流状况与河湖演变状况 </w:t>
                  </w:r>
                  <w:r>
                    <w:rPr>
                      <w:rFonts w:ascii="Times New Roman" w:hAnsi="Times New Roman"/>
                      <w:sz w:val="21"/>
                      <w:szCs w:val="21"/>
                      <w:highlight w:val="none"/>
                    </w:rPr>
                    <w:sym w:font="Wingdings 2" w:char="00A3"/>
                  </w:r>
                </w:p>
              </w:tc>
              <w:tc>
                <w:tcPr>
                  <w:tcW w:w="913"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达标区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不达标区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影响预测</w:t>
                  </w: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预测范围</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河流：长度（    ）km；湖库、河口及近岸海域：面积（    ）km</w:t>
                  </w:r>
                  <w:r>
                    <w:rPr>
                      <w:rFonts w:ascii="Times New Roman" w:hAnsi="Times New Roman"/>
                      <w:sz w:val="21"/>
                      <w:szCs w:val="21"/>
                      <w:vertAlign w:val="super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预测因子</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预测时期</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丰水期 </w:t>
                  </w:r>
                  <w:r>
                    <w:rPr>
                      <w:rFonts w:ascii="Times New Roman" w:hAnsi="Times New Roman"/>
                      <w:sz w:val="21"/>
                      <w:szCs w:val="21"/>
                      <w:highlight w:val="none"/>
                    </w:rPr>
                    <w:sym w:font="Wingdings 2" w:char="00A3"/>
                  </w:r>
                  <w:r>
                    <w:rPr>
                      <w:rFonts w:ascii="Times New Roman" w:hAnsi="Times New Roman"/>
                      <w:sz w:val="21"/>
                      <w:szCs w:val="21"/>
                    </w:rPr>
                    <w:t xml:space="preserve">；平水期 </w:t>
                  </w:r>
                  <w:r>
                    <w:rPr>
                      <w:rFonts w:ascii="Times New Roman" w:hAnsi="Times New Roman"/>
                      <w:sz w:val="21"/>
                      <w:szCs w:val="21"/>
                      <w:highlight w:val="none"/>
                    </w:rPr>
                    <w:sym w:font="Wingdings 2" w:char="00A3"/>
                  </w:r>
                  <w:r>
                    <w:rPr>
                      <w:rFonts w:ascii="Times New Roman" w:hAnsi="Times New Roman"/>
                      <w:sz w:val="21"/>
                      <w:szCs w:val="21"/>
                    </w:rPr>
                    <w:t xml:space="preserve">；枯水期 </w:t>
                  </w:r>
                  <w:r>
                    <w:rPr>
                      <w:rFonts w:ascii="Times New Roman" w:hAnsi="Times New Roman"/>
                      <w:sz w:val="21"/>
                      <w:szCs w:val="21"/>
                      <w:highlight w:val="none"/>
                    </w:rPr>
                    <w:sym w:font="Wingdings 2" w:char="00A3"/>
                  </w:r>
                  <w:r>
                    <w:rPr>
                      <w:rFonts w:ascii="Times New Roman" w:hAnsi="Times New Roman"/>
                      <w:sz w:val="21"/>
                      <w:szCs w:val="21"/>
                    </w:rPr>
                    <w:t xml:space="preserve">；冰封期 </w:t>
                  </w:r>
                  <w:r>
                    <w:rPr>
                      <w:rFonts w:ascii="Times New Roman" w:hAnsi="Times New Roman"/>
                      <w:sz w:val="21"/>
                      <w:szCs w:val="21"/>
                      <w:highlight w:val="none"/>
                    </w:rPr>
                    <w:sym w:font="Wingdings 2" w:char="00A3"/>
                  </w:r>
                  <w:r>
                    <w:rPr>
                      <w:rFonts w:ascii="Times New Roman" w:hAnsi="Times New Roman"/>
                      <w:sz w:val="21"/>
                      <w:szCs w:val="21"/>
                    </w:rPr>
                    <w:t>；</w:t>
                  </w:r>
                </w:p>
                <w:p>
                  <w:pPr>
                    <w:pStyle w:val="3"/>
                    <w:spacing w:after="0"/>
                    <w:ind w:left="0" w:leftChars="0"/>
                    <w:rPr>
                      <w:rFonts w:ascii="Times New Roman" w:hAnsi="Times New Roman"/>
                      <w:sz w:val="21"/>
                      <w:szCs w:val="21"/>
                    </w:rPr>
                  </w:pPr>
                  <w:r>
                    <w:rPr>
                      <w:rFonts w:ascii="Times New Roman" w:hAnsi="Times New Roman"/>
                      <w:sz w:val="21"/>
                      <w:szCs w:val="21"/>
                    </w:rPr>
                    <w:t xml:space="preserve">春季 </w:t>
                  </w:r>
                  <w:r>
                    <w:rPr>
                      <w:rFonts w:ascii="Times New Roman" w:hAnsi="Times New Roman"/>
                      <w:sz w:val="21"/>
                      <w:szCs w:val="21"/>
                      <w:highlight w:val="none"/>
                    </w:rPr>
                    <w:sym w:font="Wingdings 2" w:char="00A3"/>
                  </w:r>
                  <w:r>
                    <w:rPr>
                      <w:rFonts w:ascii="Times New Roman" w:hAnsi="Times New Roman"/>
                      <w:sz w:val="21"/>
                      <w:szCs w:val="21"/>
                    </w:rPr>
                    <w:t xml:space="preserve">；夏季 </w:t>
                  </w:r>
                  <w:r>
                    <w:rPr>
                      <w:rFonts w:ascii="Times New Roman" w:hAnsi="Times New Roman"/>
                      <w:sz w:val="21"/>
                      <w:szCs w:val="21"/>
                      <w:highlight w:val="none"/>
                    </w:rPr>
                    <w:sym w:font="Wingdings 2" w:char="00A3"/>
                  </w:r>
                  <w:r>
                    <w:rPr>
                      <w:rFonts w:ascii="Times New Roman" w:hAnsi="Times New Roman"/>
                      <w:sz w:val="21"/>
                      <w:szCs w:val="21"/>
                    </w:rPr>
                    <w:t xml:space="preserve">；秋季 </w:t>
                  </w:r>
                  <w:r>
                    <w:rPr>
                      <w:rFonts w:ascii="Times New Roman" w:hAnsi="Times New Roman"/>
                      <w:sz w:val="21"/>
                      <w:szCs w:val="21"/>
                      <w:highlight w:val="none"/>
                    </w:rPr>
                    <w:sym w:font="Wingdings 2" w:char="00A3"/>
                  </w:r>
                  <w:r>
                    <w:rPr>
                      <w:rFonts w:ascii="Times New Roman" w:hAnsi="Times New Roman"/>
                      <w:sz w:val="21"/>
                      <w:szCs w:val="21"/>
                    </w:rPr>
                    <w:t xml:space="preserve">；冬季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设计水文条件</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预测情景</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建设期 </w:t>
                  </w:r>
                  <w:r>
                    <w:rPr>
                      <w:rFonts w:ascii="Times New Roman" w:hAnsi="Times New Roman"/>
                      <w:sz w:val="21"/>
                      <w:szCs w:val="21"/>
                      <w:highlight w:val="none"/>
                    </w:rPr>
                    <w:sym w:font="Wingdings 2" w:char="00A3"/>
                  </w:r>
                  <w:r>
                    <w:rPr>
                      <w:rFonts w:ascii="Times New Roman" w:hAnsi="Times New Roman"/>
                      <w:sz w:val="21"/>
                      <w:szCs w:val="21"/>
                    </w:rPr>
                    <w:t xml:space="preserve">；生产运行期 </w:t>
                  </w:r>
                  <w:r>
                    <w:rPr>
                      <w:rFonts w:ascii="Times New Roman" w:hAnsi="Times New Roman"/>
                      <w:sz w:val="21"/>
                      <w:szCs w:val="21"/>
                      <w:highlight w:val="none"/>
                    </w:rPr>
                    <w:sym w:font="Wingdings 2" w:char="00A3"/>
                  </w:r>
                  <w:r>
                    <w:rPr>
                      <w:rFonts w:ascii="Times New Roman" w:hAnsi="Times New Roman"/>
                      <w:sz w:val="21"/>
                      <w:szCs w:val="21"/>
                    </w:rPr>
                    <w:t xml:space="preserve">；服务期满后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正常工况 </w:t>
                  </w:r>
                  <w:r>
                    <w:rPr>
                      <w:rFonts w:ascii="Times New Roman" w:hAnsi="Times New Roman"/>
                      <w:sz w:val="21"/>
                      <w:szCs w:val="21"/>
                      <w:highlight w:val="none"/>
                    </w:rPr>
                    <w:sym w:font="Wingdings 2" w:char="00A3"/>
                  </w:r>
                  <w:r>
                    <w:rPr>
                      <w:rFonts w:ascii="Times New Roman" w:hAnsi="Times New Roman"/>
                      <w:sz w:val="21"/>
                      <w:szCs w:val="21"/>
                    </w:rPr>
                    <w:t xml:space="preserve">；非正常工况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污染控制可减缓措施方案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区（流）</w:t>
                  </w:r>
                  <w:r>
                    <w:rPr>
                      <w:rFonts w:ascii="Times New Roman" w:hAnsi="Times New Roman"/>
                      <w:sz w:val="21"/>
                      <w:szCs w:val="21"/>
                      <w:highlight w:val="none"/>
                    </w:rPr>
                    <w:t>域</w:t>
                  </w:r>
                  <w:r>
                    <w:rPr>
                      <w:rFonts w:ascii="Times New Roman" w:hAnsi="Times New Roman"/>
                      <w:sz w:val="21"/>
                      <w:szCs w:val="21"/>
                    </w:rPr>
                    <w:t xml:space="preserve">环境质量改善目标要求情景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预测方法</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数值解 </w:t>
                  </w:r>
                  <w:r>
                    <w:rPr>
                      <w:rFonts w:ascii="Times New Roman" w:hAnsi="Times New Roman"/>
                      <w:sz w:val="21"/>
                      <w:szCs w:val="21"/>
                      <w:highlight w:val="none"/>
                    </w:rPr>
                    <w:sym w:font="Wingdings 2" w:char="00A3"/>
                  </w:r>
                  <w:r>
                    <w:rPr>
                      <w:rFonts w:ascii="Times New Roman" w:hAnsi="Times New Roman"/>
                      <w:sz w:val="21"/>
                      <w:szCs w:val="21"/>
                    </w:rPr>
                    <w:t xml:space="preserve">；解析解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导则推荐模式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影响评价</w:t>
                  </w: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水污染控制和水环境影响减缓措施有效性评价</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区（流）</w:t>
                  </w:r>
                  <w:r>
                    <w:rPr>
                      <w:rFonts w:ascii="Times New Roman" w:hAnsi="Times New Roman"/>
                      <w:sz w:val="21"/>
                      <w:szCs w:val="21"/>
                      <w:highlight w:val="none"/>
                    </w:rPr>
                    <w:t>域</w:t>
                  </w:r>
                  <w:r>
                    <w:rPr>
                      <w:rFonts w:ascii="Times New Roman" w:hAnsi="Times New Roman"/>
                      <w:sz w:val="21"/>
                      <w:szCs w:val="21"/>
                    </w:rPr>
                    <w:t xml:space="preserve">环境质量改善目标 </w:t>
                  </w:r>
                  <w:r>
                    <w:rPr>
                      <w:rFonts w:ascii="Times New Roman" w:hAnsi="Times New Roman"/>
                      <w:sz w:val="21"/>
                      <w:szCs w:val="21"/>
                      <w:highlight w:val="none"/>
                    </w:rPr>
                    <w:sym w:font="Wingdings 2" w:char="00A3"/>
                  </w:r>
                  <w:r>
                    <w:rPr>
                      <w:rFonts w:ascii="Times New Roman" w:hAnsi="Times New Roman"/>
                      <w:sz w:val="21"/>
                      <w:szCs w:val="21"/>
                    </w:rPr>
                    <w:t xml:space="preserve">； 替代消减源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水环境影响评价</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排放口</w:t>
                  </w:r>
                  <w:r>
                    <w:rPr>
                      <w:rFonts w:ascii="Times New Roman" w:hAnsi="Times New Roman"/>
                      <w:sz w:val="21"/>
                      <w:szCs w:val="21"/>
                      <w:highlight w:val="none"/>
                    </w:rPr>
                    <w:t>混合去外</w:t>
                  </w:r>
                  <w:r>
                    <w:rPr>
                      <w:rFonts w:ascii="Times New Roman" w:hAnsi="Times New Roman"/>
                      <w:sz w:val="21"/>
                      <w:szCs w:val="21"/>
                    </w:rPr>
                    <w:t xml:space="preserve">满足水环境保护要求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水环境功能区或水功能区、近岸海域环境功能区水质达标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满足水环境保护目标水域水环境质量要求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水环境控制单元或断面水质达标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满足重点水污染物排放总量控制指标要求，重点行业建设项目，主要污染物排放满足等量或减量替代要求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满足区（流）</w:t>
                  </w:r>
                  <w:r>
                    <w:rPr>
                      <w:rFonts w:ascii="Times New Roman" w:hAnsi="Times New Roman"/>
                      <w:sz w:val="21"/>
                      <w:szCs w:val="21"/>
                      <w:highlight w:val="none"/>
                    </w:rPr>
                    <w:t>域</w:t>
                  </w:r>
                  <w:r>
                    <w:rPr>
                      <w:rFonts w:ascii="Times New Roman" w:hAnsi="Times New Roman"/>
                      <w:sz w:val="21"/>
                      <w:szCs w:val="21"/>
                    </w:rPr>
                    <w:t xml:space="preserve">环境质量改善目标要求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水文要素影响型建设项目同时应包括水文情势变化评价、主要水文特征值影响评价、生态流量符合性评价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对于新设或调整入河（湖库、近岸海域）排放口的建设项目，应包括排放口设置的环境合理性评价 </w:t>
                  </w:r>
                  <w:r>
                    <w:rPr>
                      <w:rFonts w:ascii="Times New Roman" w:hAnsi="Times New Roman"/>
                      <w:sz w:val="21"/>
                      <w:szCs w:val="21"/>
                      <w:highlight w:val="none"/>
                    </w:rPr>
                    <w:sym w:font="Wingdings 2" w:char="00A3"/>
                  </w:r>
                </w:p>
                <w:p>
                  <w:pPr>
                    <w:pStyle w:val="3"/>
                    <w:spacing w:after="0"/>
                    <w:ind w:left="0" w:leftChars="0"/>
                    <w:rPr>
                      <w:rFonts w:ascii="Times New Roman" w:hAnsi="Times New Roman"/>
                      <w:sz w:val="21"/>
                      <w:szCs w:val="21"/>
                    </w:rPr>
                  </w:pPr>
                  <w:r>
                    <w:rPr>
                      <w:rFonts w:ascii="Times New Roman" w:hAnsi="Times New Roman"/>
                      <w:sz w:val="21"/>
                      <w:szCs w:val="21"/>
                    </w:rPr>
                    <w:t xml:space="preserve">满足生态保护红线、水环境质量底线、资源利用上线和环境准入清单管理要求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污染源排放量核算</w:t>
                  </w:r>
                </w:p>
              </w:tc>
              <w:tc>
                <w:tcPr>
                  <w:tcW w:w="185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污染物名称</w:t>
                  </w:r>
                </w:p>
              </w:tc>
              <w:tc>
                <w:tcPr>
                  <w:tcW w:w="2531"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排放量/（t/a）</w:t>
                  </w:r>
                </w:p>
              </w:tc>
              <w:tc>
                <w:tcPr>
                  <w:tcW w:w="2577"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85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COD  ）</w:t>
                  </w:r>
                </w:p>
              </w:tc>
              <w:tc>
                <w:tcPr>
                  <w:tcW w:w="2531"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（0.49）</w:t>
                  </w:r>
                </w:p>
              </w:tc>
              <w:tc>
                <w:tcPr>
                  <w:tcW w:w="2577"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（428）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w:t>
                  </w: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85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氨氮  ）</w:t>
                  </w:r>
                </w:p>
              </w:tc>
              <w:tc>
                <w:tcPr>
                  <w:tcW w:w="2531"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（0.027）</w:t>
                  </w:r>
                </w:p>
              </w:tc>
              <w:tc>
                <w:tcPr>
                  <w:tcW w:w="2577" w:type="dxa"/>
                  <w:gridSpan w:val="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替代源排放量情况</w:t>
                  </w:r>
                </w:p>
              </w:tc>
              <w:tc>
                <w:tcPr>
                  <w:tcW w:w="1244"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污染源</w:t>
                  </w:r>
                </w:p>
                <w:p>
                  <w:pPr>
                    <w:pStyle w:val="3"/>
                    <w:spacing w:after="0"/>
                    <w:ind w:left="0" w:leftChars="0"/>
                    <w:rPr>
                      <w:rFonts w:ascii="Times New Roman" w:hAnsi="Times New Roman"/>
                      <w:sz w:val="21"/>
                      <w:szCs w:val="21"/>
                    </w:rPr>
                  </w:pPr>
                  <w:r>
                    <w:rPr>
                      <w:rFonts w:ascii="Times New Roman" w:hAnsi="Times New Roman"/>
                      <w:sz w:val="21"/>
                      <w:szCs w:val="21"/>
                    </w:rPr>
                    <w:t>名称</w:t>
                  </w:r>
                </w:p>
              </w:tc>
              <w:tc>
                <w:tcPr>
                  <w:tcW w:w="1593"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排污许可证编号</w:t>
                  </w:r>
                </w:p>
              </w:tc>
              <w:tc>
                <w:tcPr>
                  <w:tcW w:w="1184"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污染物名称</w:t>
                  </w:r>
                </w:p>
              </w:tc>
              <w:tc>
                <w:tcPr>
                  <w:tcW w:w="1257"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排放量</w:t>
                  </w:r>
                </w:p>
              </w:tc>
              <w:tc>
                <w:tcPr>
                  <w:tcW w:w="168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244"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1593"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1184"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1257"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168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生态流量确定</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生态流量：一般水期（  ）m</w:t>
                  </w:r>
                  <w:r>
                    <w:rPr>
                      <w:rFonts w:ascii="Times New Roman" w:hAnsi="Times New Roman"/>
                      <w:sz w:val="21"/>
                      <w:szCs w:val="21"/>
                      <w:vertAlign w:val="superscript"/>
                    </w:rPr>
                    <w:t>3</w:t>
                  </w:r>
                  <w:r>
                    <w:rPr>
                      <w:rFonts w:ascii="Times New Roman" w:hAnsi="Times New Roman"/>
                      <w:sz w:val="21"/>
                      <w:szCs w:val="21"/>
                    </w:rPr>
                    <w:t>/s；鱼类繁殖期（  ）m</w:t>
                  </w:r>
                  <w:r>
                    <w:rPr>
                      <w:rFonts w:ascii="Times New Roman" w:hAnsi="Times New Roman"/>
                      <w:sz w:val="21"/>
                      <w:szCs w:val="21"/>
                      <w:vertAlign w:val="superscript"/>
                    </w:rPr>
                    <w:t>3</w:t>
                  </w:r>
                  <w:r>
                    <w:rPr>
                      <w:rFonts w:ascii="Times New Roman" w:hAnsi="Times New Roman"/>
                      <w:sz w:val="21"/>
                      <w:szCs w:val="21"/>
                    </w:rPr>
                    <w:t>/s；其他（  ）m</w:t>
                  </w:r>
                  <w:r>
                    <w:rPr>
                      <w:rFonts w:ascii="Times New Roman" w:hAnsi="Times New Roman"/>
                      <w:sz w:val="21"/>
                      <w:szCs w:val="21"/>
                      <w:vertAlign w:val="superscript"/>
                    </w:rPr>
                    <w:t>3</w:t>
                  </w:r>
                  <w:r>
                    <w:rPr>
                      <w:rFonts w:ascii="Times New Roman" w:hAnsi="Times New Roman"/>
                      <w:sz w:val="21"/>
                      <w:szCs w:val="21"/>
                    </w:rPr>
                    <w:t>/s</w:t>
                  </w:r>
                </w:p>
                <w:p>
                  <w:pPr>
                    <w:pStyle w:val="3"/>
                    <w:spacing w:after="0"/>
                    <w:ind w:left="0" w:leftChars="0"/>
                    <w:rPr>
                      <w:rFonts w:ascii="Times New Roman" w:hAnsi="Times New Roman"/>
                      <w:sz w:val="21"/>
                      <w:szCs w:val="21"/>
                    </w:rPr>
                  </w:pPr>
                  <w:r>
                    <w:rPr>
                      <w:rFonts w:ascii="Times New Roman" w:hAnsi="Times New Roman"/>
                      <w:sz w:val="21"/>
                      <w:szCs w:val="21"/>
                    </w:rPr>
                    <w:t>生态水位：一般水期（  ）m</w:t>
                  </w:r>
                  <w:r>
                    <w:rPr>
                      <w:rFonts w:ascii="Times New Roman" w:hAnsi="Times New Roman"/>
                      <w:sz w:val="21"/>
                      <w:szCs w:val="21"/>
                      <w:vertAlign w:val="superscript"/>
                    </w:rPr>
                    <w:t>3</w:t>
                  </w:r>
                  <w:r>
                    <w:rPr>
                      <w:rFonts w:ascii="Times New Roman" w:hAnsi="Times New Roman"/>
                      <w:sz w:val="21"/>
                      <w:szCs w:val="21"/>
                    </w:rPr>
                    <w:t>/s；鱼类繁殖期（  ）m</w:t>
                  </w:r>
                  <w:r>
                    <w:rPr>
                      <w:rFonts w:ascii="Times New Roman" w:hAnsi="Times New Roman"/>
                      <w:sz w:val="21"/>
                      <w:szCs w:val="21"/>
                      <w:vertAlign w:val="superscript"/>
                    </w:rPr>
                    <w:t>3</w:t>
                  </w:r>
                  <w:r>
                    <w:rPr>
                      <w:rFonts w:ascii="Times New Roman" w:hAnsi="Times New Roman"/>
                      <w:sz w:val="21"/>
                      <w:szCs w:val="21"/>
                    </w:rPr>
                    <w:t>/s；其他（  ）m</w:t>
                  </w:r>
                  <w:r>
                    <w:rPr>
                      <w:rFonts w:ascii="Times New Roman" w:hAnsi="Times New Roman"/>
                      <w:sz w:val="21"/>
                      <w:szCs w:val="21"/>
                      <w:vertAlign w:val="superscript"/>
                    </w:rPr>
                    <w:t>3</w:t>
                  </w:r>
                  <w:r>
                    <w:rPr>
                      <w:rFonts w:ascii="Times New Roman" w:hAnsi="Times New Roman"/>
                      <w:sz w:val="21"/>
                      <w:szCs w:val="21"/>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防治措施</w:t>
                  </w: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环保措施</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污水处理设施 </w:t>
                  </w:r>
                  <w:r>
                    <w:rPr>
                      <w:rFonts w:ascii="Times New Roman" w:hAnsi="Times New Roman"/>
                      <w:sz w:val="21"/>
                      <w:szCs w:val="21"/>
                      <w:highlight w:val="none"/>
                    </w:rPr>
                    <w:sym w:font="Wingdings 2" w:char="00A3"/>
                  </w:r>
                  <w:r>
                    <w:rPr>
                      <w:rFonts w:ascii="Times New Roman" w:hAnsi="Times New Roman"/>
                      <w:sz w:val="21"/>
                      <w:szCs w:val="21"/>
                    </w:rPr>
                    <w:t xml:space="preserve">；水文减缓设施 </w:t>
                  </w:r>
                  <w:r>
                    <w:rPr>
                      <w:rFonts w:ascii="Times New Roman" w:hAnsi="Times New Roman"/>
                      <w:sz w:val="21"/>
                      <w:szCs w:val="21"/>
                      <w:highlight w:val="none"/>
                    </w:rPr>
                    <w:sym w:font="Wingdings 2" w:char="00A3"/>
                  </w:r>
                  <w:r>
                    <w:rPr>
                      <w:rFonts w:ascii="Times New Roman" w:hAnsi="Times New Roman"/>
                      <w:sz w:val="21"/>
                      <w:szCs w:val="21"/>
                    </w:rPr>
                    <w:t xml:space="preserve">；生态流量保障设施 </w:t>
                  </w:r>
                  <w:r>
                    <w:rPr>
                      <w:rFonts w:ascii="Times New Roman" w:hAnsi="Times New Roman"/>
                      <w:sz w:val="21"/>
                      <w:szCs w:val="21"/>
                      <w:highlight w:val="none"/>
                    </w:rPr>
                    <w:sym w:font="Wingdings 2" w:char="00A3"/>
                  </w:r>
                  <w:r>
                    <w:rPr>
                      <w:rFonts w:ascii="Times New Roman" w:hAnsi="Times New Roman"/>
                      <w:sz w:val="21"/>
                      <w:szCs w:val="21"/>
                    </w:rPr>
                    <w:t xml:space="preserve">；区域消减依托其他工程措施 </w:t>
                  </w:r>
                  <w:r>
                    <w:rPr>
                      <w:rFonts w:ascii="Times New Roman" w:hAnsi="Times New Roman"/>
                      <w:sz w:val="21"/>
                      <w:szCs w:val="21"/>
                      <w:highlight w:val="none"/>
                    </w:rPr>
                    <w:sym w:font="Wingdings 2" w:char="00A3"/>
                  </w:r>
                  <w:r>
                    <w:rPr>
                      <w:rFonts w:ascii="Times New Roman" w:hAnsi="Times New Roman"/>
                      <w:sz w:val="21"/>
                      <w:szCs w:val="21"/>
                    </w:rPr>
                    <w:t xml:space="preserve">；其他 </w:t>
                  </w:r>
                  <w:r>
                    <w:rPr>
                      <w:rFonts w:ascii="Times New Roman" w:hAnsi="Times New Roman"/>
                      <w:sz w:val="21"/>
                      <w:szCs w:val="21"/>
                      <w:highlight w:val="none"/>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监测计划</w:t>
                  </w:r>
                </w:p>
              </w:tc>
              <w:tc>
                <w:tcPr>
                  <w:tcW w:w="1736" w:type="dxa"/>
                  <w:gridSpan w:val="2"/>
                  <w:shd w:val="clear" w:color="auto" w:fill="auto"/>
                  <w:vAlign w:val="center"/>
                </w:tcPr>
                <w:p>
                  <w:pPr>
                    <w:pStyle w:val="3"/>
                    <w:spacing w:after="0"/>
                    <w:ind w:left="0" w:leftChars="0"/>
                    <w:rPr>
                      <w:rFonts w:ascii="Times New Roman" w:hAnsi="Times New Roman"/>
                      <w:sz w:val="21"/>
                      <w:szCs w:val="21"/>
                    </w:rPr>
                  </w:pPr>
                </w:p>
              </w:tc>
              <w:tc>
                <w:tcPr>
                  <w:tcW w:w="2658"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环境质量</w:t>
                  </w:r>
                </w:p>
              </w:tc>
              <w:tc>
                <w:tcPr>
                  <w:tcW w:w="2566"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736"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highlight w:val="none"/>
                    </w:rPr>
                    <w:t>监测</w:t>
                  </w:r>
                  <w:r>
                    <w:rPr>
                      <w:rFonts w:ascii="Times New Roman" w:hAnsi="Times New Roman"/>
                      <w:sz w:val="21"/>
                      <w:szCs w:val="21"/>
                    </w:rPr>
                    <w:t>方法</w:t>
                  </w:r>
                </w:p>
              </w:tc>
              <w:tc>
                <w:tcPr>
                  <w:tcW w:w="2658"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手动 </w:t>
                  </w:r>
                  <w:r>
                    <w:rPr>
                      <w:rFonts w:ascii="Times New Roman" w:hAnsi="Times New Roman"/>
                      <w:sz w:val="21"/>
                      <w:szCs w:val="21"/>
                      <w:highlight w:val="none"/>
                    </w:rPr>
                    <w:sym w:font="Wingdings 2" w:char="00A3"/>
                  </w:r>
                  <w:r>
                    <w:rPr>
                      <w:rFonts w:ascii="Times New Roman" w:hAnsi="Times New Roman"/>
                      <w:sz w:val="21"/>
                      <w:szCs w:val="21"/>
                    </w:rPr>
                    <w:t xml:space="preserve">；自动 </w:t>
                  </w:r>
                  <w:r>
                    <w:rPr>
                      <w:rFonts w:ascii="Times New Roman" w:hAnsi="Times New Roman"/>
                      <w:sz w:val="21"/>
                      <w:szCs w:val="21"/>
                      <w:highlight w:val="none"/>
                    </w:rPr>
                    <w:sym w:font="Wingdings 2" w:char="00A3"/>
                  </w:r>
                  <w:r>
                    <w:rPr>
                      <w:rFonts w:ascii="Times New Roman" w:hAnsi="Times New Roman"/>
                      <w:sz w:val="21"/>
                      <w:szCs w:val="21"/>
                    </w:rPr>
                    <w:t xml:space="preserve">；无检测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p>
              </w:tc>
              <w:tc>
                <w:tcPr>
                  <w:tcW w:w="2566"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手动 </w:t>
                  </w:r>
                  <w:r>
                    <w:rPr>
                      <w:rFonts w:ascii="Times New Roman" w:hAnsi="Times New Roman"/>
                      <w:sz w:val="21"/>
                      <w:szCs w:val="21"/>
                      <w:highlight w:val="none"/>
                    </w:rPr>
                    <w:sym w:font="Wingdings 2" w:char="0052"/>
                  </w:r>
                  <w:r>
                    <w:rPr>
                      <w:rFonts w:ascii="Times New Roman" w:hAnsi="Times New Roman"/>
                      <w:sz w:val="21"/>
                      <w:szCs w:val="21"/>
                    </w:rPr>
                    <w:t xml:space="preserve">；自动 </w:t>
                  </w:r>
                  <w:r>
                    <w:rPr>
                      <w:rFonts w:ascii="Times New Roman" w:hAnsi="Times New Roman"/>
                      <w:sz w:val="21"/>
                      <w:szCs w:val="21"/>
                      <w:highlight w:val="none"/>
                    </w:rPr>
                    <w:sym w:font="Wingdings 2" w:char="00A3"/>
                  </w:r>
                  <w:r>
                    <w:rPr>
                      <w:rFonts w:ascii="Times New Roman" w:hAnsi="Times New Roman"/>
                      <w:sz w:val="21"/>
                      <w:szCs w:val="21"/>
                    </w:rPr>
                    <w:t xml:space="preserve">；无检测 </w:t>
                  </w: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736"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监测点位</w:t>
                  </w:r>
                </w:p>
              </w:tc>
              <w:tc>
                <w:tcPr>
                  <w:tcW w:w="2658"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2566"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化粪池排水口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vMerge w:val="continue"/>
                  <w:shd w:val="clear" w:color="auto" w:fill="auto"/>
                  <w:vAlign w:val="center"/>
                </w:tcPr>
                <w:p>
                  <w:pPr>
                    <w:pStyle w:val="3"/>
                    <w:spacing w:after="0"/>
                    <w:ind w:left="0" w:leftChars="0"/>
                    <w:rPr>
                      <w:rFonts w:ascii="Times New Roman" w:hAnsi="Times New Roman"/>
                      <w:sz w:val="21"/>
                      <w:szCs w:val="21"/>
                    </w:rPr>
                  </w:pPr>
                </w:p>
              </w:tc>
              <w:tc>
                <w:tcPr>
                  <w:tcW w:w="1736"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监测因子</w:t>
                  </w:r>
                </w:p>
              </w:tc>
              <w:tc>
                <w:tcPr>
                  <w:tcW w:w="2658" w:type="dxa"/>
                  <w:gridSpan w:val="7"/>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w:t>
                  </w:r>
                </w:p>
              </w:tc>
              <w:tc>
                <w:tcPr>
                  <w:tcW w:w="2566" w:type="dxa"/>
                  <w:gridSpan w:val="4"/>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COD、氨氮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spacing w:after="0"/>
                    <w:ind w:left="0" w:leftChars="0"/>
                    <w:rPr>
                      <w:rFonts w:ascii="Times New Roman" w:hAnsi="Times New Roman"/>
                      <w:sz w:val="21"/>
                      <w:szCs w:val="21"/>
                    </w:rPr>
                  </w:pPr>
                </w:p>
              </w:tc>
              <w:tc>
                <w:tcPr>
                  <w:tcW w:w="1370"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污染物排放清单</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highlight w:val="none"/>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823" w:type="dxa"/>
                  <w:gridSpan w:val="2"/>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评价结论</w:t>
                  </w:r>
                </w:p>
              </w:tc>
              <w:tc>
                <w:tcPr>
                  <w:tcW w:w="6960" w:type="dxa"/>
                  <w:gridSpan w:val="1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 xml:space="preserve">可以接受 </w:t>
                  </w:r>
                  <w:r>
                    <w:rPr>
                      <w:rFonts w:ascii="Times New Roman" w:hAnsi="Times New Roman"/>
                      <w:sz w:val="21"/>
                      <w:szCs w:val="21"/>
                    </w:rPr>
                    <w:fldChar w:fldCharType="begin"/>
                  </w:r>
                  <w:r>
                    <w:rPr>
                      <w:rFonts w:ascii="Times New Roman" w:hAnsi="Times New Roman"/>
                      <w:sz w:val="21"/>
                      <w:szCs w:val="21"/>
                    </w:rPr>
                    <w:instrText xml:space="preserve"> eq \o\ac(□,√)</w:instrText>
                  </w:r>
                  <w:r>
                    <w:rPr>
                      <w:rFonts w:ascii="Times New Roman" w:hAnsi="Times New Roman"/>
                      <w:sz w:val="21"/>
                      <w:szCs w:val="21"/>
                    </w:rPr>
                    <w:fldChar w:fldCharType="end"/>
                  </w:r>
                  <w:r>
                    <w:rPr>
                      <w:rFonts w:ascii="Times New Roman" w:hAnsi="Times New Roman"/>
                      <w:sz w:val="21"/>
                      <w:szCs w:val="21"/>
                    </w:rPr>
                    <w:t>；不可以接受</w:t>
                  </w:r>
                  <w:r>
                    <w:rPr>
                      <w:rFonts w:ascii="Times New Roman" w:hAnsi="Times New Roman"/>
                      <w:sz w:val="21"/>
                      <w:szCs w:val="21"/>
                      <w:highlight w:val="none"/>
                    </w:rPr>
                    <w:t xml:space="preserve"> </w:t>
                  </w:r>
                  <w:r>
                    <w:rPr>
                      <w:rFonts w:ascii="Times New Roman" w:hAnsi="Times New Roman"/>
                      <w:sz w:val="21"/>
                      <w:szCs w:val="21"/>
                    </w:rPr>
                    <w:sym w:font="Wingdings 2" w:char="00A3"/>
                  </w: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783" w:type="dxa"/>
                  <w:gridSpan w:val="15"/>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注：“</w:t>
                  </w:r>
                  <w:r>
                    <w:rPr>
                      <w:rFonts w:ascii="Times New Roman" w:hAnsi="Times New Roman"/>
                      <w:sz w:val="21"/>
                      <w:szCs w:val="21"/>
                      <w:highlight w:val="none"/>
                    </w:rPr>
                    <w:sym w:font="Wingdings 2" w:char="00A3"/>
                  </w:r>
                  <w:r>
                    <w:rPr>
                      <w:rFonts w:ascii="Times New Roman" w:hAnsi="Times New Roman"/>
                      <w:sz w:val="21"/>
                      <w:szCs w:val="21"/>
                    </w:rPr>
                    <w:t>”为勾选项，可√；“（  ）”为内容填写项：“备注”为其他补充内容。</w:t>
                  </w:r>
                </w:p>
              </w:tc>
            </w:tr>
          </w:tbl>
          <w:p>
            <w:pPr>
              <w:adjustRightInd w:val="0"/>
              <w:snapToGrid w:val="0"/>
              <w:spacing w:before="76" w:beforeLines="20" w:after="38" w:afterLines="10"/>
              <w:jc w:val="center"/>
              <w:rPr>
                <w:rFonts w:eastAsia="黑体"/>
                <w:sz w:val="24"/>
                <w:szCs w:val="24"/>
              </w:rPr>
            </w:pPr>
            <w:r>
              <w:rPr>
                <w:rFonts w:eastAsia="黑体"/>
                <w:sz w:val="24"/>
                <w:szCs w:val="24"/>
              </w:rPr>
              <w:t>表35   废水类别、污染物及污染治理设施信息表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1"/>
              <w:gridCol w:w="759"/>
              <w:gridCol w:w="908"/>
              <w:gridCol w:w="757"/>
              <w:gridCol w:w="757"/>
              <w:gridCol w:w="908"/>
              <w:gridCol w:w="757"/>
              <w:gridCol w:w="757"/>
              <w:gridCol w:w="908"/>
              <w:gridCol w:w="757"/>
              <w:gridCol w:w="7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序号</w:t>
                  </w:r>
                </w:p>
              </w:tc>
              <w:tc>
                <w:tcPr>
                  <w:tcW w:w="759"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废水类别</w:t>
                  </w:r>
                </w:p>
              </w:tc>
              <w:tc>
                <w:tcPr>
                  <w:tcW w:w="908"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污染物种类</w:t>
                  </w:r>
                </w:p>
              </w:tc>
              <w:tc>
                <w:tcPr>
                  <w:tcW w:w="757"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排放去向</w:t>
                  </w:r>
                </w:p>
              </w:tc>
              <w:tc>
                <w:tcPr>
                  <w:tcW w:w="757"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排放规律</w:t>
                  </w:r>
                </w:p>
              </w:tc>
              <w:tc>
                <w:tcPr>
                  <w:tcW w:w="2422" w:type="dxa"/>
                  <w:gridSpan w:val="3"/>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污染治理设施</w:t>
                  </w:r>
                </w:p>
              </w:tc>
              <w:tc>
                <w:tcPr>
                  <w:tcW w:w="908"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排放口编号</w:t>
                  </w:r>
                </w:p>
              </w:tc>
              <w:tc>
                <w:tcPr>
                  <w:tcW w:w="757"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排放口设置是否符合要求</w:t>
                  </w:r>
                </w:p>
              </w:tc>
              <w:tc>
                <w:tcPr>
                  <w:tcW w:w="754"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排放口类型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shd w:val="clear" w:color="auto" w:fill="auto"/>
                  <w:vAlign w:val="center"/>
                </w:tcPr>
                <w:p>
                  <w:pPr>
                    <w:pStyle w:val="3"/>
                    <w:spacing w:after="0"/>
                    <w:ind w:left="0" w:leftChars="0"/>
                    <w:rPr>
                      <w:rFonts w:ascii="Times New Roman" w:hAnsi="Times New Roman"/>
                      <w:sz w:val="21"/>
                      <w:szCs w:val="21"/>
                    </w:rPr>
                  </w:pPr>
                </w:p>
              </w:tc>
              <w:tc>
                <w:tcPr>
                  <w:tcW w:w="759" w:type="dxa"/>
                  <w:vMerge w:val="continue"/>
                  <w:shd w:val="clear" w:color="auto" w:fill="auto"/>
                  <w:vAlign w:val="center"/>
                </w:tcPr>
                <w:p>
                  <w:pPr>
                    <w:pStyle w:val="3"/>
                    <w:spacing w:after="0"/>
                    <w:ind w:left="0" w:leftChars="0"/>
                    <w:rPr>
                      <w:rFonts w:ascii="Times New Roman" w:hAnsi="Times New Roman"/>
                      <w:sz w:val="21"/>
                      <w:szCs w:val="21"/>
                    </w:rPr>
                  </w:pPr>
                </w:p>
              </w:tc>
              <w:tc>
                <w:tcPr>
                  <w:tcW w:w="908" w:type="dxa"/>
                  <w:vMerge w:val="continue"/>
                  <w:shd w:val="clear" w:color="auto" w:fill="auto"/>
                  <w:vAlign w:val="center"/>
                </w:tcPr>
                <w:p>
                  <w:pPr>
                    <w:pStyle w:val="3"/>
                    <w:spacing w:after="0"/>
                    <w:ind w:left="0" w:leftChars="0"/>
                    <w:rPr>
                      <w:rFonts w:ascii="Times New Roman" w:hAnsi="Times New Roman"/>
                      <w:sz w:val="21"/>
                      <w:szCs w:val="21"/>
                    </w:rPr>
                  </w:pPr>
                </w:p>
              </w:tc>
              <w:tc>
                <w:tcPr>
                  <w:tcW w:w="757" w:type="dxa"/>
                  <w:vMerge w:val="continue"/>
                  <w:shd w:val="clear" w:color="auto" w:fill="auto"/>
                  <w:vAlign w:val="center"/>
                </w:tcPr>
                <w:p>
                  <w:pPr>
                    <w:pStyle w:val="3"/>
                    <w:spacing w:after="0"/>
                    <w:ind w:left="0" w:leftChars="0"/>
                    <w:rPr>
                      <w:rFonts w:ascii="Times New Roman" w:hAnsi="Times New Roman"/>
                      <w:sz w:val="21"/>
                      <w:szCs w:val="21"/>
                    </w:rPr>
                  </w:pPr>
                </w:p>
              </w:tc>
              <w:tc>
                <w:tcPr>
                  <w:tcW w:w="757" w:type="dxa"/>
                  <w:vMerge w:val="continue"/>
                  <w:shd w:val="clear" w:color="auto" w:fill="auto"/>
                  <w:vAlign w:val="center"/>
                </w:tcPr>
                <w:p>
                  <w:pPr>
                    <w:pStyle w:val="3"/>
                    <w:spacing w:after="0"/>
                    <w:ind w:left="0" w:leftChars="0"/>
                    <w:rPr>
                      <w:rFonts w:ascii="Times New Roman" w:hAnsi="Times New Roman"/>
                      <w:sz w:val="21"/>
                      <w:szCs w:val="21"/>
                    </w:rPr>
                  </w:pP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污染物治理设施编号</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污染物治理设施名称</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污染治理设施工艺</w:t>
                  </w:r>
                </w:p>
              </w:tc>
              <w:tc>
                <w:tcPr>
                  <w:tcW w:w="908" w:type="dxa"/>
                  <w:vMerge w:val="continue"/>
                  <w:shd w:val="clear" w:color="auto" w:fill="auto"/>
                  <w:vAlign w:val="center"/>
                </w:tcPr>
                <w:p>
                  <w:pPr>
                    <w:pStyle w:val="3"/>
                    <w:spacing w:after="0"/>
                    <w:ind w:left="0" w:leftChars="0"/>
                    <w:rPr>
                      <w:rFonts w:ascii="Times New Roman" w:hAnsi="Times New Roman"/>
                      <w:sz w:val="21"/>
                      <w:szCs w:val="21"/>
                    </w:rPr>
                  </w:pPr>
                </w:p>
              </w:tc>
              <w:tc>
                <w:tcPr>
                  <w:tcW w:w="757" w:type="dxa"/>
                  <w:vMerge w:val="continue"/>
                  <w:shd w:val="clear" w:color="auto" w:fill="auto"/>
                  <w:vAlign w:val="center"/>
                </w:tcPr>
                <w:p>
                  <w:pPr>
                    <w:pStyle w:val="3"/>
                    <w:spacing w:after="0"/>
                    <w:ind w:left="0" w:leftChars="0"/>
                    <w:rPr>
                      <w:rFonts w:ascii="Times New Roman" w:hAnsi="Times New Roman"/>
                      <w:sz w:val="21"/>
                      <w:szCs w:val="21"/>
                    </w:rPr>
                  </w:pPr>
                </w:p>
              </w:tc>
              <w:tc>
                <w:tcPr>
                  <w:tcW w:w="754" w:type="dxa"/>
                  <w:vMerge w:val="continue"/>
                  <w:shd w:val="clear" w:color="auto" w:fill="auto"/>
                  <w:vAlign w:val="center"/>
                </w:tcPr>
                <w:p>
                  <w:pPr>
                    <w:pStyle w:val="3"/>
                    <w:spacing w:after="0"/>
                    <w:ind w:left="0" w:leftChars="0"/>
                    <w:rPr>
                      <w:rFonts w:ascii="Times New Roman" w:hAnsi="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61"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1</w:t>
                  </w:r>
                </w:p>
              </w:tc>
              <w:tc>
                <w:tcPr>
                  <w:tcW w:w="759"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生活废水</w:t>
                  </w: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COD、BOD</w:t>
                  </w:r>
                  <w:r>
                    <w:rPr>
                      <w:rFonts w:ascii="Times New Roman" w:hAnsi="Times New Roman"/>
                      <w:sz w:val="21"/>
                      <w:szCs w:val="21"/>
                      <w:vertAlign w:val="subscript"/>
                    </w:rPr>
                    <w:t>5、</w:t>
                  </w: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-N、SS、TP、TN</w:t>
                  </w:r>
                </w:p>
              </w:tc>
              <w:tc>
                <w:tcPr>
                  <w:tcW w:w="757"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咸阳机场污水处理厂</w:t>
                  </w:r>
                </w:p>
              </w:tc>
              <w:tc>
                <w:tcPr>
                  <w:tcW w:w="757" w:type="dxa"/>
                  <w:vMerge w:val="restart"/>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连续排放，流量不稳定，但有规律，且不属于周期性规律</w:t>
                  </w: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TW001</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化粪池</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化粪池</w:t>
                  </w:r>
                </w:p>
                <w:p>
                  <w:pPr>
                    <w:pStyle w:val="3"/>
                    <w:spacing w:after="0"/>
                    <w:ind w:left="0" w:leftChars="0"/>
                    <w:rPr>
                      <w:rFonts w:ascii="Times New Roman" w:hAnsi="Times New Roman"/>
                      <w:sz w:val="21"/>
                      <w:szCs w:val="21"/>
                    </w:rPr>
                  </w:pPr>
                  <w:r>
                    <w:rPr>
                      <w:rFonts w:ascii="Times New Roman" w:hAnsi="Times New Roman"/>
                      <w:sz w:val="21"/>
                      <w:szCs w:val="21"/>
                    </w:rPr>
                    <w:t>处理</w:t>
                  </w: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DW001</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是</w:t>
                  </w:r>
                </w:p>
              </w:tc>
              <w:tc>
                <w:tcPr>
                  <w:tcW w:w="754"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混合排放口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61"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2</w:t>
                  </w:r>
                </w:p>
              </w:tc>
              <w:tc>
                <w:tcPr>
                  <w:tcW w:w="759"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生产废水</w:t>
                  </w: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COD、BOD</w:t>
                  </w:r>
                  <w:r>
                    <w:rPr>
                      <w:rFonts w:ascii="Times New Roman" w:hAnsi="Times New Roman"/>
                      <w:sz w:val="21"/>
                      <w:szCs w:val="21"/>
                      <w:vertAlign w:val="subscript"/>
                    </w:rPr>
                    <w:t>5、</w:t>
                  </w: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-N、SS、TP、TN、LAS、石油类</w:t>
                  </w:r>
                </w:p>
              </w:tc>
              <w:tc>
                <w:tcPr>
                  <w:tcW w:w="757" w:type="dxa"/>
                  <w:vMerge w:val="continue"/>
                  <w:shd w:val="clear" w:color="auto" w:fill="auto"/>
                  <w:vAlign w:val="center"/>
                </w:tcPr>
                <w:p>
                  <w:pPr>
                    <w:pStyle w:val="3"/>
                    <w:spacing w:after="0"/>
                    <w:ind w:left="0" w:leftChars="0"/>
                    <w:rPr>
                      <w:rFonts w:ascii="Times New Roman" w:hAnsi="Times New Roman"/>
                      <w:sz w:val="21"/>
                      <w:szCs w:val="21"/>
                    </w:rPr>
                  </w:pPr>
                </w:p>
              </w:tc>
              <w:tc>
                <w:tcPr>
                  <w:tcW w:w="757" w:type="dxa"/>
                  <w:vMerge w:val="continue"/>
                  <w:shd w:val="clear" w:color="auto" w:fill="auto"/>
                  <w:vAlign w:val="center"/>
                </w:tcPr>
                <w:p>
                  <w:pPr>
                    <w:pStyle w:val="3"/>
                    <w:spacing w:after="0"/>
                    <w:ind w:left="0" w:leftChars="0"/>
                    <w:rPr>
                      <w:rFonts w:ascii="Times New Roman" w:hAnsi="Times New Roman"/>
                      <w:sz w:val="21"/>
                      <w:szCs w:val="21"/>
                    </w:rPr>
                  </w:pP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TW002</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过滤桶</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过滤棉</w:t>
                  </w:r>
                </w:p>
              </w:tc>
              <w:tc>
                <w:tcPr>
                  <w:tcW w:w="908"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DW001</w:t>
                  </w:r>
                </w:p>
              </w:tc>
              <w:tc>
                <w:tcPr>
                  <w:tcW w:w="757"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是</w:t>
                  </w:r>
                </w:p>
              </w:tc>
              <w:tc>
                <w:tcPr>
                  <w:tcW w:w="754" w:type="dxa"/>
                  <w:shd w:val="clear" w:color="auto" w:fill="auto"/>
                  <w:vAlign w:val="center"/>
                </w:tcPr>
                <w:p>
                  <w:pPr>
                    <w:pStyle w:val="3"/>
                    <w:spacing w:after="0"/>
                    <w:ind w:left="0" w:leftChars="0"/>
                    <w:rPr>
                      <w:rFonts w:ascii="Times New Roman" w:hAnsi="Times New Roman"/>
                      <w:sz w:val="21"/>
                      <w:szCs w:val="21"/>
                    </w:rPr>
                  </w:pPr>
                  <w:r>
                    <w:rPr>
                      <w:rFonts w:ascii="Times New Roman" w:hAnsi="Times New Roman"/>
                      <w:sz w:val="21"/>
                      <w:szCs w:val="21"/>
                    </w:rPr>
                    <w:t>混合废水排放口</w:t>
                  </w:r>
                </w:p>
              </w:tc>
            </w:tr>
          </w:tbl>
          <w:p>
            <w:pPr>
              <w:adjustRightInd w:val="0"/>
              <w:snapToGrid w:val="0"/>
              <w:spacing w:before="76" w:beforeLines="20" w:after="38" w:afterLines="10"/>
              <w:jc w:val="center"/>
              <w:rPr>
                <w:rFonts w:eastAsia="黑体"/>
                <w:sz w:val="24"/>
                <w:szCs w:val="24"/>
              </w:rPr>
            </w:pPr>
            <w:r>
              <w:rPr>
                <w:rFonts w:eastAsia="黑体"/>
                <w:sz w:val="24"/>
                <w:szCs w:val="24"/>
              </w:rPr>
              <w:t>表36   废水间接排放口基本情况表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4"/>
              <w:gridCol w:w="881"/>
              <w:gridCol w:w="1214"/>
              <w:gridCol w:w="1109"/>
              <w:gridCol w:w="996"/>
              <w:gridCol w:w="576"/>
              <w:gridCol w:w="636"/>
              <w:gridCol w:w="426"/>
              <w:gridCol w:w="426"/>
              <w:gridCol w:w="974"/>
              <w:gridCol w:w="10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454"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序号</w:t>
                  </w:r>
                </w:p>
              </w:tc>
              <w:tc>
                <w:tcPr>
                  <w:tcW w:w="881"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排放口编号</w:t>
                  </w:r>
                </w:p>
              </w:tc>
              <w:tc>
                <w:tcPr>
                  <w:tcW w:w="2323" w:type="dxa"/>
                  <w:gridSpan w:val="2"/>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排放口地理坐标</w:t>
                  </w:r>
                </w:p>
              </w:tc>
              <w:tc>
                <w:tcPr>
                  <w:tcW w:w="99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废水排放量/（万t/a）</w:t>
                  </w:r>
                </w:p>
              </w:tc>
              <w:tc>
                <w:tcPr>
                  <w:tcW w:w="57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 xml:space="preserve"> 排放去向</w:t>
                  </w:r>
                </w:p>
              </w:tc>
              <w:tc>
                <w:tcPr>
                  <w:tcW w:w="63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排放规律</w:t>
                  </w:r>
                </w:p>
              </w:tc>
              <w:tc>
                <w:tcPr>
                  <w:tcW w:w="42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间歇排放时段</w:t>
                  </w:r>
                </w:p>
              </w:tc>
              <w:tc>
                <w:tcPr>
                  <w:tcW w:w="2491" w:type="dxa"/>
                  <w:gridSpan w:val="3"/>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收纳污水处理厂信息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454"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88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14"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经度</w:t>
                  </w:r>
                </w:p>
              </w:tc>
              <w:tc>
                <w:tcPr>
                  <w:tcW w:w="11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纬度</w:t>
                  </w:r>
                </w:p>
              </w:tc>
              <w:tc>
                <w:tcPr>
                  <w:tcW w:w="99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57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63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42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42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名称</w:t>
                  </w:r>
                </w:p>
              </w:tc>
              <w:tc>
                <w:tcPr>
                  <w:tcW w:w="974"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污染物种类</w:t>
                  </w:r>
                </w:p>
              </w:tc>
              <w:tc>
                <w:tcPr>
                  <w:tcW w:w="1091"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国家或地方污染物排放标准浓度限值/（mg/L）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68" w:hRule="atLeast"/>
              </w:trPr>
              <w:tc>
                <w:tcPr>
                  <w:tcW w:w="454"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w:t>
                  </w:r>
                </w:p>
              </w:tc>
              <w:tc>
                <w:tcPr>
                  <w:tcW w:w="881"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DW001</w:t>
                  </w:r>
                </w:p>
              </w:tc>
              <w:tc>
                <w:tcPr>
                  <w:tcW w:w="1214" w:type="dxa"/>
                  <w:shd w:val="clear" w:color="auto" w:fill="auto"/>
                  <w:vAlign w:val="center"/>
                </w:tcPr>
                <w:p>
                  <w:pPr>
                    <w:pStyle w:val="3"/>
                    <w:spacing w:after="0"/>
                    <w:ind w:left="0" w:leftChars="0"/>
                    <w:jc w:val="center"/>
                    <w:rPr>
                      <w:rFonts w:ascii="Times New Roman" w:hAnsi="Times New Roman"/>
                      <w:sz w:val="21"/>
                      <w:szCs w:val="21"/>
                      <w:highlight w:val="yellow"/>
                    </w:rPr>
                  </w:pPr>
                  <w:r>
                    <w:rPr>
                      <w:rFonts w:ascii="Times New Roman" w:hAnsi="Times New Roman"/>
                      <w:color w:val="000000" w:themeColor="text1"/>
                      <w:sz w:val="21"/>
                      <w:szCs w:val="21"/>
                      <w14:textFill>
                        <w14:solidFill>
                          <w14:schemeClr w14:val="tx1"/>
                        </w14:solidFill>
                      </w14:textFill>
                    </w:rPr>
                    <w:t>108.769315</w:t>
                  </w:r>
                </w:p>
              </w:tc>
              <w:tc>
                <w:tcPr>
                  <w:tcW w:w="11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color w:val="000000" w:themeColor="text1"/>
                      <w:sz w:val="21"/>
                      <w:szCs w:val="21"/>
                      <w14:textFill>
                        <w14:solidFill>
                          <w14:schemeClr w14:val="tx1"/>
                        </w14:solidFill>
                      </w14:textFill>
                    </w:rPr>
                    <w:t>34.448153</w:t>
                  </w:r>
                </w:p>
              </w:tc>
              <w:tc>
                <w:tcPr>
                  <w:tcW w:w="99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0.114618</w:t>
                  </w:r>
                </w:p>
              </w:tc>
              <w:tc>
                <w:tcPr>
                  <w:tcW w:w="57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进入咸阳机场污水处理厂</w:t>
                  </w:r>
                </w:p>
              </w:tc>
              <w:tc>
                <w:tcPr>
                  <w:tcW w:w="63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连续排放，流量不稳定，但有规律，且不属于周期性规律</w:t>
                  </w:r>
                </w:p>
              </w:tc>
              <w:tc>
                <w:tcPr>
                  <w:tcW w:w="42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w:t>
                  </w:r>
                </w:p>
              </w:tc>
              <w:tc>
                <w:tcPr>
                  <w:tcW w:w="42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咸阳机场污水处理厂</w:t>
                  </w:r>
                </w:p>
              </w:tc>
              <w:tc>
                <w:tcPr>
                  <w:tcW w:w="974"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COD、BOD</w:t>
                  </w:r>
                  <w:r>
                    <w:rPr>
                      <w:rFonts w:ascii="Times New Roman" w:hAnsi="Times New Roman"/>
                      <w:sz w:val="21"/>
                      <w:szCs w:val="21"/>
                      <w:vertAlign w:val="subscript"/>
                    </w:rPr>
                    <w:t>5、</w:t>
                  </w: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-N、SS、</w:t>
                  </w:r>
                </w:p>
                <w:p>
                  <w:pPr>
                    <w:pStyle w:val="3"/>
                    <w:spacing w:after="0"/>
                    <w:ind w:left="0" w:leftChars="0"/>
                    <w:jc w:val="center"/>
                    <w:rPr>
                      <w:rFonts w:ascii="Times New Roman" w:hAnsi="Times New Roman"/>
                      <w:sz w:val="21"/>
                      <w:szCs w:val="21"/>
                    </w:rPr>
                  </w:pPr>
                  <w:r>
                    <w:rPr>
                      <w:rFonts w:ascii="Times New Roman" w:hAnsi="Times New Roman"/>
                      <w:sz w:val="21"/>
                      <w:szCs w:val="21"/>
                    </w:rPr>
                    <w:t>TP、TN、LAS、</w:t>
                  </w:r>
                </w:p>
                <w:p>
                  <w:pPr>
                    <w:pStyle w:val="3"/>
                    <w:spacing w:after="0"/>
                    <w:ind w:left="0" w:leftChars="0"/>
                    <w:jc w:val="center"/>
                    <w:rPr>
                      <w:rFonts w:ascii="Times New Roman" w:hAnsi="Times New Roman"/>
                      <w:sz w:val="21"/>
                      <w:szCs w:val="21"/>
                    </w:rPr>
                  </w:pPr>
                  <w:r>
                    <w:rPr>
                      <w:rFonts w:ascii="Times New Roman" w:hAnsi="Times New Roman"/>
                      <w:sz w:val="21"/>
                      <w:szCs w:val="21"/>
                    </w:rPr>
                    <w:t>石油类</w:t>
                  </w:r>
                </w:p>
              </w:tc>
              <w:tc>
                <w:tcPr>
                  <w:tcW w:w="1091"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50</w:t>
                  </w:r>
                </w:p>
                <w:p>
                  <w:pPr>
                    <w:pStyle w:val="3"/>
                    <w:spacing w:after="0"/>
                    <w:ind w:left="0" w:leftChars="0"/>
                    <w:jc w:val="center"/>
                    <w:rPr>
                      <w:rFonts w:ascii="Times New Roman" w:hAnsi="Times New Roman"/>
                      <w:sz w:val="21"/>
                      <w:szCs w:val="21"/>
                    </w:rPr>
                  </w:pPr>
                  <w:r>
                    <w:rPr>
                      <w:rFonts w:ascii="Times New Roman" w:hAnsi="Times New Roman"/>
                      <w:sz w:val="21"/>
                      <w:szCs w:val="21"/>
                    </w:rPr>
                    <w:t>10</w:t>
                  </w:r>
                </w:p>
                <w:p>
                  <w:pPr>
                    <w:pStyle w:val="3"/>
                    <w:spacing w:after="0"/>
                    <w:ind w:left="0" w:leftChars="0"/>
                    <w:jc w:val="center"/>
                    <w:rPr>
                      <w:rFonts w:ascii="Times New Roman" w:hAnsi="Times New Roman"/>
                      <w:sz w:val="21"/>
                      <w:szCs w:val="21"/>
                    </w:rPr>
                  </w:pPr>
                  <w:r>
                    <w:rPr>
                      <w:rFonts w:ascii="Times New Roman" w:hAnsi="Times New Roman"/>
                      <w:sz w:val="21"/>
                      <w:szCs w:val="21"/>
                    </w:rPr>
                    <w:t>5</w:t>
                  </w:r>
                </w:p>
                <w:p>
                  <w:pPr>
                    <w:pStyle w:val="3"/>
                    <w:spacing w:after="0"/>
                    <w:ind w:left="0" w:leftChars="0"/>
                    <w:jc w:val="center"/>
                    <w:rPr>
                      <w:rFonts w:ascii="Times New Roman" w:hAnsi="Times New Roman"/>
                      <w:sz w:val="21"/>
                      <w:szCs w:val="21"/>
                    </w:rPr>
                  </w:pPr>
                  <w:r>
                    <w:rPr>
                      <w:rFonts w:ascii="Times New Roman" w:hAnsi="Times New Roman"/>
                      <w:sz w:val="21"/>
                      <w:szCs w:val="21"/>
                    </w:rPr>
                    <w:t>10</w:t>
                  </w:r>
                </w:p>
                <w:p>
                  <w:pPr>
                    <w:pStyle w:val="3"/>
                    <w:spacing w:after="0"/>
                    <w:ind w:left="0" w:leftChars="0"/>
                    <w:jc w:val="center"/>
                    <w:rPr>
                      <w:rFonts w:ascii="Times New Roman" w:hAnsi="Times New Roman"/>
                      <w:sz w:val="21"/>
                      <w:szCs w:val="21"/>
                    </w:rPr>
                  </w:pPr>
                  <w:r>
                    <w:rPr>
                      <w:rFonts w:ascii="Times New Roman" w:hAnsi="Times New Roman"/>
                      <w:sz w:val="21"/>
                      <w:szCs w:val="21"/>
                    </w:rPr>
                    <w:t>1</w:t>
                  </w:r>
                </w:p>
                <w:p>
                  <w:pPr>
                    <w:pStyle w:val="3"/>
                    <w:spacing w:after="0"/>
                    <w:ind w:left="0" w:leftChars="0"/>
                    <w:jc w:val="center"/>
                    <w:rPr>
                      <w:rFonts w:ascii="Times New Roman" w:hAnsi="Times New Roman"/>
                      <w:sz w:val="21"/>
                      <w:szCs w:val="21"/>
                    </w:rPr>
                  </w:pPr>
                  <w:r>
                    <w:rPr>
                      <w:rFonts w:ascii="Times New Roman" w:hAnsi="Times New Roman"/>
                      <w:sz w:val="21"/>
                      <w:szCs w:val="21"/>
                    </w:rPr>
                    <w:t>15</w:t>
                  </w:r>
                </w:p>
                <w:p>
                  <w:pPr>
                    <w:pStyle w:val="3"/>
                    <w:spacing w:after="0"/>
                    <w:ind w:left="0" w:leftChars="0"/>
                    <w:jc w:val="center"/>
                    <w:rPr>
                      <w:rFonts w:ascii="Times New Roman" w:hAnsi="Times New Roman"/>
                      <w:sz w:val="21"/>
                      <w:szCs w:val="21"/>
                    </w:rPr>
                  </w:pPr>
                  <w:r>
                    <w:rPr>
                      <w:rFonts w:ascii="Times New Roman" w:hAnsi="Times New Roman"/>
                      <w:sz w:val="21"/>
                      <w:szCs w:val="21"/>
                    </w:rPr>
                    <w:t>0.5</w:t>
                  </w:r>
                </w:p>
                <w:p>
                  <w:pPr>
                    <w:pStyle w:val="3"/>
                    <w:spacing w:after="0"/>
                    <w:ind w:left="0" w:leftChars="0"/>
                    <w:jc w:val="center"/>
                    <w:rPr>
                      <w:rFonts w:ascii="Times New Roman" w:hAnsi="Times New Roman"/>
                      <w:sz w:val="21"/>
                      <w:szCs w:val="21"/>
                    </w:rPr>
                  </w:pPr>
                  <w:r>
                    <w:rPr>
                      <w:rFonts w:ascii="Times New Roman" w:hAnsi="Times New Roman"/>
                      <w:sz w:val="21"/>
                      <w:szCs w:val="21"/>
                    </w:rPr>
                    <w:t>1</w:t>
                  </w:r>
                </w:p>
              </w:tc>
            </w:tr>
          </w:tbl>
          <w:p>
            <w:pPr>
              <w:adjustRightInd w:val="0"/>
              <w:snapToGrid w:val="0"/>
              <w:spacing w:before="76" w:beforeLines="20" w:after="38" w:afterLines="10"/>
              <w:jc w:val="center"/>
              <w:rPr>
                <w:rFonts w:eastAsia="黑体"/>
                <w:sz w:val="24"/>
                <w:szCs w:val="24"/>
              </w:rPr>
            </w:pPr>
            <w:r>
              <w:rPr>
                <w:rFonts w:eastAsia="黑体"/>
                <w:sz w:val="24"/>
                <w:szCs w:val="24"/>
              </w:rPr>
              <w:t>表37   废水污染物排放执行标准表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21"/>
              <w:gridCol w:w="1339"/>
              <w:gridCol w:w="3706"/>
              <w:gridCol w:w="18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序号</w:t>
                  </w:r>
                </w:p>
              </w:tc>
              <w:tc>
                <w:tcPr>
                  <w:tcW w:w="1221"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排放口</w:t>
                  </w:r>
                </w:p>
                <w:p>
                  <w:pPr>
                    <w:pStyle w:val="3"/>
                    <w:spacing w:after="0"/>
                    <w:ind w:left="0" w:leftChars="0"/>
                    <w:jc w:val="center"/>
                    <w:rPr>
                      <w:rFonts w:ascii="Times New Roman" w:hAnsi="Times New Roman"/>
                      <w:sz w:val="21"/>
                      <w:szCs w:val="21"/>
                    </w:rPr>
                  </w:pPr>
                  <w:r>
                    <w:rPr>
                      <w:rFonts w:ascii="Times New Roman" w:hAnsi="Times New Roman"/>
                      <w:sz w:val="21"/>
                      <w:szCs w:val="21"/>
                    </w:rPr>
                    <w:t>编号</w:t>
                  </w:r>
                </w:p>
              </w:tc>
              <w:tc>
                <w:tcPr>
                  <w:tcW w:w="1339"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污染物种类</w:t>
                  </w:r>
                </w:p>
              </w:tc>
              <w:tc>
                <w:tcPr>
                  <w:tcW w:w="5514" w:type="dxa"/>
                  <w:gridSpan w:val="2"/>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国家或地方污染物排放标准及其他按规定商定的排放协议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370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名称</w:t>
                  </w: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w:t>
                  </w:r>
                </w:p>
              </w:tc>
              <w:tc>
                <w:tcPr>
                  <w:tcW w:w="1221"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DW001</w:t>
                  </w: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COD</w:t>
                  </w:r>
                </w:p>
              </w:tc>
              <w:tc>
                <w:tcPr>
                  <w:tcW w:w="370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《污水综合排放标准》（GB 8978-1996）三级标准</w:t>
                  </w: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3</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SS</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TP</w:t>
                  </w:r>
                </w:p>
              </w:tc>
              <w:tc>
                <w:tcPr>
                  <w:tcW w:w="370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《污水排入城镇下水道水质标准》（GB/T 31962-2015）A级标准</w:t>
                  </w: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5</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TN</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6</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7</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LAS</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70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8</w:t>
                  </w:r>
                </w:p>
              </w:tc>
              <w:tc>
                <w:tcPr>
                  <w:tcW w:w="1221"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33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石油类</w:t>
                  </w:r>
                </w:p>
              </w:tc>
              <w:tc>
                <w:tcPr>
                  <w:tcW w:w="370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80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15</w:t>
                  </w:r>
                </w:p>
              </w:tc>
            </w:tr>
          </w:tbl>
          <w:p>
            <w:pPr>
              <w:adjustRightInd w:val="0"/>
              <w:snapToGrid w:val="0"/>
              <w:spacing w:before="76" w:beforeLines="20" w:after="38" w:afterLines="10"/>
              <w:jc w:val="center"/>
              <w:rPr>
                <w:rFonts w:eastAsia="黑体"/>
                <w:sz w:val="24"/>
                <w:szCs w:val="24"/>
              </w:rPr>
            </w:pPr>
            <w:r>
              <w:rPr>
                <w:rFonts w:eastAsia="黑体"/>
                <w:sz w:val="24"/>
                <w:szCs w:val="24"/>
              </w:rPr>
              <w:t>表38   废水污染物排放信息表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469"/>
              <w:gridCol w:w="1456"/>
              <w:gridCol w:w="1483"/>
              <w:gridCol w:w="1477"/>
              <w:gridCol w:w="14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序号</w:t>
                  </w:r>
                </w:p>
              </w:tc>
              <w:tc>
                <w:tcPr>
                  <w:tcW w:w="1469"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排放口编号</w:t>
                  </w: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污染物种类</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排放浓度/（mg/L）</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日排放量/（t/d）</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w:t>
                  </w:r>
                </w:p>
              </w:tc>
              <w:tc>
                <w:tcPr>
                  <w:tcW w:w="1469"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DW001</w:t>
                  </w: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COD</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428</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0.00135</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256</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0.00081</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0.293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3</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SS</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83</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0.00026</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24</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0.000074</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5</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TN</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34</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0.00011</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6</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TP</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7</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0.000022</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7</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LAS</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15</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0.0005</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43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8</w:t>
                  </w:r>
                </w:p>
              </w:tc>
              <w:tc>
                <w:tcPr>
                  <w:tcW w:w="1469"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45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石油类</w:t>
                  </w:r>
                </w:p>
              </w:tc>
              <w:tc>
                <w:tcPr>
                  <w:tcW w:w="1483"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10</w:t>
                  </w:r>
                </w:p>
              </w:tc>
              <w:tc>
                <w:tcPr>
                  <w:tcW w:w="147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0.000033</w:t>
                  </w:r>
                </w:p>
              </w:tc>
              <w:tc>
                <w:tcPr>
                  <w:tcW w:w="146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0.012</w:t>
                  </w:r>
                </w:p>
              </w:tc>
            </w:tr>
          </w:tbl>
          <w:p>
            <w:pPr>
              <w:adjustRightInd w:val="0"/>
              <w:snapToGrid w:val="0"/>
              <w:spacing w:before="76" w:beforeLines="20" w:after="38" w:afterLines="10"/>
              <w:jc w:val="center"/>
              <w:rPr>
                <w:rFonts w:eastAsia="黑体"/>
                <w:sz w:val="24"/>
                <w:szCs w:val="24"/>
              </w:rPr>
            </w:pPr>
            <w:r>
              <w:rPr>
                <w:rFonts w:eastAsia="黑体"/>
                <w:sz w:val="24"/>
                <w:szCs w:val="24"/>
              </w:rPr>
              <w:t>表39   环境监测计划及记录信息表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8"/>
              <w:gridCol w:w="886"/>
              <w:gridCol w:w="798"/>
              <w:gridCol w:w="727"/>
              <w:gridCol w:w="725"/>
              <w:gridCol w:w="725"/>
              <w:gridCol w:w="725"/>
              <w:gridCol w:w="725"/>
              <w:gridCol w:w="727"/>
              <w:gridCol w:w="727"/>
              <w:gridCol w:w="12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序号</w:t>
                  </w:r>
                </w:p>
              </w:tc>
              <w:tc>
                <w:tcPr>
                  <w:tcW w:w="886"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排放口编号</w:t>
                  </w: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污染物名称</w:t>
                  </w:r>
                </w:p>
              </w:tc>
              <w:tc>
                <w:tcPr>
                  <w:tcW w:w="72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监测设施</w:t>
                  </w:r>
                </w:p>
              </w:tc>
              <w:tc>
                <w:tcPr>
                  <w:tcW w:w="72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自动监测设施安装位置</w:t>
                  </w:r>
                </w:p>
              </w:tc>
              <w:tc>
                <w:tcPr>
                  <w:tcW w:w="72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自动监测设施的安装、运行、维护等相关管理要求</w:t>
                  </w:r>
                </w:p>
              </w:tc>
              <w:tc>
                <w:tcPr>
                  <w:tcW w:w="72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自动监测是否联网</w:t>
                  </w:r>
                </w:p>
              </w:tc>
              <w:tc>
                <w:tcPr>
                  <w:tcW w:w="725"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自动监测仪器名称</w:t>
                  </w:r>
                </w:p>
              </w:tc>
              <w:tc>
                <w:tcPr>
                  <w:tcW w:w="72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手工监测采样方法及个数</w:t>
                  </w:r>
                </w:p>
              </w:tc>
              <w:tc>
                <w:tcPr>
                  <w:tcW w:w="727"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手工监测频次</w:t>
                  </w: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手工测定方法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w:t>
                  </w:r>
                </w:p>
              </w:tc>
              <w:tc>
                <w:tcPr>
                  <w:tcW w:w="886"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DW001</w:t>
                  </w: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COD</w:t>
                  </w:r>
                </w:p>
              </w:tc>
              <w:tc>
                <w:tcPr>
                  <w:tcW w:w="727"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无</w:t>
                  </w:r>
                </w:p>
              </w:tc>
              <w:tc>
                <w:tcPr>
                  <w:tcW w:w="725"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无</w:t>
                  </w:r>
                </w:p>
              </w:tc>
              <w:tc>
                <w:tcPr>
                  <w:tcW w:w="725"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w:t>
                  </w:r>
                </w:p>
              </w:tc>
              <w:tc>
                <w:tcPr>
                  <w:tcW w:w="725"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w:t>
                  </w:r>
                </w:p>
              </w:tc>
              <w:tc>
                <w:tcPr>
                  <w:tcW w:w="725"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w:t>
                  </w:r>
                </w:p>
              </w:tc>
              <w:tc>
                <w:tcPr>
                  <w:tcW w:w="727"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混合采样（3个混合）</w:t>
                  </w:r>
                </w:p>
              </w:tc>
              <w:tc>
                <w:tcPr>
                  <w:tcW w:w="727" w:type="dxa"/>
                  <w:vMerge w:val="restart"/>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1次/年</w:t>
                  </w: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重铬酸盐法</w:t>
                  </w:r>
                </w:p>
                <w:p>
                  <w:pPr>
                    <w:pStyle w:val="3"/>
                    <w:spacing w:after="0"/>
                    <w:ind w:left="0" w:leftChars="0"/>
                    <w:jc w:val="center"/>
                    <w:rPr>
                      <w:rFonts w:ascii="Times New Roman" w:hAnsi="Times New Roman"/>
                      <w:sz w:val="21"/>
                      <w:szCs w:val="21"/>
                    </w:rPr>
                  </w:pPr>
                  <w:r>
                    <w:rPr>
                      <w:rFonts w:ascii="Times New Roman" w:hAnsi="Times New Roman"/>
                      <w:sz w:val="21"/>
                      <w:szCs w:val="21"/>
                    </w:rPr>
                    <w:t>HJ828-2017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2</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稀释与接种法</w:t>
                  </w:r>
                </w:p>
                <w:p>
                  <w:pPr>
                    <w:pStyle w:val="3"/>
                    <w:spacing w:after="0"/>
                    <w:ind w:left="0" w:leftChars="0"/>
                    <w:jc w:val="center"/>
                    <w:rPr>
                      <w:rFonts w:ascii="Times New Roman" w:hAnsi="Times New Roman"/>
                      <w:sz w:val="21"/>
                      <w:szCs w:val="21"/>
                    </w:rPr>
                  </w:pPr>
                  <w:r>
                    <w:rPr>
                      <w:rFonts w:ascii="Times New Roman" w:hAnsi="Times New Roman"/>
                      <w:sz w:val="21"/>
                      <w:szCs w:val="21"/>
                    </w:rPr>
                    <w:t>HJ505-2009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3</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纳氏试剂分光光度法</w:t>
                  </w:r>
                </w:p>
                <w:p>
                  <w:pPr>
                    <w:pStyle w:val="3"/>
                    <w:spacing w:after="0"/>
                    <w:ind w:left="0" w:leftChars="0"/>
                    <w:jc w:val="center"/>
                    <w:rPr>
                      <w:rFonts w:ascii="Times New Roman" w:hAnsi="Times New Roman"/>
                      <w:sz w:val="21"/>
                      <w:szCs w:val="21"/>
                    </w:rPr>
                  </w:pPr>
                  <w:r>
                    <w:rPr>
                      <w:rFonts w:ascii="Times New Roman" w:hAnsi="Times New Roman"/>
                      <w:sz w:val="21"/>
                      <w:szCs w:val="21"/>
                    </w:rPr>
                    <w:t>HJ535-2009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4</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SS</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重量法</w:t>
                  </w:r>
                </w:p>
                <w:p>
                  <w:pPr>
                    <w:pStyle w:val="3"/>
                    <w:spacing w:after="0"/>
                    <w:ind w:left="0" w:leftChars="0"/>
                    <w:jc w:val="center"/>
                    <w:rPr>
                      <w:rFonts w:ascii="Times New Roman" w:hAnsi="Times New Roman"/>
                      <w:sz w:val="21"/>
                      <w:szCs w:val="21"/>
                    </w:rPr>
                  </w:pPr>
                  <w:r>
                    <w:rPr>
                      <w:rFonts w:ascii="Times New Roman" w:hAnsi="Times New Roman"/>
                      <w:sz w:val="21"/>
                      <w:szCs w:val="21"/>
                    </w:rPr>
                    <w:t>GB11901-1989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5</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TN</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过硫酸钠消解紫外分光光度法</w:t>
                  </w:r>
                </w:p>
                <w:p>
                  <w:pPr>
                    <w:pStyle w:val="3"/>
                    <w:spacing w:after="0"/>
                    <w:ind w:left="0" w:leftChars="0"/>
                    <w:jc w:val="center"/>
                    <w:rPr>
                      <w:rFonts w:ascii="Times New Roman" w:hAnsi="Times New Roman"/>
                      <w:sz w:val="21"/>
                      <w:szCs w:val="21"/>
                    </w:rPr>
                  </w:pPr>
                  <w:r>
                    <w:rPr>
                      <w:rFonts w:ascii="Times New Roman" w:hAnsi="Times New Roman"/>
                      <w:sz w:val="21"/>
                      <w:szCs w:val="21"/>
                    </w:rPr>
                    <w:t>HJ636-2012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6</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TP</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 xml:space="preserve"> 钼酸铵分光光度法</w:t>
                  </w:r>
                </w:p>
                <w:p>
                  <w:pPr>
                    <w:pStyle w:val="3"/>
                    <w:spacing w:after="0"/>
                    <w:ind w:left="0" w:leftChars="0"/>
                    <w:jc w:val="center"/>
                    <w:rPr>
                      <w:rFonts w:ascii="Times New Roman" w:hAnsi="Times New Roman"/>
                      <w:sz w:val="21"/>
                      <w:szCs w:val="21"/>
                    </w:rPr>
                  </w:pPr>
                  <w:r>
                    <w:rPr>
                      <w:rFonts w:ascii="Times New Roman" w:hAnsi="Times New Roman"/>
                      <w:sz w:val="21"/>
                      <w:szCs w:val="21"/>
                    </w:rPr>
                    <w:t>GB/T11893-1989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7</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LAS</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亚甲蓝分光光度GB7494-87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72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8</w:t>
                  </w:r>
                </w:p>
              </w:tc>
              <w:tc>
                <w:tcPr>
                  <w:tcW w:w="886"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98"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石油类</w:t>
                  </w: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5"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727" w:type="dxa"/>
                  <w:vMerge w:val="continue"/>
                  <w:shd w:val="clear" w:color="auto" w:fill="auto"/>
                  <w:vAlign w:val="center"/>
                </w:tcPr>
                <w:p>
                  <w:pPr>
                    <w:pStyle w:val="3"/>
                    <w:spacing w:after="0"/>
                    <w:ind w:left="0" w:leftChars="0"/>
                    <w:jc w:val="center"/>
                    <w:rPr>
                      <w:rFonts w:ascii="Times New Roman" w:hAnsi="Times New Roman"/>
                      <w:sz w:val="21"/>
                      <w:szCs w:val="21"/>
                    </w:rPr>
                  </w:pPr>
                </w:p>
              </w:tc>
              <w:tc>
                <w:tcPr>
                  <w:tcW w:w="1290" w:type="dxa"/>
                  <w:shd w:val="clear" w:color="auto" w:fill="auto"/>
                  <w:vAlign w:val="center"/>
                </w:tcPr>
                <w:p>
                  <w:pPr>
                    <w:pStyle w:val="3"/>
                    <w:spacing w:after="0"/>
                    <w:ind w:left="0" w:leftChars="0"/>
                    <w:jc w:val="center"/>
                    <w:rPr>
                      <w:rFonts w:ascii="Times New Roman" w:hAnsi="Times New Roman"/>
                      <w:sz w:val="21"/>
                      <w:szCs w:val="21"/>
                    </w:rPr>
                  </w:pPr>
                  <w:r>
                    <w:rPr>
                      <w:rFonts w:ascii="Times New Roman" w:hAnsi="Times New Roman"/>
                      <w:sz w:val="21"/>
                      <w:szCs w:val="21"/>
                    </w:rPr>
                    <w:t>红外光度法GB/T16488-1996</w:t>
                  </w:r>
                </w:p>
              </w:tc>
            </w:tr>
          </w:tbl>
          <w:p>
            <w:pPr>
              <w:spacing w:line="520" w:lineRule="exact"/>
              <w:ind w:firstLine="480" w:firstLineChars="200"/>
              <w:rPr>
                <w:sz w:val="24"/>
              </w:rPr>
            </w:pPr>
            <w:r>
              <w:rPr>
                <w:sz w:val="24"/>
              </w:rPr>
              <w:t>（2）污水措施可行性分析</w:t>
            </w:r>
          </w:p>
          <w:p>
            <w:pPr>
              <w:spacing w:line="520" w:lineRule="exact"/>
              <w:ind w:firstLine="480" w:firstLineChars="200"/>
              <w:rPr>
                <w:sz w:val="24"/>
              </w:rPr>
            </w:pPr>
            <w:r>
              <w:rPr>
                <w:sz w:val="24"/>
              </w:rPr>
              <w:t>经化粪池预处理的生活污水和经预处理的清洗废水一起通过管道排入咸阳机场污水处理厂，进水浓度满足《污水综合排放标准》(GB68978-1996)表4中三级标准和《污水排入城镇下水道水质标准》（GB/T31962-2015）表1中A级标准。</w:t>
            </w:r>
          </w:p>
          <w:p>
            <w:pPr>
              <w:spacing w:line="520" w:lineRule="exact"/>
              <w:ind w:firstLine="480" w:firstLineChars="200"/>
              <w:rPr>
                <w:sz w:val="24"/>
              </w:rPr>
            </w:pPr>
            <w:r>
              <w:rPr>
                <w:sz w:val="24"/>
              </w:rPr>
              <w:t>机场污水处理厂位于西安咸阳国际机场基地内，主要接纳和处理机场生活污水和生产废水，该污水处理厂于2014年完成提标改造，改造后污水处理能力15000m³/d，采用CAST处理工艺，并配套建设10000m³/d的中水回用系统，污水处理出水达到《城镇污水处理厂污染物排放标准》（GB18918-2002）一级A标准与城市中水回用标准后回用于机场绿化浇灌、道路浇洒、车辆冲洗、水景补水等用途，剩余部分排入泾河。</w:t>
            </w:r>
          </w:p>
          <w:p>
            <w:pPr>
              <w:spacing w:line="520" w:lineRule="exact"/>
              <w:ind w:firstLine="480" w:firstLineChars="200"/>
              <w:rPr>
                <w:sz w:val="24"/>
              </w:rPr>
            </w:pPr>
            <w:r>
              <w:rPr>
                <w:sz w:val="24"/>
              </w:rPr>
              <w:t>本项目位于咸阳机场维修基地内，处于咸阳机场污水处理厂设计的</w:t>
            </w:r>
            <w:r>
              <w:rPr>
                <w:sz w:val="24"/>
                <w:highlight w:val="none"/>
              </w:rPr>
              <w:t>收水</w:t>
            </w:r>
            <w:r>
              <w:rPr>
                <w:sz w:val="24"/>
              </w:rPr>
              <w:t>范围，场址处已通达污水收集管网。本项目外排废水为</w:t>
            </w:r>
            <w:r>
              <w:rPr>
                <w:rFonts w:hint="eastAsia"/>
                <w:sz w:val="24"/>
              </w:rPr>
              <w:t>1.661</w:t>
            </w:r>
            <w:r>
              <w:rPr>
                <w:sz w:val="24"/>
              </w:rPr>
              <w:t>m</w:t>
            </w:r>
            <w:r>
              <w:rPr>
                <w:sz w:val="24"/>
                <w:vertAlign w:val="superscript"/>
              </w:rPr>
              <w:t>3</w:t>
            </w:r>
            <w:r>
              <w:rPr>
                <w:sz w:val="24"/>
              </w:rPr>
              <w:t xml:space="preserve">/d，占污水处理厂日处理量的0.011%，所占比例较小。此外，项目废水经化粪池处理后水质低于污水处理厂进水水质，不会对进水水质造成严重冲击。 </w:t>
            </w:r>
          </w:p>
          <w:p>
            <w:pPr>
              <w:spacing w:line="520" w:lineRule="exact"/>
              <w:ind w:firstLine="480" w:firstLineChars="200"/>
              <w:rPr>
                <w:sz w:val="24"/>
              </w:rPr>
            </w:pPr>
            <w:r>
              <w:rPr>
                <w:sz w:val="24"/>
              </w:rPr>
              <w:t>故本项目废水依托咸阳机场污水处理厂进行的处理方案可行。</w:t>
            </w:r>
          </w:p>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3、声环境影响分析</w:t>
            </w:r>
          </w:p>
          <w:p>
            <w:pPr>
              <w:spacing w:line="520" w:lineRule="exact"/>
              <w:ind w:firstLine="480" w:firstLineChars="200"/>
              <w:jc w:val="left"/>
              <w:rPr>
                <w:bCs/>
                <w:sz w:val="24"/>
              </w:rPr>
            </w:pPr>
            <w:r>
              <w:rPr>
                <w:bCs/>
                <w:sz w:val="24"/>
              </w:rPr>
              <w:t>本项目主要</w:t>
            </w:r>
            <w:r>
              <w:rPr>
                <w:bCs/>
                <w:sz w:val="24"/>
                <w:highlight w:val="none"/>
              </w:rPr>
              <w:t>噪声源</w:t>
            </w:r>
            <w:r>
              <w:rPr>
                <w:sz w:val="24"/>
              </w:rPr>
              <w:t>主要为泵类、风机等</w:t>
            </w:r>
            <w:r>
              <w:rPr>
                <w:bCs/>
                <w:sz w:val="24"/>
              </w:rPr>
              <w:t>，为降低企业设备噪声对周围声环境的影响，本评价提出以下噪声防治措施：</w:t>
            </w:r>
          </w:p>
          <w:p>
            <w:pPr>
              <w:spacing w:line="520" w:lineRule="exact"/>
              <w:ind w:firstLine="480" w:firstLineChars="200"/>
              <w:rPr>
                <w:sz w:val="24"/>
              </w:rPr>
            </w:pPr>
            <w:r>
              <w:rPr>
                <w:sz w:val="24"/>
              </w:rPr>
              <w:t>（1）加强设备的维护，确保设备处于良好的运转状态，杜绝因设备不正常运转时产生的高噪声现象，从源强处降噪；</w:t>
            </w:r>
          </w:p>
          <w:p>
            <w:pPr>
              <w:spacing w:line="520" w:lineRule="exact"/>
              <w:ind w:firstLine="480" w:firstLineChars="200"/>
              <w:rPr>
                <w:sz w:val="24"/>
              </w:rPr>
            </w:pPr>
            <w:r>
              <w:rPr>
                <w:sz w:val="24"/>
              </w:rPr>
              <w:t xml:space="preserve">（2）项目机库封闭；合理布置设备位置，对设备安装减振基础，采取隔声措施； </w:t>
            </w:r>
          </w:p>
          <w:p>
            <w:pPr>
              <w:spacing w:line="520" w:lineRule="exact"/>
              <w:ind w:firstLine="480" w:firstLineChars="200"/>
              <w:jc w:val="left"/>
              <w:rPr>
                <w:bCs/>
                <w:sz w:val="24"/>
              </w:rPr>
            </w:pPr>
            <w:r>
              <w:rPr>
                <w:bCs/>
                <w:sz w:val="24"/>
              </w:rPr>
              <w:t>项目噪声源强及治理措施见表40。</w:t>
            </w:r>
          </w:p>
          <w:p>
            <w:pPr>
              <w:spacing w:line="360" w:lineRule="auto"/>
              <w:ind w:firstLine="480" w:firstLineChars="200"/>
              <w:rPr>
                <w:sz w:val="24"/>
              </w:rPr>
            </w:pPr>
            <w:r>
              <w:rPr>
                <w:rFonts w:ascii="Calibri" w:hAnsi="Calibri" w:eastAsia="Calibri" w:cs="Calibri"/>
                <w:color w:val="000000" w:themeColor="text1"/>
                <w:sz w:val="24"/>
                <w14:textFill>
                  <w14:solidFill>
                    <w14:schemeClr w14:val="tx1"/>
                  </w14:solidFill>
                </w14:textFill>
              </w:rPr>
              <w:t>①</w:t>
            </w:r>
            <w:r>
              <w:rPr>
                <w:sz w:val="24"/>
              </w:rPr>
              <w:t>噪声源强</w:t>
            </w:r>
          </w:p>
          <w:p>
            <w:pPr>
              <w:adjustRightInd w:val="0"/>
              <w:snapToGrid w:val="0"/>
              <w:spacing w:before="76" w:beforeLines="20" w:after="38" w:afterLines="10"/>
              <w:jc w:val="center"/>
              <w:rPr>
                <w:rFonts w:eastAsia="黑体"/>
                <w:sz w:val="24"/>
                <w:szCs w:val="24"/>
              </w:rPr>
            </w:pPr>
            <w:r>
              <w:rPr>
                <w:rFonts w:eastAsia="黑体"/>
                <w:sz w:val="24"/>
                <w:szCs w:val="24"/>
              </w:rPr>
              <w:t>表60   项目主要噪声源及防治措施</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39"/>
              <w:gridCol w:w="1413"/>
              <w:gridCol w:w="892"/>
              <w:gridCol w:w="992"/>
              <w:gridCol w:w="2797"/>
              <w:gridCol w:w="1049"/>
              <w:gridCol w:w="90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jc w:val="center"/>
                    <w:rPr>
                      <w:b/>
                    </w:rPr>
                  </w:pPr>
                  <w:r>
                    <w:rPr>
                      <w:b/>
                    </w:rPr>
                    <w:t>序号</w:t>
                  </w:r>
                </w:p>
              </w:tc>
              <w:tc>
                <w:tcPr>
                  <w:tcW w:w="1413" w:type="dxa"/>
                  <w:vAlign w:val="center"/>
                </w:tcPr>
                <w:p>
                  <w:pPr>
                    <w:jc w:val="center"/>
                    <w:rPr>
                      <w:b/>
                    </w:rPr>
                  </w:pPr>
                  <w:r>
                    <w:rPr>
                      <w:b/>
                    </w:rPr>
                    <w:t>主要噪声源</w:t>
                  </w:r>
                </w:p>
              </w:tc>
              <w:tc>
                <w:tcPr>
                  <w:tcW w:w="892" w:type="dxa"/>
                  <w:vAlign w:val="center"/>
                </w:tcPr>
                <w:p>
                  <w:pPr>
                    <w:jc w:val="center"/>
                    <w:rPr>
                      <w:b/>
                    </w:rPr>
                  </w:pPr>
                  <w:r>
                    <w:rPr>
                      <w:b/>
                    </w:rPr>
                    <w:t>数量（台）</w:t>
                  </w:r>
                </w:p>
              </w:tc>
              <w:tc>
                <w:tcPr>
                  <w:tcW w:w="992" w:type="dxa"/>
                  <w:vAlign w:val="center"/>
                </w:tcPr>
                <w:p>
                  <w:pPr>
                    <w:jc w:val="center"/>
                    <w:rPr>
                      <w:b/>
                    </w:rPr>
                  </w:pPr>
                  <w:r>
                    <w:rPr>
                      <w:b/>
                    </w:rPr>
                    <w:t>性质</w:t>
                  </w:r>
                </w:p>
              </w:tc>
              <w:tc>
                <w:tcPr>
                  <w:tcW w:w="2797" w:type="dxa"/>
                  <w:vAlign w:val="center"/>
                </w:tcPr>
                <w:p>
                  <w:pPr>
                    <w:jc w:val="center"/>
                    <w:rPr>
                      <w:b/>
                    </w:rPr>
                  </w:pPr>
                  <w:r>
                    <w:rPr>
                      <w:b/>
                    </w:rPr>
                    <w:t>噪声防治措施</w:t>
                  </w:r>
                </w:p>
              </w:tc>
              <w:tc>
                <w:tcPr>
                  <w:tcW w:w="1049" w:type="dxa"/>
                  <w:vAlign w:val="center"/>
                </w:tcPr>
                <w:p>
                  <w:pPr>
                    <w:jc w:val="center"/>
                    <w:rPr>
                      <w:b/>
                    </w:rPr>
                  </w:pPr>
                  <w:r>
                    <w:rPr>
                      <w:b/>
                    </w:rPr>
                    <w:t>治理前dB(A)</w:t>
                  </w:r>
                </w:p>
              </w:tc>
              <w:tc>
                <w:tcPr>
                  <w:tcW w:w="901" w:type="dxa"/>
                  <w:vAlign w:val="center"/>
                </w:tcPr>
                <w:p>
                  <w:pPr>
                    <w:jc w:val="center"/>
                    <w:rPr>
                      <w:b/>
                    </w:rPr>
                  </w:pPr>
                  <w:r>
                    <w:rPr>
                      <w:b/>
                    </w:rPr>
                    <w:t>治理后dB(A)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1</w:t>
                  </w:r>
                </w:p>
              </w:tc>
              <w:tc>
                <w:tcPr>
                  <w:tcW w:w="1413" w:type="dxa"/>
                  <w:vAlign w:val="center"/>
                </w:tcPr>
                <w:p>
                  <w:pPr>
                    <w:jc w:val="center"/>
                    <w:rPr>
                      <w:kern w:val="0"/>
                    </w:rPr>
                  </w:pPr>
                  <w:r>
                    <w:rPr>
                      <w:kern w:val="0"/>
                    </w:rPr>
                    <w:t>打磨机</w:t>
                  </w:r>
                </w:p>
              </w:tc>
              <w:tc>
                <w:tcPr>
                  <w:tcW w:w="892" w:type="dxa"/>
                  <w:vAlign w:val="center"/>
                </w:tcPr>
                <w:p>
                  <w:pPr>
                    <w:jc w:val="center"/>
                    <w:rPr>
                      <w:kern w:val="0"/>
                    </w:rPr>
                  </w:pPr>
                  <w:r>
                    <w:rPr>
                      <w:kern w:val="0"/>
                    </w:rPr>
                    <w:t>30台</w:t>
                  </w:r>
                </w:p>
              </w:tc>
              <w:tc>
                <w:tcPr>
                  <w:tcW w:w="992" w:type="dxa"/>
                  <w:vAlign w:val="center"/>
                </w:tcPr>
                <w:p>
                  <w:pPr>
                    <w:jc w:val="center"/>
                  </w:pPr>
                  <w:r>
                    <w:t>连续性</w:t>
                  </w:r>
                </w:p>
              </w:tc>
              <w:tc>
                <w:tcPr>
                  <w:tcW w:w="2797" w:type="dxa"/>
                  <w:vAlign w:val="center"/>
                </w:tcPr>
                <w:p>
                  <w:pPr>
                    <w:pStyle w:val="91"/>
                    <w:snapToGrid w:val="0"/>
                    <w:spacing w:line="300" w:lineRule="exact"/>
                    <w:jc w:val="center"/>
                    <w:rPr>
                      <w:kern w:val="2"/>
                      <w:sz w:val="21"/>
                      <w:szCs w:val="21"/>
                    </w:rPr>
                  </w:pPr>
                  <w:r>
                    <w:rPr>
                      <w:kern w:val="2"/>
                      <w:sz w:val="21"/>
                      <w:szCs w:val="21"/>
                    </w:rPr>
                    <w:t>建筑隔声、基础减振</w:t>
                  </w:r>
                </w:p>
              </w:tc>
              <w:tc>
                <w:tcPr>
                  <w:tcW w:w="1049" w:type="dxa"/>
                  <w:vAlign w:val="center"/>
                </w:tcPr>
                <w:p>
                  <w:pPr>
                    <w:spacing w:line="320" w:lineRule="exact"/>
                    <w:jc w:val="center"/>
                  </w:pPr>
                  <w:r>
                    <w:t>70</w:t>
                  </w:r>
                </w:p>
              </w:tc>
              <w:tc>
                <w:tcPr>
                  <w:tcW w:w="901" w:type="dxa"/>
                  <w:vAlign w:val="center"/>
                </w:tcPr>
                <w:p>
                  <w:pPr>
                    <w:spacing w:line="260" w:lineRule="exact"/>
                    <w:jc w:val="center"/>
                  </w:pPr>
                  <w: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2</w:t>
                  </w:r>
                </w:p>
              </w:tc>
              <w:tc>
                <w:tcPr>
                  <w:tcW w:w="1413" w:type="dxa"/>
                  <w:vAlign w:val="center"/>
                </w:tcPr>
                <w:p>
                  <w:pPr>
                    <w:jc w:val="center"/>
                    <w:rPr>
                      <w:kern w:val="0"/>
                    </w:rPr>
                  </w:pPr>
                  <w:r>
                    <w:rPr>
                      <w:kern w:val="0"/>
                    </w:rPr>
                    <w:t>喷枪</w:t>
                  </w:r>
                </w:p>
              </w:tc>
              <w:tc>
                <w:tcPr>
                  <w:tcW w:w="892" w:type="dxa"/>
                  <w:vAlign w:val="center"/>
                </w:tcPr>
                <w:p>
                  <w:pPr>
                    <w:jc w:val="center"/>
                  </w:pPr>
                  <w:r>
                    <w:rPr>
                      <w:kern w:val="0"/>
                    </w:rPr>
                    <w:t>6台</w:t>
                  </w:r>
                </w:p>
              </w:tc>
              <w:tc>
                <w:tcPr>
                  <w:tcW w:w="992" w:type="dxa"/>
                </w:tcPr>
                <w:p>
                  <w:pPr>
                    <w:jc w:val="center"/>
                  </w:pPr>
                  <w:r>
                    <w:t>连续性</w:t>
                  </w:r>
                </w:p>
              </w:tc>
              <w:tc>
                <w:tcPr>
                  <w:tcW w:w="2797" w:type="dxa"/>
                  <w:vAlign w:val="center"/>
                </w:tcPr>
                <w:p>
                  <w:pPr>
                    <w:pStyle w:val="91"/>
                    <w:snapToGrid w:val="0"/>
                    <w:spacing w:line="300" w:lineRule="exact"/>
                    <w:jc w:val="center"/>
                    <w:rPr>
                      <w:kern w:val="2"/>
                      <w:sz w:val="21"/>
                      <w:szCs w:val="21"/>
                    </w:rPr>
                  </w:pPr>
                  <w:r>
                    <w:rPr>
                      <w:kern w:val="2"/>
                      <w:sz w:val="21"/>
                      <w:szCs w:val="21"/>
                    </w:rPr>
                    <w:t>建筑隔声、基础减振</w:t>
                  </w:r>
                </w:p>
              </w:tc>
              <w:tc>
                <w:tcPr>
                  <w:tcW w:w="1049" w:type="dxa"/>
                  <w:vAlign w:val="center"/>
                </w:tcPr>
                <w:p>
                  <w:pPr>
                    <w:spacing w:line="320" w:lineRule="exact"/>
                    <w:jc w:val="center"/>
                  </w:pPr>
                  <w:r>
                    <w:t>70</w:t>
                  </w:r>
                </w:p>
              </w:tc>
              <w:tc>
                <w:tcPr>
                  <w:tcW w:w="901" w:type="dxa"/>
                  <w:vAlign w:val="center"/>
                </w:tcPr>
                <w:p>
                  <w:pPr>
                    <w:spacing w:line="260" w:lineRule="exact"/>
                    <w:jc w:val="center"/>
                  </w:pPr>
                  <w:r>
                    <w:t>55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3</w:t>
                  </w:r>
                </w:p>
              </w:tc>
              <w:tc>
                <w:tcPr>
                  <w:tcW w:w="1413" w:type="dxa"/>
                  <w:vAlign w:val="center"/>
                </w:tcPr>
                <w:p>
                  <w:pPr>
                    <w:jc w:val="center"/>
                  </w:pPr>
                  <w:r>
                    <w:t>风机</w:t>
                  </w:r>
                </w:p>
              </w:tc>
              <w:tc>
                <w:tcPr>
                  <w:tcW w:w="892" w:type="dxa"/>
                  <w:vAlign w:val="center"/>
                </w:tcPr>
                <w:p>
                  <w:pPr>
                    <w:jc w:val="center"/>
                  </w:pPr>
                  <w:r>
                    <w:rPr>
                      <w:rFonts w:hint="eastAsia"/>
                      <w:kern w:val="0"/>
                    </w:rPr>
                    <w:t>6</w:t>
                  </w:r>
                  <w:r>
                    <w:rPr>
                      <w:kern w:val="0"/>
                    </w:rPr>
                    <w:t>台</w:t>
                  </w:r>
                </w:p>
              </w:tc>
              <w:tc>
                <w:tcPr>
                  <w:tcW w:w="992" w:type="dxa"/>
                </w:tcPr>
                <w:p>
                  <w:pPr>
                    <w:jc w:val="center"/>
                  </w:pPr>
                  <w:r>
                    <w:t>连续性</w:t>
                  </w:r>
                </w:p>
              </w:tc>
              <w:tc>
                <w:tcPr>
                  <w:tcW w:w="2797" w:type="dxa"/>
                  <w:vAlign w:val="center"/>
                </w:tcPr>
                <w:p>
                  <w:pPr>
                    <w:pStyle w:val="91"/>
                    <w:snapToGrid w:val="0"/>
                    <w:spacing w:line="300" w:lineRule="exact"/>
                    <w:jc w:val="center"/>
                    <w:rPr>
                      <w:kern w:val="2"/>
                      <w:sz w:val="21"/>
                      <w:szCs w:val="21"/>
                    </w:rPr>
                  </w:pPr>
                  <w:r>
                    <w:rPr>
                      <w:kern w:val="2"/>
                      <w:sz w:val="21"/>
                      <w:szCs w:val="21"/>
                    </w:rPr>
                    <w:t>建筑隔声、基础减振</w:t>
                  </w:r>
                </w:p>
              </w:tc>
              <w:tc>
                <w:tcPr>
                  <w:tcW w:w="1049" w:type="dxa"/>
                  <w:vAlign w:val="center"/>
                </w:tcPr>
                <w:p>
                  <w:pPr>
                    <w:spacing w:line="320" w:lineRule="exact"/>
                    <w:jc w:val="center"/>
                  </w:pPr>
                  <w:r>
                    <w:t>90</w:t>
                  </w:r>
                </w:p>
              </w:tc>
              <w:tc>
                <w:tcPr>
                  <w:tcW w:w="901" w:type="dxa"/>
                  <w:vAlign w:val="center"/>
                </w:tcPr>
                <w:p>
                  <w:pPr>
                    <w:spacing w:line="260" w:lineRule="exact"/>
                    <w:jc w:val="center"/>
                  </w:pPr>
                  <w: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4</w:t>
                  </w:r>
                </w:p>
              </w:tc>
              <w:tc>
                <w:tcPr>
                  <w:tcW w:w="1413" w:type="dxa"/>
                  <w:vAlign w:val="center"/>
                </w:tcPr>
                <w:p>
                  <w:pPr>
                    <w:widowControl/>
                    <w:jc w:val="center"/>
                    <w:rPr>
                      <w:kern w:val="0"/>
                    </w:rPr>
                  </w:pPr>
                  <w:r>
                    <w:rPr>
                      <w:kern w:val="0"/>
                    </w:rPr>
                    <w:t>空压机</w:t>
                  </w:r>
                </w:p>
              </w:tc>
              <w:tc>
                <w:tcPr>
                  <w:tcW w:w="892" w:type="dxa"/>
                  <w:vAlign w:val="center"/>
                </w:tcPr>
                <w:p>
                  <w:pPr>
                    <w:widowControl/>
                    <w:jc w:val="center"/>
                    <w:rPr>
                      <w:kern w:val="0"/>
                    </w:rPr>
                  </w:pPr>
                  <w:r>
                    <w:rPr>
                      <w:kern w:val="0"/>
                    </w:rPr>
                    <w:t>1台</w:t>
                  </w:r>
                </w:p>
              </w:tc>
              <w:tc>
                <w:tcPr>
                  <w:tcW w:w="992" w:type="dxa"/>
                </w:tcPr>
                <w:p>
                  <w:pPr>
                    <w:jc w:val="center"/>
                  </w:pPr>
                  <w:r>
                    <w:t>连续性</w:t>
                  </w:r>
                </w:p>
              </w:tc>
              <w:tc>
                <w:tcPr>
                  <w:tcW w:w="2797" w:type="dxa"/>
                </w:tcPr>
                <w:p>
                  <w:pPr>
                    <w:pStyle w:val="91"/>
                    <w:snapToGrid w:val="0"/>
                    <w:spacing w:line="300" w:lineRule="exact"/>
                    <w:jc w:val="center"/>
                    <w:rPr>
                      <w:kern w:val="2"/>
                      <w:sz w:val="21"/>
                      <w:szCs w:val="21"/>
                    </w:rPr>
                  </w:pPr>
                  <w:r>
                    <w:rPr>
                      <w:kern w:val="2"/>
                      <w:sz w:val="21"/>
                      <w:szCs w:val="21"/>
                    </w:rPr>
                    <w:t>建筑隔声、基础减振</w:t>
                  </w:r>
                </w:p>
              </w:tc>
              <w:tc>
                <w:tcPr>
                  <w:tcW w:w="1049" w:type="dxa"/>
                  <w:vAlign w:val="center"/>
                </w:tcPr>
                <w:p>
                  <w:pPr>
                    <w:spacing w:line="320" w:lineRule="exact"/>
                    <w:jc w:val="center"/>
                  </w:pPr>
                  <w:r>
                    <w:t>90</w:t>
                  </w:r>
                </w:p>
              </w:tc>
              <w:tc>
                <w:tcPr>
                  <w:tcW w:w="901" w:type="dxa"/>
                  <w:vAlign w:val="center"/>
                </w:tcPr>
                <w:p>
                  <w:pPr>
                    <w:spacing w:line="260" w:lineRule="exact"/>
                    <w:jc w:val="center"/>
                  </w:pPr>
                  <w: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5</w:t>
                  </w:r>
                </w:p>
              </w:tc>
              <w:tc>
                <w:tcPr>
                  <w:tcW w:w="1413" w:type="dxa"/>
                  <w:vAlign w:val="center"/>
                </w:tcPr>
                <w:p>
                  <w:pPr>
                    <w:widowControl/>
                    <w:jc w:val="center"/>
                    <w:rPr>
                      <w:kern w:val="0"/>
                    </w:rPr>
                  </w:pPr>
                  <w:r>
                    <w:rPr>
                      <w:kern w:val="0"/>
                    </w:rPr>
                    <w:t>压力泵</w:t>
                  </w:r>
                </w:p>
              </w:tc>
              <w:tc>
                <w:tcPr>
                  <w:tcW w:w="892" w:type="dxa"/>
                  <w:vAlign w:val="center"/>
                </w:tcPr>
                <w:p>
                  <w:pPr>
                    <w:widowControl/>
                    <w:jc w:val="center"/>
                    <w:rPr>
                      <w:kern w:val="0"/>
                    </w:rPr>
                  </w:pPr>
                  <w:r>
                    <w:rPr>
                      <w:kern w:val="0"/>
                    </w:rPr>
                    <w:t>2台</w:t>
                  </w:r>
                </w:p>
              </w:tc>
              <w:tc>
                <w:tcPr>
                  <w:tcW w:w="992" w:type="dxa"/>
                </w:tcPr>
                <w:p>
                  <w:pPr>
                    <w:jc w:val="center"/>
                  </w:pPr>
                  <w:r>
                    <w:t>连续性</w:t>
                  </w:r>
                </w:p>
              </w:tc>
              <w:tc>
                <w:tcPr>
                  <w:tcW w:w="2797" w:type="dxa"/>
                </w:tcPr>
                <w:p>
                  <w:pPr>
                    <w:ind w:firstLine="105" w:firstLineChars="50"/>
                    <w:jc w:val="center"/>
                  </w:pPr>
                  <w:r>
                    <w:t>建筑隔声、基础减振</w:t>
                  </w:r>
                </w:p>
              </w:tc>
              <w:tc>
                <w:tcPr>
                  <w:tcW w:w="1049" w:type="dxa"/>
                  <w:vAlign w:val="center"/>
                </w:tcPr>
                <w:p>
                  <w:pPr>
                    <w:spacing w:line="320" w:lineRule="exact"/>
                    <w:jc w:val="center"/>
                  </w:pPr>
                  <w:r>
                    <w:t>75</w:t>
                  </w:r>
                </w:p>
              </w:tc>
              <w:tc>
                <w:tcPr>
                  <w:tcW w:w="901" w:type="dxa"/>
                  <w:vAlign w:val="center"/>
                </w:tcPr>
                <w:p>
                  <w:pPr>
                    <w:spacing w:line="260" w:lineRule="exact"/>
                    <w:jc w:val="center"/>
                  </w:pPr>
                  <w: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6</w:t>
                  </w:r>
                </w:p>
              </w:tc>
              <w:tc>
                <w:tcPr>
                  <w:tcW w:w="1413" w:type="dxa"/>
                  <w:vAlign w:val="center"/>
                </w:tcPr>
                <w:p>
                  <w:pPr>
                    <w:widowControl/>
                    <w:jc w:val="center"/>
                    <w:rPr>
                      <w:kern w:val="0"/>
                    </w:rPr>
                  </w:pPr>
                  <w:r>
                    <w:rPr>
                      <w:kern w:val="0"/>
                    </w:rPr>
                    <w:t>起重机</w:t>
                  </w:r>
                </w:p>
              </w:tc>
              <w:tc>
                <w:tcPr>
                  <w:tcW w:w="892" w:type="dxa"/>
                  <w:vAlign w:val="center"/>
                </w:tcPr>
                <w:p>
                  <w:pPr>
                    <w:widowControl/>
                    <w:jc w:val="center"/>
                    <w:rPr>
                      <w:kern w:val="0"/>
                    </w:rPr>
                  </w:pPr>
                  <w:r>
                    <w:rPr>
                      <w:kern w:val="0"/>
                    </w:rPr>
                    <w:t>1台</w:t>
                  </w:r>
                </w:p>
              </w:tc>
              <w:tc>
                <w:tcPr>
                  <w:tcW w:w="992" w:type="dxa"/>
                </w:tcPr>
                <w:p>
                  <w:pPr>
                    <w:jc w:val="center"/>
                  </w:pPr>
                  <w:r>
                    <w:t>连续性</w:t>
                  </w:r>
                </w:p>
              </w:tc>
              <w:tc>
                <w:tcPr>
                  <w:tcW w:w="2797" w:type="dxa"/>
                </w:tcPr>
                <w:p>
                  <w:pPr>
                    <w:ind w:firstLine="105" w:firstLineChars="50"/>
                    <w:jc w:val="center"/>
                  </w:pPr>
                  <w:r>
                    <w:t>建筑隔声、基础减振</w:t>
                  </w:r>
                </w:p>
              </w:tc>
              <w:tc>
                <w:tcPr>
                  <w:tcW w:w="1049" w:type="dxa"/>
                  <w:vAlign w:val="center"/>
                </w:tcPr>
                <w:p>
                  <w:pPr>
                    <w:spacing w:line="320" w:lineRule="exact"/>
                    <w:jc w:val="center"/>
                  </w:pPr>
                  <w:r>
                    <w:t>80</w:t>
                  </w:r>
                </w:p>
              </w:tc>
              <w:tc>
                <w:tcPr>
                  <w:tcW w:w="901" w:type="dxa"/>
                  <w:vAlign w:val="center"/>
                </w:tcPr>
                <w:p>
                  <w:pPr>
                    <w:spacing w:line="260" w:lineRule="exact"/>
                    <w:jc w:val="center"/>
                  </w:pPr>
                  <w:r>
                    <w:t>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739" w:type="dxa"/>
                  <w:vAlign w:val="center"/>
                </w:tcPr>
                <w:p>
                  <w:pPr>
                    <w:pStyle w:val="91"/>
                    <w:snapToGrid w:val="0"/>
                    <w:jc w:val="center"/>
                    <w:rPr>
                      <w:kern w:val="2"/>
                      <w:sz w:val="21"/>
                      <w:szCs w:val="21"/>
                    </w:rPr>
                  </w:pPr>
                  <w:r>
                    <w:rPr>
                      <w:sz w:val="21"/>
                      <w:szCs w:val="21"/>
                    </w:rPr>
                    <w:t>7</w:t>
                  </w:r>
                </w:p>
              </w:tc>
              <w:tc>
                <w:tcPr>
                  <w:tcW w:w="1413" w:type="dxa"/>
                  <w:vAlign w:val="center"/>
                </w:tcPr>
                <w:p>
                  <w:pPr>
                    <w:widowControl/>
                    <w:jc w:val="center"/>
                    <w:rPr>
                      <w:kern w:val="0"/>
                    </w:rPr>
                  </w:pPr>
                  <w:r>
                    <w:rPr>
                      <w:kern w:val="0"/>
                    </w:rPr>
                    <w:t>清洗机</w:t>
                  </w:r>
                </w:p>
              </w:tc>
              <w:tc>
                <w:tcPr>
                  <w:tcW w:w="892" w:type="dxa"/>
                  <w:vAlign w:val="center"/>
                </w:tcPr>
                <w:p>
                  <w:pPr>
                    <w:widowControl/>
                    <w:jc w:val="center"/>
                    <w:rPr>
                      <w:kern w:val="0"/>
                    </w:rPr>
                  </w:pPr>
                  <w:r>
                    <w:rPr>
                      <w:kern w:val="0"/>
                    </w:rPr>
                    <w:t>4台</w:t>
                  </w:r>
                </w:p>
              </w:tc>
              <w:tc>
                <w:tcPr>
                  <w:tcW w:w="992" w:type="dxa"/>
                </w:tcPr>
                <w:p>
                  <w:pPr>
                    <w:jc w:val="center"/>
                  </w:pPr>
                  <w:r>
                    <w:t>连续性</w:t>
                  </w:r>
                </w:p>
              </w:tc>
              <w:tc>
                <w:tcPr>
                  <w:tcW w:w="2797" w:type="dxa"/>
                </w:tcPr>
                <w:p>
                  <w:pPr>
                    <w:ind w:firstLine="105" w:firstLineChars="50"/>
                    <w:jc w:val="center"/>
                  </w:pPr>
                  <w:r>
                    <w:t>建筑隔声、基础减振</w:t>
                  </w:r>
                </w:p>
              </w:tc>
              <w:tc>
                <w:tcPr>
                  <w:tcW w:w="1049" w:type="dxa"/>
                  <w:vAlign w:val="center"/>
                </w:tcPr>
                <w:p>
                  <w:pPr>
                    <w:spacing w:line="320" w:lineRule="exact"/>
                    <w:jc w:val="center"/>
                  </w:pPr>
                  <w:r>
                    <w:t>70</w:t>
                  </w:r>
                </w:p>
              </w:tc>
              <w:tc>
                <w:tcPr>
                  <w:tcW w:w="901" w:type="dxa"/>
                  <w:vAlign w:val="center"/>
                </w:tcPr>
                <w:p>
                  <w:pPr>
                    <w:spacing w:line="260" w:lineRule="exact"/>
                    <w:jc w:val="center"/>
                  </w:pPr>
                  <w:r>
                    <w:t>55</w:t>
                  </w:r>
                </w:p>
              </w:tc>
            </w:tr>
          </w:tbl>
          <w:p>
            <w:pPr>
              <w:pStyle w:val="2"/>
              <w:spacing w:after="0" w:line="520" w:lineRule="exact"/>
              <w:ind w:left="0" w:leftChars="0" w:firstLine="480"/>
              <w:rPr>
                <w:rFonts w:ascii="Times New Roman" w:hAnsi="Times New Roman"/>
                <w:snapToGrid w:val="0"/>
                <w:kern w:val="0"/>
                <w:sz w:val="24"/>
                <w:szCs w:val="20"/>
              </w:rPr>
            </w:pPr>
            <w:r>
              <w:rPr>
                <w:rFonts w:ascii="Calibri" w:hAnsi="Calibri" w:eastAsia="Calibri" w:cs="Calibri"/>
                <w:sz w:val="24"/>
              </w:rPr>
              <w:t>②</w:t>
            </w:r>
            <w:r>
              <w:rPr>
                <w:rFonts w:ascii="Times New Roman" w:hAnsi="Times New Roman"/>
                <w:snapToGrid w:val="0"/>
                <w:kern w:val="0"/>
                <w:sz w:val="24"/>
                <w:szCs w:val="20"/>
              </w:rPr>
              <w:t>预测点</w:t>
            </w:r>
          </w:p>
          <w:p>
            <w:pPr>
              <w:pStyle w:val="2"/>
              <w:spacing w:after="0" w:line="520" w:lineRule="exact"/>
              <w:ind w:left="0" w:leftChars="0" w:firstLine="480"/>
              <w:rPr>
                <w:rFonts w:ascii="Times New Roman" w:hAnsi="Times New Roman"/>
                <w:snapToGrid w:val="0"/>
                <w:kern w:val="0"/>
                <w:sz w:val="24"/>
                <w:szCs w:val="20"/>
              </w:rPr>
            </w:pPr>
            <w:r>
              <w:rPr>
                <w:rFonts w:ascii="Times New Roman" w:hAnsi="Times New Roman"/>
                <w:snapToGrid w:val="0"/>
                <w:kern w:val="0"/>
                <w:sz w:val="24"/>
                <w:szCs w:val="20"/>
              </w:rPr>
              <w:t>预测点选择在项目四周厂界。</w:t>
            </w:r>
          </w:p>
          <w:p>
            <w:pPr>
              <w:pStyle w:val="2"/>
              <w:spacing w:after="0" w:line="520" w:lineRule="exact"/>
              <w:ind w:left="0" w:leftChars="0" w:firstLine="480"/>
              <w:rPr>
                <w:rFonts w:ascii="Times New Roman" w:hAnsi="Times New Roman"/>
                <w:snapToGrid w:val="0"/>
                <w:kern w:val="0"/>
                <w:sz w:val="24"/>
                <w:szCs w:val="20"/>
              </w:rPr>
            </w:pPr>
            <w:r>
              <w:rPr>
                <w:rFonts w:ascii="Calibri" w:hAnsi="Calibri" w:eastAsia="Calibri" w:cs="Calibri"/>
                <w:sz w:val="24"/>
              </w:rPr>
              <w:t>③</w:t>
            </w:r>
            <w:r>
              <w:rPr>
                <w:rFonts w:ascii="Times New Roman" w:hAnsi="Times New Roman"/>
                <w:snapToGrid w:val="0"/>
                <w:kern w:val="0"/>
                <w:sz w:val="24"/>
                <w:szCs w:val="20"/>
              </w:rPr>
              <w:t>预测模式</w:t>
            </w:r>
          </w:p>
          <w:p>
            <w:pPr>
              <w:pStyle w:val="2"/>
              <w:spacing w:after="0" w:line="520" w:lineRule="exact"/>
              <w:ind w:left="0" w:leftChars="0" w:firstLine="480"/>
              <w:rPr>
                <w:rFonts w:ascii="Times New Roman" w:hAnsi="Times New Roman"/>
                <w:szCs w:val="20"/>
              </w:rPr>
            </w:pPr>
            <w:r>
              <w:rPr>
                <w:rFonts w:ascii="Times New Roman" w:hAnsi="Times New Roman"/>
                <w:snapToGrid w:val="0"/>
                <w:kern w:val="0"/>
                <w:sz w:val="24"/>
                <w:szCs w:val="20"/>
              </w:rPr>
              <w:t>采取上述隔声降噪措施后，对其噪声影响进行预测。</w:t>
            </w:r>
            <w:r>
              <w:rPr>
                <w:rFonts w:ascii="Times New Roman" w:hAnsi="Times New Roman"/>
                <w:sz w:val="24"/>
                <w:szCs w:val="20"/>
              </w:rPr>
              <w:t>根据《环境影响评价技术导则-声环境》（HJ2.4-2009）而编写的软件《噪声影响评价系统（NoiseSystem）》，对各厂界噪声环境影响进行预测。</w:t>
            </w:r>
            <w:r>
              <w:rPr>
                <w:rFonts w:ascii="Times New Roman" w:hAnsi="Times New Roman"/>
                <w:sz w:val="24"/>
              </w:rPr>
              <w:t xml:space="preserve">项目夜间不运行，本项目各厂界噪声贡献值预测结果见表40。 </w:t>
            </w:r>
          </w:p>
          <w:p>
            <w:pPr>
              <w:adjustRightInd w:val="0"/>
              <w:snapToGrid w:val="0"/>
              <w:jc w:val="center"/>
              <w:rPr>
                <w:rFonts w:eastAsia="黑体"/>
                <w:sz w:val="24"/>
              </w:rPr>
            </w:pPr>
            <w:r>
              <w:rPr>
                <w:rFonts w:eastAsia="黑体"/>
                <w:sz w:val="24"/>
              </w:rPr>
              <w:t>表40   噪声影响预测结果（单位：dB(A)）</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449"/>
              <w:gridCol w:w="2409"/>
              <w:gridCol w:w="1556"/>
              <w:gridCol w:w="1559"/>
              <w:gridCol w:w="181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60" w:hRule="exact"/>
                <w:jc w:val="center"/>
              </w:trPr>
              <w:tc>
                <w:tcPr>
                  <w:tcW w:w="1449" w:type="dxa"/>
                  <w:vAlign w:val="center"/>
                </w:tcPr>
                <w:p>
                  <w:pPr>
                    <w:jc w:val="center"/>
                    <w:rPr>
                      <w:b/>
                    </w:rPr>
                  </w:pPr>
                  <w:r>
                    <w:rPr>
                      <w:b/>
                    </w:rPr>
                    <w:t>编号</w:t>
                  </w:r>
                </w:p>
              </w:tc>
              <w:tc>
                <w:tcPr>
                  <w:tcW w:w="2409" w:type="dxa"/>
                  <w:vAlign w:val="center"/>
                </w:tcPr>
                <w:p>
                  <w:pPr>
                    <w:jc w:val="center"/>
                    <w:rPr>
                      <w:b/>
                    </w:rPr>
                  </w:pPr>
                  <w:r>
                    <w:rPr>
                      <w:b/>
                    </w:rPr>
                    <w:t>位置</w:t>
                  </w:r>
                </w:p>
              </w:tc>
              <w:tc>
                <w:tcPr>
                  <w:tcW w:w="1556" w:type="dxa"/>
                  <w:vAlign w:val="center"/>
                </w:tcPr>
                <w:p>
                  <w:pPr>
                    <w:jc w:val="center"/>
                    <w:rPr>
                      <w:b/>
                    </w:rPr>
                  </w:pPr>
                  <w:r>
                    <w:rPr>
                      <w:b/>
                    </w:rPr>
                    <w:t>背景值</w:t>
                  </w:r>
                </w:p>
              </w:tc>
              <w:tc>
                <w:tcPr>
                  <w:tcW w:w="1559" w:type="dxa"/>
                  <w:vAlign w:val="center"/>
                </w:tcPr>
                <w:p>
                  <w:pPr>
                    <w:jc w:val="center"/>
                    <w:rPr>
                      <w:b/>
                    </w:rPr>
                  </w:pPr>
                  <w:r>
                    <w:rPr>
                      <w:b/>
                    </w:rPr>
                    <w:t>贡献值</w:t>
                  </w:r>
                </w:p>
              </w:tc>
              <w:tc>
                <w:tcPr>
                  <w:tcW w:w="1810" w:type="dxa"/>
                  <w:vAlign w:val="center"/>
                </w:tcPr>
                <w:p>
                  <w:pPr>
                    <w:jc w:val="center"/>
                    <w:rPr>
                      <w:b/>
                    </w:rPr>
                  </w:pPr>
                  <w:r>
                    <w:rPr>
                      <w:b/>
                    </w:rPr>
                    <w:t>预测值</w:t>
                  </w:r>
                </w:p>
                <w:p>
                  <w:pPr>
                    <w:jc w:val="center"/>
                    <w:rPr>
                      <w:b/>
                    </w:rPr>
                  </w:pPr>
                  <w:r>
                    <w:rPr>
                      <w:b/>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60" w:hRule="exact"/>
                <w:jc w:val="center"/>
              </w:trPr>
              <w:tc>
                <w:tcPr>
                  <w:tcW w:w="1449" w:type="dxa"/>
                  <w:vAlign w:val="center"/>
                </w:tcPr>
                <w:p>
                  <w:pPr>
                    <w:autoSpaceDN w:val="0"/>
                    <w:jc w:val="center"/>
                  </w:pPr>
                  <w:r>
                    <w:t>1</w:t>
                  </w:r>
                </w:p>
              </w:tc>
              <w:tc>
                <w:tcPr>
                  <w:tcW w:w="2409" w:type="dxa"/>
                  <w:vAlign w:val="center"/>
                </w:tcPr>
                <w:p>
                  <w:pPr>
                    <w:autoSpaceDN w:val="0"/>
                    <w:jc w:val="center"/>
                  </w:pPr>
                  <w:r>
                    <w:t>1#东厂界</w:t>
                  </w:r>
                </w:p>
              </w:tc>
              <w:tc>
                <w:tcPr>
                  <w:tcW w:w="1556" w:type="dxa"/>
                  <w:vAlign w:val="center"/>
                </w:tcPr>
                <w:p>
                  <w:pPr>
                    <w:autoSpaceDN w:val="0"/>
                    <w:jc w:val="center"/>
                  </w:pPr>
                  <w:r>
                    <w:t>57.6</w:t>
                  </w:r>
                </w:p>
              </w:tc>
              <w:tc>
                <w:tcPr>
                  <w:tcW w:w="1559" w:type="dxa"/>
                  <w:vAlign w:val="center"/>
                </w:tcPr>
                <w:p>
                  <w:pPr>
                    <w:widowControl/>
                    <w:spacing w:before="100" w:beforeAutospacing="1" w:after="100" w:afterAutospacing="1"/>
                    <w:jc w:val="center"/>
                    <w:rPr>
                      <w:color w:val="000000"/>
                    </w:rPr>
                  </w:pPr>
                  <w:r>
                    <w:rPr>
                      <w:color w:val="000000"/>
                    </w:rPr>
                    <w:t>51.5</w:t>
                  </w:r>
                </w:p>
              </w:tc>
              <w:tc>
                <w:tcPr>
                  <w:tcW w:w="1810" w:type="dxa"/>
                  <w:vAlign w:val="center"/>
                </w:tcPr>
                <w:p>
                  <w:pPr>
                    <w:autoSpaceDN w:val="0"/>
                    <w:jc w:val="center"/>
                  </w:pPr>
                  <w: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60" w:hRule="exact"/>
                <w:jc w:val="center"/>
              </w:trPr>
              <w:tc>
                <w:tcPr>
                  <w:tcW w:w="1449" w:type="dxa"/>
                  <w:vAlign w:val="center"/>
                </w:tcPr>
                <w:p>
                  <w:pPr>
                    <w:autoSpaceDN w:val="0"/>
                    <w:jc w:val="center"/>
                  </w:pPr>
                  <w:r>
                    <w:t>2</w:t>
                  </w:r>
                </w:p>
              </w:tc>
              <w:tc>
                <w:tcPr>
                  <w:tcW w:w="2409" w:type="dxa"/>
                  <w:vAlign w:val="center"/>
                </w:tcPr>
                <w:p>
                  <w:pPr>
                    <w:autoSpaceDN w:val="0"/>
                    <w:jc w:val="center"/>
                  </w:pPr>
                  <w:r>
                    <w:t>2#南厂界</w:t>
                  </w:r>
                </w:p>
              </w:tc>
              <w:tc>
                <w:tcPr>
                  <w:tcW w:w="1556" w:type="dxa"/>
                  <w:vAlign w:val="center"/>
                </w:tcPr>
                <w:p>
                  <w:pPr>
                    <w:autoSpaceDN w:val="0"/>
                    <w:jc w:val="center"/>
                  </w:pPr>
                  <w:r>
                    <w:rPr>
                      <w:color w:val="000000"/>
                    </w:rPr>
                    <w:t>61.8</w:t>
                  </w:r>
                </w:p>
              </w:tc>
              <w:tc>
                <w:tcPr>
                  <w:tcW w:w="1559" w:type="dxa"/>
                  <w:vAlign w:val="center"/>
                </w:tcPr>
                <w:p>
                  <w:pPr>
                    <w:widowControl/>
                    <w:spacing w:before="100" w:beforeAutospacing="1" w:after="100" w:afterAutospacing="1"/>
                    <w:jc w:val="center"/>
                    <w:rPr>
                      <w:color w:val="000000"/>
                    </w:rPr>
                  </w:pPr>
                  <w:r>
                    <w:rPr>
                      <w:color w:val="000000"/>
                    </w:rPr>
                    <w:t>57.7</w:t>
                  </w:r>
                </w:p>
              </w:tc>
              <w:tc>
                <w:tcPr>
                  <w:tcW w:w="1810" w:type="dxa"/>
                  <w:vAlign w:val="center"/>
                </w:tcPr>
                <w:p>
                  <w:pPr>
                    <w:autoSpaceDN w:val="0"/>
                    <w:jc w:val="center"/>
                  </w:pPr>
                  <w: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60" w:hRule="exact"/>
                <w:jc w:val="center"/>
              </w:trPr>
              <w:tc>
                <w:tcPr>
                  <w:tcW w:w="1449" w:type="dxa"/>
                  <w:vAlign w:val="center"/>
                </w:tcPr>
                <w:p>
                  <w:pPr>
                    <w:autoSpaceDN w:val="0"/>
                    <w:jc w:val="center"/>
                  </w:pPr>
                  <w:r>
                    <w:t>3</w:t>
                  </w:r>
                </w:p>
              </w:tc>
              <w:tc>
                <w:tcPr>
                  <w:tcW w:w="2409" w:type="dxa"/>
                  <w:vAlign w:val="center"/>
                </w:tcPr>
                <w:p>
                  <w:pPr>
                    <w:autoSpaceDN w:val="0"/>
                    <w:jc w:val="center"/>
                  </w:pPr>
                  <w:r>
                    <w:t>3#西厂界</w:t>
                  </w:r>
                </w:p>
              </w:tc>
              <w:tc>
                <w:tcPr>
                  <w:tcW w:w="1556" w:type="dxa"/>
                  <w:vAlign w:val="center"/>
                </w:tcPr>
                <w:p>
                  <w:pPr>
                    <w:autoSpaceDN w:val="0"/>
                    <w:jc w:val="center"/>
                  </w:pPr>
                  <w:r>
                    <w:rPr>
                      <w:color w:val="000000"/>
                    </w:rPr>
                    <w:t>62.3</w:t>
                  </w:r>
                </w:p>
              </w:tc>
              <w:tc>
                <w:tcPr>
                  <w:tcW w:w="1559" w:type="dxa"/>
                  <w:vAlign w:val="center"/>
                </w:tcPr>
                <w:p>
                  <w:pPr>
                    <w:widowControl/>
                    <w:spacing w:before="100" w:beforeAutospacing="1" w:after="100" w:afterAutospacing="1"/>
                    <w:jc w:val="center"/>
                    <w:rPr>
                      <w:color w:val="000000"/>
                    </w:rPr>
                  </w:pPr>
                  <w:r>
                    <w:rPr>
                      <w:color w:val="000000"/>
                    </w:rPr>
                    <w:t>52.2</w:t>
                  </w:r>
                </w:p>
              </w:tc>
              <w:tc>
                <w:tcPr>
                  <w:tcW w:w="1810" w:type="dxa"/>
                  <w:vAlign w:val="center"/>
                </w:tcPr>
                <w:p>
                  <w:pPr>
                    <w:autoSpaceDN w:val="0"/>
                    <w:jc w:val="center"/>
                  </w:pPr>
                  <w: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60" w:hRule="exact"/>
                <w:jc w:val="center"/>
              </w:trPr>
              <w:tc>
                <w:tcPr>
                  <w:tcW w:w="1449" w:type="dxa"/>
                  <w:vAlign w:val="center"/>
                </w:tcPr>
                <w:p>
                  <w:pPr>
                    <w:autoSpaceDN w:val="0"/>
                    <w:jc w:val="center"/>
                  </w:pPr>
                  <w:r>
                    <w:t>4</w:t>
                  </w:r>
                </w:p>
              </w:tc>
              <w:tc>
                <w:tcPr>
                  <w:tcW w:w="2409" w:type="dxa"/>
                  <w:vAlign w:val="center"/>
                </w:tcPr>
                <w:p>
                  <w:pPr>
                    <w:autoSpaceDN w:val="0"/>
                    <w:jc w:val="center"/>
                  </w:pPr>
                  <w:r>
                    <w:t>4#北厂界</w:t>
                  </w:r>
                </w:p>
              </w:tc>
              <w:tc>
                <w:tcPr>
                  <w:tcW w:w="1556" w:type="dxa"/>
                  <w:vAlign w:val="center"/>
                </w:tcPr>
                <w:p>
                  <w:pPr>
                    <w:autoSpaceDN w:val="0"/>
                    <w:jc w:val="center"/>
                  </w:pPr>
                  <w:r>
                    <w:rPr>
                      <w:color w:val="000000"/>
                    </w:rPr>
                    <w:t>63.4</w:t>
                  </w:r>
                </w:p>
              </w:tc>
              <w:tc>
                <w:tcPr>
                  <w:tcW w:w="1559" w:type="dxa"/>
                  <w:vAlign w:val="center"/>
                </w:tcPr>
                <w:p>
                  <w:pPr>
                    <w:widowControl/>
                    <w:spacing w:before="100" w:beforeAutospacing="1" w:after="100" w:afterAutospacing="1"/>
                    <w:jc w:val="center"/>
                    <w:rPr>
                      <w:color w:val="000000"/>
                    </w:rPr>
                  </w:pPr>
                  <w:r>
                    <w:rPr>
                      <w:color w:val="000000"/>
                    </w:rPr>
                    <w:t>50.8</w:t>
                  </w:r>
                </w:p>
              </w:tc>
              <w:tc>
                <w:tcPr>
                  <w:tcW w:w="1810" w:type="dxa"/>
                  <w:vAlign w:val="center"/>
                </w:tcPr>
                <w:p>
                  <w:pPr>
                    <w:autoSpaceDN w:val="0"/>
                    <w:jc w:val="center"/>
                  </w:pPr>
                  <w: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700" w:hRule="exact"/>
                <w:jc w:val="center"/>
              </w:trPr>
              <w:tc>
                <w:tcPr>
                  <w:tcW w:w="3858" w:type="dxa"/>
                  <w:gridSpan w:val="2"/>
                  <w:vAlign w:val="center"/>
                </w:tcPr>
                <w:p>
                  <w:pPr>
                    <w:autoSpaceDN w:val="0"/>
                    <w:jc w:val="center"/>
                  </w:pPr>
                  <w:r>
                    <w:t>《工业企业厂界环境噪声排放标准》（GB12348-2008）</w:t>
                  </w:r>
                </w:p>
              </w:tc>
              <w:tc>
                <w:tcPr>
                  <w:tcW w:w="4925" w:type="dxa"/>
                  <w:gridSpan w:val="3"/>
                  <w:vAlign w:val="center"/>
                </w:tcPr>
                <w:p>
                  <w:pPr>
                    <w:autoSpaceDN w:val="0"/>
                    <w:jc w:val="center"/>
                  </w:pPr>
                  <w:r>
                    <w:t>昼间：60</w:t>
                  </w:r>
                  <w:r>
                    <w:rPr>
                      <w:rFonts w:eastAsia="黑体"/>
                    </w:rPr>
                    <w:t xml:space="preserve"> </w:t>
                  </w:r>
                  <w:r>
                    <w:t>dB</w:t>
                  </w:r>
                </w:p>
              </w:tc>
            </w:tr>
          </w:tbl>
          <w:p>
            <w:pPr>
              <w:autoSpaceDN w:val="0"/>
              <w:spacing w:line="360" w:lineRule="auto"/>
              <w:ind w:firstLine="480" w:firstLineChars="200"/>
              <w:rPr>
                <w:sz w:val="24"/>
              </w:rPr>
            </w:pPr>
            <w:r>
              <w:rPr>
                <w:sz w:val="24"/>
              </w:rPr>
              <w:t xml:space="preserve">由预测结果可知：采取隔声降噪措施后，项目营运期设备噪声经距离衰减后，昼间噪声贡献值均可以达到《工业企业厂界环境噪声排放标准》（GB12348-2008）中的2类标准要求。 </w:t>
            </w:r>
          </w:p>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4、固废影响分析</w:t>
            </w:r>
          </w:p>
          <w:p>
            <w:pPr>
              <w:tabs>
                <w:tab w:val="left" w:pos="1440"/>
                <w:tab w:val="left" w:pos="1800"/>
              </w:tabs>
              <w:adjustRightInd w:val="0"/>
              <w:snapToGrid w:val="0"/>
              <w:spacing w:line="520" w:lineRule="exact"/>
              <w:ind w:firstLine="480" w:firstLineChars="200"/>
              <w:rPr>
                <w:sz w:val="24"/>
              </w:rPr>
            </w:pPr>
            <w:r>
              <w:rPr>
                <w:sz w:val="24"/>
              </w:rPr>
              <w:t>本项目固体废弃物主要包括一般固体废物、生活垃圾和危险废物。</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（1）一般固体废物</w:t>
            </w:r>
          </w:p>
          <w:p>
            <w:pPr>
              <w:tabs>
                <w:tab w:val="left" w:pos="1440"/>
                <w:tab w:val="left" w:pos="1800"/>
              </w:tabs>
              <w:adjustRightInd w:val="0"/>
              <w:snapToGrid w:val="0"/>
              <w:spacing w:line="520" w:lineRule="exact"/>
              <w:ind w:firstLine="480" w:firstLineChars="200"/>
              <w:rPr>
                <w:sz w:val="24"/>
              </w:rPr>
            </w:pPr>
            <w:r>
              <w:rPr>
                <w:color w:val="000000"/>
                <w:sz w:val="24"/>
              </w:rPr>
              <w:t>项目维修过程中会产生废旧零部件，产生量约为1t/a，统一收集后外售至废品站。项目维修工序更新零部件会产生废旧包装盒等，产生量为0.2t/a，统一收集后外售至废品站。</w:t>
            </w:r>
          </w:p>
          <w:p>
            <w:pPr>
              <w:tabs>
                <w:tab w:val="left" w:pos="1440"/>
                <w:tab w:val="left" w:pos="1800"/>
              </w:tabs>
              <w:adjustRightInd w:val="0"/>
              <w:snapToGrid w:val="0"/>
              <w:spacing w:line="520" w:lineRule="exact"/>
              <w:ind w:firstLine="496" w:firstLineChars="200"/>
              <w:rPr>
                <w:spacing w:val="4"/>
                <w:sz w:val="24"/>
              </w:rPr>
            </w:pPr>
            <w:r>
              <w:rPr>
                <w:spacing w:val="4"/>
                <w:sz w:val="24"/>
                <w:szCs w:val="24"/>
              </w:rPr>
              <w:t>（2）</w:t>
            </w:r>
            <w:r>
              <w:rPr>
                <w:spacing w:val="4"/>
                <w:sz w:val="24"/>
              </w:rPr>
              <w:t>生活垃圾</w:t>
            </w:r>
          </w:p>
          <w:p>
            <w:pPr>
              <w:tabs>
                <w:tab w:val="left" w:pos="1440"/>
                <w:tab w:val="left" w:pos="1800"/>
              </w:tabs>
              <w:adjustRightInd w:val="0"/>
              <w:snapToGrid w:val="0"/>
              <w:spacing w:line="520" w:lineRule="exact"/>
              <w:ind w:firstLine="496" w:firstLineChars="200"/>
              <w:rPr>
                <w:sz w:val="24"/>
              </w:rPr>
            </w:pPr>
            <w:r>
              <w:rPr>
                <w:spacing w:val="4"/>
                <w:sz w:val="24"/>
              </w:rPr>
              <w:t>厂区共定员54人，</w:t>
            </w:r>
            <w:r>
              <w:rPr>
                <w:sz w:val="24"/>
              </w:rPr>
              <w:t xml:space="preserve">生活垃圾产生量按0.5kg/人·d，则生活垃圾产生量为27kg/d，全年产生9.855t，统一交由环卫部门处置。 </w:t>
            </w:r>
          </w:p>
          <w:p>
            <w:pPr>
              <w:tabs>
                <w:tab w:val="left" w:pos="1440"/>
                <w:tab w:val="left" w:pos="1800"/>
              </w:tabs>
              <w:adjustRightInd w:val="0"/>
              <w:snapToGrid w:val="0"/>
              <w:spacing w:line="520" w:lineRule="exact"/>
              <w:ind w:firstLine="480" w:firstLineChars="200"/>
              <w:rPr>
                <w:sz w:val="24"/>
              </w:rPr>
            </w:pPr>
            <w:r>
              <w:rPr>
                <w:sz w:val="24"/>
              </w:rPr>
              <w:t>（3）危险废物：</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sz w:val="24"/>
              </w:rPr>
              <w:t>项目废有机溶剂桶产生量为2t/a，属于危险废物HW49，代码为900-041-49；飞机维修时产生的废机油以及沾染机油的废抹布、手套等，年产生量约为0.5t/a，属于危险废物HW08，代码为900-214-08</w:t>
            </w:r>
            <w:r>
              <w:rPr>
                <w:rFonts w:hint="eastAsia"/>
                <w:sz w:val="24"/>
              </w:rPr>
              <w:t>。</w:t>
            </w:r>
            <w:r>
              <w:rPr>
                <w:sz w:val="24"/>
              </w:rPr>
              <w:t>项目清洗废水经过滤棉预处理后排入机场污水处理厂，废过滤棉（含杂质）产生量为0.8t/a，属于危险废物HW08，代码为900-210-08</w:t>
            </w:r>
            <w:r>
              <w:rPr>
                <w:rFonts w:hint="eastAsia"/>
                <w:sz w:val="24"/>
              </w:rPr>
              <w:t>。</w:t>
            </w:r>
            <w:r>
              <w:rPr>
                <w:sz w:val="24"/>
              </w:rPr>
              <w:t>项目喷漆产生的漆雾采用干式过滤器进行处理，</w:t>
            </w:r>
            <w:r>
              <w:rPr>
                <w:rFonts w:hint="eastAsia"/>
                <w:sz w:val="24"/>
              </w:rPr>
              <w:t>滤芯</w:t>
            </w:r>
            <w:r>
              <w:rPr>
                <w:sz w:val="24"/>
              </w:rPr>
              <w:t>（含</w:t>
            </w:r>
            <w:r>
              <w:rPr>
                <w:sz w:val="24"/>
                <w:highlight w:val="none"/>
              </w:rPr>
              <w:t>漆渣</w:t>
            </w:r>
            <w:r>
              <w:rPr>
                <w:sz w:val="24"/>
              </w:rPr>
              <w:t>）要求定期更换，废</w:t>
            </w:r>
            <w:r>
              <w:rPr>
                <w:rFonts w:hint="eastAsia"/>
                <w:sz w:val="24"/>
              </w:rPr>
              <w:t>滤芯</w:t>
            </w:r>
            <w:r>
              <w:rPr>
                <w:sz w:val="24"/>
              </w:rPr>
              <w:t>（含</w:t>
            </w:r>
            <w:r>
              <w:rPr>
                <w:sz w:val="24"/>
                <w:highlight w:val="none"/>
              </w:rPr>
              <w:t>漆渣</w:t>
            </w:r>
            <w:r>
              <w:rPr>
                <w:sz w:val="24"/>
              </w:rPr>
              <w:t>）产生量为4.104t/a</w:t>
            </w:r>
            <w:r>
              <w:rPr>
                <w:rFonts w:hint="eastAsia"/>
                <w:sz w:val="24"/>
              </w:rPr>
              <w:t>；</w:t>
            </w:r>
            <w:r>
              <w:rPr>
                <w:sz w:val="24"/>
              </w:rPr>
              <w:t>项目打磨过程采用</w:t>
            </w:r>
            <w:r>
              <w:rPr>
                <w:rFonts w:hint="eastAsia"/>
                <w:sz w:val="24"/>
              </w:rPr>
              <w:t>干式</w:t>
            </w:r>
            <w:r>
              <w:rPr>
                <w:sz w:val="24"/>
              </w:rPr>
              <w:t>过滤器进行过滤，滤芯要求定期更换清理</w:t>
            </w:r>
            <w:r>
              <w:rPr>
                <w:rFonts w:hint="eastAsia"/>
                <w:sz w:val="24"/>
              </w:rPr>
              <w:t>，</w:t>
            </w:r>
            <w:r>
              <w:rPr>
                <w:sz w:val="24"/>
              </w:rPr>
              <w:t>废滤芯产生量（含</w:t>
            </w:r>
            <w:r>
              <w:rPr>
                <w:rFonts w:hint="eastAsia"/>
                <w:sz w:val="24"/>
              </w:rPr>
              <w:t>漆</w:t>
            </w:r>
            <w:r>
              <w:rPr>
                <w:sz w:val="24"/>
              </w:rPr>
              <w:t>粉尘）为1.7t/a，</w:t>
            </w:r>
            <w:r>
              <w:rPr>
                <w:rFonts w:hint="eastAsia"/>
                <w:sz w:val="24"/>
              </w:rPr>
              <w:t>含</w:t>
            </w:r>
            <w:r>
              <w:rPr>
                <w:rFonts w:hint="eastAsia"/>
                <w:sz w:val="24"/>
                <w:highlight w:val="none"/>
              </w:rPr>
              <w:t>漆渣</w:t>
            </w:r>
            <w:r>
              <w:rPr>
                <w:rFonts w:hint="eastAsia"/>
                <w:sz w:val="24"/>
              </w:rPr>
              <w:t>废滤芯和含漆粉尘废滤芯均</w:t>
            </w:r>
            <w:r>
              <w:rPr>
                <w:sz w:val="24"/>
              </w:rPr>
              <w:t>属于危险废物HW12，代码为900-251-12</w:t>
            </w:r>
            <w:r>
              <w:rPr>
                <w:rFonts w:hint="eastAsia"/>
                <w:sz w:val="24"/>
              </w:rPr>
              <w:t>。</w:t>
            </w:r>
            <w:r>
              <w:rPr>
                <w:sz w:val="24"/>
              </w:rPr>
              <w:t>项目废活性炭产生量约18.772t/a，属于危险废物HW49，代码为900-041-49。所有危险废物</w:t>
            </w:r>
            <w:r>
              <w:rPr>
                <w:color w:val="000000" w:themeColor="text1"/>
                <w:sz w:val="24"/>
                <w14:textFill>
                  <w14:solidFill>
                    <w14:schemeClr w14:val="tx1"/>
                  </w14:solidFill>
                </w14:textFill>
              </w:rPr>
              <w:t>要求按照《危险废物贮存污染控制标准》（GB18597-2001）及其修改单中相关规定进行临时储存，本项目</w:t>
            </w:r>
            <w:r>
              <w:rPr>
                <w:sz w:val="24"/>
              </w:rPr>
              <w:t>依托维修基地危废暂存设施暂存后，统一交由有资质单位处理。</w:t>
            </w:r>
          </w:p>
          <w:p>
            <w:pPr>
              <w:tabs>
                <w:tab w:val="left" w:pos="1440"/>
                <w:tab w:val="left" w:pos="1800"/>
              </w:tabs>
              <w:adjustRightInd w:val="0"/>
              <w:snapToGrid w:val="0"/>
              <w:spacing w:line="520" w:lineRule="exact"/>
              <w:ind w:firstLine="482" w:firstLineChars="200"/>
              <w:rPr>
                <w:sz w:val="24"/>
              </w:rPr>
            </w:pPr>
            <w:r>
              <w:rPr>
                <w:b/>
                <w:color w:val="000000" w:themeColor="text1"/>
                <w:sz w:val="24"/>
                <w14:textFill>
                  <w14:solidFill>
                    <w14:schemeClr w14:val="tx1"/>
                  </w14:solidFill>
                </w14:textFill>
              </w:rPr>
              <w:t>危废暂存间依托可行性分析：</w:t>
            </w:r>
          </w:p>
          <w:p>
            <w:pPr>
              <w:spacing w:line="520" w:lineRule="exact"/>
              <w:ind w:firstLine="480" w:firstLineChars="200"/>
              <w:rPr>
                <w:b/>
                <w:color w:val="000000" w:themeColor="text1"/>
                <w:sz w:val="24"/>
                <w14:textFill>
                  <w14:solidFill>
                    <w14:schemeClr w14:val="tx1"/>
                  </w14:solidFill>
                </w14:textFill>
              </w:rPr>
            </w:pPr>
            <w:r>
              <w:rPr>
                <w:rFonts w:ascii="Calibri" w:hAnsi="Calibri" w:eastAsia="Calibri" w:cs="Calibri"/>
                <w:color w:val="000000" w:themeColor="text1"/>
                <w:sz w:val="24"/>
                <w14:textFill>
                  <w14:solidFill>
                    <w14:schemeClr w14:val="tx1"/>
                  </w14:solidFill>
                </w14:textFill>
              </w:rPr>
              <w:t>①</w:t>
            </w:r>
            <w:r>
              <w:rPr>
                <w:color w:val="000000" w:themeColor="text1"/>
                <w:sz w:val="24"/>
                <w14:textFill>
                  <w14:solidFill>
                    <w14:schemeClr w14:val="tx1"/>
                  </w14:solidFill>
                </w14:textFill>
              </w:rPr>
              <w:t>危险废物贮存设施(仓库式)的设计原则</w:t>
            </w:r>
          </w:p>
          <w:p>
            <w:pPr>
              <w:spacing w:line="520" w:lineRule="exact"/>
              <w:ind w:firstLine="480" w:firstLineChars="200"/>
              <w:rPr>
                <w:b/>
                <w:color w:val="000000" w:themeColor="text1"/>
                <w:sz w:val="24"/>
                <w14:textFill>
                  <w14:solidFill>
                    <w14:schemeClr w14:val="tx1"/>
                  </w14:solidFill>
                </w14:textFill>
              </w:rPr>
            </w:pPr>
            <w:r>
              <w:rPr>
                <w:color w:val="000000" w:themeColor="text1"/>
                <w:sz w:val="24"/>
                <w14:textFill>
                  <w14:solidFill>
                    <w14:schemeClr w14:val="tx1"/>
                  </w14:solidFill>
                </w14:textFill>
              </w:rPr>
              <w:t>A、地面与裙脚要用坚固、防渗的材料建造，建筑材料必须与危险废物相容。</w:t>
            </w:r>
          </w:p>
          <w:p>
            <w:pPr>
              <w:spacing w:line="520" w:lineRule="exact"/>
              <w:ind w:firstLine="480" w:firstLineChars="200"/>
              <w:rPr>
                <w:b/>
                <w:color w:val="000000" w:themeColor="text1"/>
                <w:sz w:val="24"/>
                <w14:textFill>
                  <w14:solidFill>
                    <w14:schemeClr w14:val="tx1"/>
                  </w14:solidFill>
                </w14:textFill>
              </w:rPr>
            </w:pPr>
            <w:r>
              <w:rPr>
                <w:color w:val="000000" w:themeColor="text1"/>
                <w:sz w:val="24"/>
                <w14:textFill>
                  <w14:solidFill>
                    <w14:schemeClr w14:val="tx1"/>
                  </w14:solidFill>
                </w14:textFill>
              </w:rPr>
              <w:t>B、必须有泄漏液体收集装置、气体导出口及气体净化装置。</w:t>
            </w:r>
          </w:p>
          <w:p>
            <w:pPr>
              <w:spacing w:line="520" w:lineRule="exact"/>
              <w:ind w:firstLine="480" w:firstLineChars="200"/>
              <w:rPr>
                <w:b/>
                <w:color w:val="000000" w:themeColor="text1"/>
                <w:sz w:val="24"/>
                <w14:textFill>
                  <w14:solidFill>
                    <w14:schemeClr w14:val="tx1"/>
                  </w14:solidFill>
                </w14:textFill>
              </w:rPr>
            </w:pPr>
            <w:r>
              <w:rPr>
                <w:color w:val="000000" w:themeColor="text1"/>
                <w:sz w:val="24"/>
                <w14:textFill>
                  <w14:solidFill>
                    <w14:schemeClr w14:val="tx1"/>
                  </w14:solidFill>
                </w14:textFill>
              </w:rPr>
              <w:t>C、设施内要有安全照明设施和观察窗口。</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D、用以存放装载液体、半固体危险废物容器的地方，必须有耐腐蚀的硬化地面，且表面无裂隙。</w:t>
            </w:r>
          </w:p>
          <w:p>
            <w:pPr>
              <w:tabs>
                <w:tab w:val="left" w:pos="1440"/>
                <w:tab w:val="left" w:pos="1800"/>
              </w:tabs>
              <w:adjustRightInd w:val="0"/>
              <w:snapToGrid w:val="0"/>
              <w:spacing w:line="520" w:lineRule="exact"/>
              <w:ind w:firstLine="460" w:firstLineChars="200"/>
              <w:rPr>
                <w:color w:val="000000" w:themeColor="text1"/>
                <w:sz w:val="24"/>
                <w14:textFill>
                  <w14:solidFill>
                    <w14:schemeClr w14:val="tx1"/>
                  </w14:solidFill>
                </w14:textFill>
              </w:rPr>
            </w:pPr>
            <w:r>
              <w:rPr>
                <w:color w:val="000000"/>
                <w:kern w:val="0"/>
                <w:sz w:val="23"/>
                <w:szCs w:val="23"/>
              </w:rPr>
              <w:t>E、应设计堵截泄漏的</w:t>
            </w:r>
            <w:r>
              <w:rPr>
                <w:color w:val="000000"/>
                <w:kern w:val="0"/>
                <w:sz w:val="23"/>
                <w:szCs w:val="23"/>
                <w:highlight w:val="none"/>
              </w:rPr>
              <w:t>裙脚</w:t>
            </w:r>
            <w:r>
              <w:rPr>
                <w:color w:val="000000"/>
                <w:kern w:val="0"/>
                <w:sz w:val="23"/>
                <w:szCs w:val="23"/>
              </w:rPr>
              <w:t>，地面与裙脚所围建的容积不低于堵截最大容器的最大储量或总储量的五分之一。</w:t>
            </w:r>
          </w:p>
          <w:p>
            <w:pPr>
              <w:tabs>
                <w:tab w:val="left" w:pos="1440"/>
                <w:tab w:val="left" w:pos="1800"/>
              </w:tabs>
              <w:adjustRightInd w:val="0"/>
              <w:snapToGrid w:val="0"/>
              <w:spacing w:line="520" w:lineRule="exact"/>
              <w:ind w:firstLine="480" w:firstLineChars="200"/>
              <w:rPr>
                <w:sz w:val="24"/>
              </w:rPr>
            </w:pPr>
            <w:r>
              <w:rPr>
                <w:sz w:val="24"/>
              </w:rPr>
              <w:t>F、不相容的危险废物必须分开存放，并设有隔离间隔断。</w:t>
            </w:r>
          </w:p>
          <w:p>
            <w:pPr>
              <w:tabs>
                <w:tab w:val="left" w:pos="1440"/>
                <w:tab w:val="left" w:pos="1800"/>
              </w:tabs>
              <w:adjustRightInd w:val="0"/>
              <w:snapToGrid w:val="0"/>
              <w:spacing w:line="520" w:lineRule="exact"/>
              <w:ind w:firstLine="480" w:firstLineChars="200"/>
              <w:rPr>
                <w:sz w:val="24"/>
              </w:rPr>
            </w:pPr>
            <w:r>
              <w:rPr>
                <w:rFonts w:ascii="Calibri" w:hAnsi="Calibri" w:eastAsia="Calibri" w:cs="Calibri"/>
                <w:sz w:val="24"/>
              </w:rPr>
              <w:t>②</w:t>
            </w:r>
            <w:r>
              <w:rPr>
                <w:sz w:val="24"/>
              </w:rPr>
              <w:t>危险废物的堆放</w:t>
            </w:r>
          </w:p>
          <w:p>
            <w:pPr>
              <w:tabs>
                <w:tab w:val="left" w:pos="1440"/>
                <w:tab w:val="left" w:pos="1800"/>
              </w:tabs>
              <w:adjustRightInd w:val="0"/>
              <w:snapToGrid w:val="0"/>
              <w:spacing w:line="520" w:lineRule="exact"/>
              <w:ind w:firstLine="480" w:firstLineChars="200"/>
              <w:rPr>
                <w:sz w:val="24"/>
              </w:rPr>
            </w:pPr>
            <w:r>
              <w:rPr>
                <w:sz w:val="24"/>
              </w:rPr>
              <w:t>A、基础必须防渗，防渗层为至少1m厚粘土层（渗透系数≤10-7cm/s），或2mm厚高密度聚乙烯，或至少2mm厚的其它人工材料，渗透系数≤10-10cm/s；</w:t>
            </w:r>
          </w:p>
          <w:p>
            <w:pPr>
              <w:tabs>
                <w:tab w:val="left" w:pos="1440"/>
                <w:tab w:val="left" w:pos="1800"/>
              </w:tabs>
              <w:adjustRightInd w:val="0"/>
              <w:snapToGrid w:val="0"/>
              <w:spacing w:line="520" w:lineRule="exact"/>
              <w:ind w:firstLine="480" w:firstLineChars="200"/>
              <w:rPr>
                <w:sz w:val="24"/>
              </w:rPr>
            </w:pPr>
            <w:r>
              <w:rPr>
                <w:sz w:val="24"/>
              </w:rPr>
              <w:t>B、堆放危险废物的高度应根据地面承载能力确定；</w:t>
            </w:r>
          </w:p>
          <w:p>
            <w:pPr>
              <w:tabs>
                <w:tab w:val="left" w:pos="1440"/>
                <w:tab w:val="left" w:pos="1800"/>
              </w:tabs>
              <w:adjustRightInd w:val="0"/>
              <w:snapToGrid w:val="0"/>
              <w:spacing w:line="520" w:lineRule="exact"/>
              <w:ind w:firstLine="480" w:firstLineChars="200"/>
              <w:rPr>
                <w:sz w:val="24"/>
              </w:rPr>
            </w:pPr>
            <w:r>
              <w:rPr>
                <w:sz w:val="24"/>
              </w:rPr>
              <w:t>C、衬里放在一个基础或底座上；</w:t>
            </w:r>
          </w:p>
          <w:p>
            <w:pPr>
              <w:tabs>
                <w:tab w:val="left" w:pos="1440"/>
                <w:tab w:val="left" w:pos="1800"/>
              </w:tabs>
              <w:adjustRightInd w:val="0"/>
              <w:snapToGrid w:val="0"/>
              <w:spacing w:line="520" w:lineRule="exact"/>
              <w:ind w:firstLine="480" w:firstLineChars="200"/>
              <w:rPr>
                <w:sz w:val="24"/>
              </w:rPr>
            </w:pPr>
            <w:r>
              <w:rPr>
                <w:sz w:val="24"/>
              </w:rPr>
              <w:t>D、衬里要能够覆盖危险废物或其溶出物可能涉及到的范围；</w:t>
            </w:r>
          </w:p>
          <w:p>
            <w:pPr>
              <w:tabs>
                <w:tab w:val="left" w:pos="1440"/>
                <w:tab w:val="left" w:pos="1800"/>
              </w:tabs>
              <w:adjustRightInd w:val="0"/>
              <w:snapToGrid w:val="0"/>
              <w:spacing w:line="520" w:lineRule="exact"/>
              <w:ind w:firstLine="480" w:firstLineChars="200"/>
              <w:rPr>
                <w:sz w:val="24"/>
              </w:rPr>
            </w:pPr>
            <w:r>
              <w:rPr>
                <w:sz w:val="24"/>
              </w:rPr>
              <w:t>E、衬里材料与堆放危险废物相容；</w:t>
            </w:r>
          </w:p>
          <w:p>
            <w:pPr>
              <w:tabs>
                <w:tab w:val="left" w:pos="1440"/>
                <w:tab w:val="left" w:pos="1800"/>
              </w:tabs>
              <w:adjustRightInd w:val="0"/>
              <w:snapToGrid w:val="0"/>
              <w:spacing w:line="520" w:lineRule="exact"/>
              <w:ind w:firstLine="480" w:firstLineChars="200"/>
              <w:rPr>
                <w:sz w:val="24"/>
              </w:rPr>
            </w:pPr>
            <w:r>
              <w:rPr>
                <w:sz w:val="24"/>
              </w:rPr>
              <w:t>F、在衬里上设计、建造浸出液收集清除系统；</w:t>
            </w:r>
          </w:p>
          <w:p>
            <w:pPr>
              <w:tabs>
                <w:tab w:val="left" w:pos="1440"/>
                <w:tab w:val="left" w:pos="1800"/>
              </w:tabs>
              <w:adjustRightInd w:val="0"/>
              <w:snapToGrid w:val="0"/>
              <w:spacing w:line="520" w:lineRule="exact"/>
              <w:ind w:firstLine="480" w:firstLineChars="200"/>
              <w:rPr>
                <w:sz w:val="24"/>
              </w:rPr>
            </w:pPr>
            <w:r>
              <w:rPr>
                <w:sz w:val="24"/>
              </w:rPr>
              <w:t>G、应设计建造径流疏导系统，保证能防止25年一遇的暴雨不会流到危险废物堆里；</w:t>
            </w:r>
          </w:p>
          <w:p>
            <w:pPr>
              <w:tabs>
                <w:tab w:val="left" w:pos="1440"/>
                <w:tab w:val="left" w:pos="1800"/>
              </w:tabs>
              <w:adjustRightInd w:val="0"/>
              <w:snapToGrid w:val="0"/>
              <w:spacing w:line="520" w:lineRule="exact"/>
              <w:ind w:firstLine="480" w:firstLineChars="200"/>
              <w:rPr>
                <w:sz w:val="24"/>
              </w:rPr>
            </w:pPr>
            <w:r>
              <w:rPr>
                <w:sz w:val="24"/>
              </w:rPr>
              <w:t>H、危险废物堆内设计雨水收集池，并能收集25年一遇的暴雨24小时降水量；</w:t>
            </w:r>
          </w:p>
          <w:p>
            <w:pPr>
              <w:tabs>
                <w:tab w:val="left" w:pos="1440"/>
                <w:tab w:val="left" w:pos="1800"/>
              </w:tabs>
              <w:adjustRightInd w:val="0"/>
              <w:snapToGrid w:val="0"/>
              <w:spacing w:line="520" w:lineRule="exact"/>
              <w:ind w:firstLine="480" w:firstLineChars="200"/>
              <w:rPr>
                <w:sz w:val="24"/>
              </w:rPr>
            </w:pPr>
            <w:r>
              <w:rPr>
                <w:sz w:val="24"/>
              </w:rPr>
              <w:t>I、危险废物堆要防风、防雨、防晒；</w:t>
            </w:r>
          </w:p>
          <w:p>
            <w:pPr>
              <w:tabs>
                <w:tab w:val="left" w:pos="1440"/>
                <w:tab w:val="left" w:pos="1800"/>
              </w:tabs>
              <w:adjustRightInd w:val="0"/>
              <w:snapToGrid w:val="0"/>
              <w:spacing w:line="520" w:lineRule="exact"/>
              <w:ind w:firstLine="480" w:firstLineChars="200"/>
              <w:rPr>
                <w:sz w:val="24"/>
              </w:rPr>
            </w:pPr>
            <w:r>
              <w:rPr>
                <w:sz w:val="24"/>
              </w:rPr>
              <w:t>G、产生量大的危险废物可以散装方式堆放贮存在按上述要求设计的废物堆里；</w:t>
            </w:r>
          </w:p>
          <w:p>
            <w:pPr>
              <w:tabs>
                <w:tab w:val="left" w:pos="1440"/>
                <w:tab w:val="left" w:pos="1800"/>
              </w:tabs>
              <w:adjustRightInd w:val="0"/>
              <w:snapToGrid w:val="0"/>
              <w:spacing w:line="520" w:lineRule="exact"/>
              <w:ind w:firstLine="480" w:firstLineChars="200"/>
              <w:rPr>
                <w:sz w:val="24"/>
              </w:rPr>
            </w:pPr>
            <w:r>
              <w:rPr>
                <w:sz w:val="24"/>
              </w:rPr>
              <w:t>K、不相容的危险废物不能堆放在一起；</w:t>
            </w:r>
          </w:p>
          <w:p>
            <w:pPr>
              <w:tabs>
                <w:tab w:val="left" w:pos="1440"/>
                <w:tab w:val="left" w:pos="1800"/>
              </w:tabs>
              <w:adjustRightInd w:val="0"/>
              <w:snapToGrid w:val="0"/>
              <w:spacing w:line="520" w:lineRule="exact"/>
              <w:ind w:firstLine="480" w:firstLineChars="200"/>
              <w:rPr>
                <w:sz w:val="24"/>
              </w:rPr>
            </w:pPr>
            <w:r>
              <w:rPr>
                <w:sz w:val="24"/>
              </w:rPr>
              <w:t>L、总贮存量不超过300kg(L)的危险废物要放入符合标准的容器内，加上标签，容器放入坚固的柜或箱中，柜或</w:t>
            </w:r>
            <w:r>
              <w:rPr>
                <w:sz w:val="24"/>
                <w:highlight w:val="none"/>
              </w:rPr>
              <w:t>箱应</w:t>
            </w:r>
            <w:r>
              <w:rPr>
                <w:sz w:val="24"/>
              </w:rPr>
              <w:t>设多个直径不少于30mm的排气孔。不相容危险废物要分别存放或存放在不渗透间隔分开的区域内，每个部分都应有</w:t>
            </w:r>
            <w:r>
              <w:rPr>
                <w:sz w:val="24"/>
                <w:highlight w:val="none"/>
              </w:rPr>
              <w:t>防漏裙脚或储漏盘</w:t>
            </w:r>
            <w:r>
              <w:rPr>
                <w:sz w:val="24"/>
              </w:rPr>
              <w:t>，</w:t>
            </w:r>
            <w:r>
              <w:rPr>
                <w:sz w:val="24"/>
                <w:highlight w:val="none"/>
              </w:rPr>
              <w:t>防漏裙脚或储漏盘</w:t>
            </w:r>
            <w:r>
              <w:rPr>
                <w:sz w:val="24"/>
              </w:rPr>
              <w:t>的材料要与危险废物相容。</w:t>
            </w:r>
          </w:p>
          <w:p>
            <w:pPr>
              <w:tabs>
                <w:tab w:val="left" w:pos="1440"/>
                <w:tab w:val="left" w:pos="1800"/>
              </w:tabs>
              <w:adjustRightInd w:val="0"/>
              <w:snapToGrid w:val="0"/>
              <w:spacing w:line="520" w:lineRule="exact"/>
              <w:ind w:firstLine="480" w:firstLineChars="200"/>
              <w:rPr>
                <w:sz w:val="24"/>
              </w:rPr>
            </w:pPr>
            <w:r>
              <w:rPr>
                <w:rFonts w:ascii="Calibri" w:hAnsi="Calibri" w:eastAsia="Calibri" w:cs="Calibri"/>
                <w:sz w:val="24"/>
              </w:rPr>
              <w:t>③</w:t>
            </w:r>
            <w:r>
              <w:rPr>
                <w:sz w:val="24"/>
              </w:rPr>
              <w:t>现有危废暂存间概况</w:t>
            </w:r>
          </w:p>
          <w:p>
            <w:pPr>
              <w:tabs>
                <w:tab w:val="left" w:pos="1440"/>
                <w:tab w:val="left" w:pos="1800"/>
              </w:tabs>
              <w:adjustRightInd w:val="0"/>
              <w:snapToGrid w:val="0"/>
              <w:spacing w:line="520" w:lineRule="exact"/>
              <w:ind w:firstLine="480" w:firstLineChars="200"/>
              <w:rPr>
                <w:sz w:val="24"/>
              </w:rPr>
            </w:pPr>
            <w:r>
              <w:rPr>
                <w:sz w:val="24"/>
              </w:rPr>
              <w:t>本项目危废暂存间位于维修基地的西侧大门旁，占地约50m</w:t>
            </w:r>
            <w:r>
              <w:rPr>
                <w:sz w:val="24"/>
                <w:vertAlign w:val="superscript"/>
              </w:rPr>
              <w:t>2</w:t>
            </w:r>
            <w:r>
              <w:rPr>
                <w:sz w:val="24"/>
              </w:rPr>
              <w:t>，主体结构为砖混结构，轻量化彩钢屋顶，地面为混凝土地面。现有危废暂存间在以下问题需整改：</w:t>
            </w:r>
          </w:p>
          <w:p>
            <w:pPr>
              <w:tabs>
                <w:tab w:val="left" w:pos="1440"/>
                <w:tab w:val="left" w:pos="1800"/>
              </w:tabs>
              <w:adjustRightInd w:val="0"/>
              <w:snapToGrid w:val="0"/>
              <w:spacing w:line="520" w:lineRule="exact"/>
              <w:ind w:firstLine="480" w:firstLineChars="200"/>
              <w:rPr>
                <w:sz w:val="24"/>
              </w:rPr>
            </w:pPr>
            <w:r>
              <w:rPr>
                <w:sz w:val="24"/>
              </w:rPr>
              <w:t>A、地面仅用混凝土硬化，无其他防渗措施；</w:t>
            </w:r>
          </w:p>
          <w:p>
            <w:pPr>
              <w:tabs>
                <w:tab w:val="left" w:pos="1440"/>
                <w:tab w:val="left" w:pos="1800"/>
              </w:tabs>
              <w:adjustRightInd w:val="0"/>
              <w:snapToGrid w:val="0"/>
              <w:spacing w:line="520" w:lineRule="exact"/>
              <w:ind w:firstLine="480" w:firstLineChars="200"/>
              <w:rPr>
                <w:sz w:val="24"/>
              </w:rPr>
            </w:pPr>
            <w:r>
              <w:rPr>
                <w:sz w:val="24"/>
              </w:rPr>
              <w:t>B、地面无导流槽，无防渗裙角等。</w:t>
            </w:r>
          </w:p>
          <w:p>
            <w:pPr>
              <w:tabs>
                <w:tab w:val="left" w:pos="1440"/>
                <w:tab w:val="left" w:pos="1800"/>
              </w:tabs>
              <w:adjustRightInd w:val="0"/>
              <w:snapToGrid w:val="0"/>
              <w:spacing w:line="520" w:lineRule="exact"/>
              <w:ind w:firstLine="480" w:firstLineChars="200"/>
              <w:rPr>
                <w:sz w:val="24"/>
              </w:rPr>
            </w:pPr>
            <w:r>
              <w:rPr>
                <w:rFonts w:ascii="Calibri" w:hAnsi="Calibri" w:eastAsia="Calibri" w:cs="Calibri"/>
                <w:sz w:val="24"/>
              </w:rPr>
              <w:t>④</w:t>
            </w:r>
            <w:r>
              <w:rPr>
                <w:sz w:val="24"/>
              </w:rPr>
              <w:t>整改措施</w:t>
            </w:r>
          </w:p>
          <w:p>
            <w:pPr>
              <w:tabs>
                <w:tab w:val="left" w:pos="1440"/>
                <w:tab w:val="left" w:pos="1800"/>
              </w:tabs>
              <w:adjustRightInd w:val="0"/>
              <w:snapToGrid w:val="0"/>
              <w:spacing w:line="520" w:lineRule="exact"/>
              <w:ind w:firstLine="480" w:firstLineChars="200"/>
              <w:rPr>
                <w:sz w:val="24"/>
              </w:rPr>
            </w:pPr>
            <w:r>
              <w:rPr>
                <w:sz w:val="24"/>
              </w:rPr>
              <w:t>A、基础防渗，建议防渗层为2mm厚高密度聚乙烯，或至少2mm厚的其它人工材料，渗透系数≤10</w:t>
            </w:r>
            <w:r>
              <w:rPr>
                <w:sz w:val="24"/>
                <w:vertAlign w:val="superscript"/>
              </w:rPr>
              <w:t>-10</w:t>
            </w:r>
            <w:r>
              <w:rPr>
                <w:sz w:val="24"/>
              </w:rPr>
              <w:t>cm/s；材料必须与危险废物相容；</w:t>
            </w:r>
          </w:p>
          <w:p>
            <w:pPr>
              <w:tabs>
                <w:tab w:val="left" w:pos="1440"/>
                <w:tab w:val="left" w:pos="1800"/>
              </w:tabs>
              <w:adjustRightInd w:val="0"/>
              <w:snapToGrid w:val="0"/>
              <w:spacing w:line="520" w:lineRule="exact"/>
              <w:ind w:firstLine="480" w:firstLineChars="200"/>
              <w:rPr>
                <w:sz w:val="24"/>
              </w:rPr>
            </w:pPr>
            <w:r>
              <w:rPr>
                <w:sz w:val="24"/>
              </w:rPr>
              <w:t>B、危险废物储存场所做到“五防”（即防风、防雨、防晒、防渗漏、防流失），同时要做到专人管理，制度健全；分类存放，设置警示标志；</w:t>
            </w:r>
          </w:p>
          <w:p>
            <w:pPr>
              <w:tabs>
                <w:tab w:val="left" w:pos="1440"/>
                <w:tab w:val="left" w:pos="1800"/>
              </w:tabs>
              <w:adjustRightInd w:val="0"/>
              <w:snapToGrid w:val="0"/>
              <w:spacing w:line="520" w:lineRule="exact"/>
              <w:ind w:firstLine="480" w:firstLineChars="200"/>
              <w:rPr>
                <w:sz w:val="24"/>
              </w:rPr>
            </w:pPr>
            <w:r>
              <w:rPr>
                <w:sz w:val="24"/>
              </w:rPr>
              <w:t>C、应设计堵截泄漏的</w:t>
            </w:r>
            <w:r>
              <w:rPr>
                <w:sz w:val="24"/>
                <w:highlight w:val="none"/>
              </w:rPr>
              <w:t>裙脚</w:t>
            </w:r>
            <w:r>
              <w:rPr>
                <w:sz w:val="24"/>
              </w:rPr>
              <w:t>，地面与裙脚所围建的容积不低于堵截最大容器的最大储量或总储量的五分之一；</w:t>
            </w:r>
          </w:p>
          <w:p>
            <w:pPr>
              <w:tabs>
                <w:tab w:val="left" w:pos="1440"/>
                <w:tab w:val="left" w:pos="1800"/>
              </w:tabs>
              <w:adjustRightInd w:val="0"/>
              <w:snapToGrid w:val="0"/>
              <w:spacing w:line="520" w:lineRule="exact"/>
              <w:ind w:firstLine="480" w:firstLineChars="200"/>
              <w:rPr>
                <w:sz w:val="24"/>
              </w:rPr>
            </w:pPr>
            <w:r>
              <w:rPr>
                <w:sz w:val="24"/>
              </w:rPr>
              <w:t>D、不相容的危险废物必须分开存放，并设有隔离间隔断；</w:t>
            </w:r>
          </w:p>
          <w:p>
            <w:pPr>
              <w:tabs>
                <w:tab w:val="left" w:pos="1440"/>
                <w:tab w:val="left" w:pos="1800"/>
              </w:tabs>
              <w:adjustRightInd w:val="0"/>
              <w:snapToGrid w:val="0"/>
              <w:spacing w:line="520" w:lineRule="exact"/>
              <w:ind w:firstLine="480" w:firstLineChars="200"/>
              <w:rPr>
                <w:sz w:val="24"/>
              </w:rPr>
            </w:pPr>
            <w:r>
              <w:rPr>
                <w:sz w:val="24"/>
              </w:rPr>
              <w:t>E、设置符合要求的专用危废贮存场所和贮存容器。严禁与其他一般性工业固废混合存放；</w:t>
            </w:r>
          </w:p>
          <w:p>
            <w:pPr>
              <w:tabs>
                <w:tab w:val="left" w:pos="1440"/>
                <w:tab w:val="left" w:pos="1800"/>
              </w:tabs>
              <w:adjustRightInd w:val="0"/>
              <w:snapToGrid w:val="0"/>
              <w:spacing w:line="520" w:lineRule="exact"/>
              <w:ind w:firstLine="480" w:firstLineChars="200"/>
              <w:rPr>
                <w:sz w:val="24"/>
              </w:rPr>
            </w:pPr>
            <w:r>
              <w:rPr>
                <w:sz w:val="24"/>
              </w:rPr>
              <w:t>F、其余依照《危险废物贮存污染控制标准》（GB18597-2001）及修改单的要求进行更细致整改。</w:t>
            </w:r>
          </w:p>
          <w:p>
            <w:pPr>
              <w:tabs>
                <w:tab w:val="left" w:pos="1440"/>
                <w:tab w:val="left" w:pos="1800"/>
              </w:tabs>
              <w:adjustRightInd w:val="0"/>
              <w:snapToGrid w:val="0"/>
              <w:spacing w:line="520" w:lineRule="exact"/>
              <w:ind w:firstLine="480" w:firstLineChars="200"/>
              <w:rPr>
                <w:sz w:val="24"/>
              </w:rPr>
            </w:pPr>
            <w:r>
              <w:rPr>
                <w:sz w:val="24"/>
              </w:rPr>
              <w:t>现有危废暂存间整改达标后，本项目可利用现有的危险废物暂存间，用于危险废物的临时堆存，不同危险废物贮存装置明显标识。定期对所贮存的危险废物包装容器及贮存设施进行检查，发现破损，应及时采取措施清理更换。环评要求危险废物交由有危险废物处理资质的单位定期处理。同时应严格按照《危险废物转移联单管理办法》的相关要求建立危险废物转移联单制度，保证危废得到安全合理处置。危废不外排，对周围环境影响很小。</w:t>
            </w:r>
          </w:p>
          <w:p>
            <w:pPr>
              <w:tabs>
                <w:tab w:val="left" w:pos="1440"/>
                <w:tab w:val="left" w:pos="1800"/>
              </w:tabs>
              <w:adjustRightInd w:val="0"/>
              <w:snapToGrid w:val="0"/>
              <w:spacing w:line="520" w:lineRule="exact"/>
              <w:ind w:firstLine="480" w:firstLineChars="200"/>
              <w:rPr>
                <w:sz w:val="24"/>
              </w:rPr>
            </w:pPr>
            <w:r>
              <w:rPr>
                <w:sz w:val="24"/>
              </w:rPr>
              <w:t>综上所述，本项目产生的各类固废均得到合理的处理处置，对周围环境影响较小。</w:t>
            </w:r>
          </w:p>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5、土壤环境影响分析</w:t>
            </w:r>
          </w:p>
          <w:p>
            <w:pPr>
              <w:widowControl/>
              <w:autoSpaceDN w:val="0"/>
              <w:spacing w:before="50" w:line="520" w:lineRule="exact"/>
              <w:ind w:firstLine="480" w:firstLineChars="200"/>
              <w:rPr>
                <w:kern w:val="0"/>
                <w:sz w:val="24"/>
              </w:rPr>
            </w:pPr>
            <w:r>
              <w:rPr>
                <w:kern w:val="0"/>
                <w:sz w:val="24"/>
              </w:rPr>
              <w:t>根据工程分析，项目在运营期将产生废水、废气、噪声和固体废物，属于污染影响型项目。根据附录A，本项目属于使用有机涂层，为I类项目。项目占地面积4790m</w:t>
            </w:r>
            <w:r>
              <w:rPr>
                <w:kern w:val="0"/>
                <w:sz w:val="24"/>
                <w:vertAlign w:val="superscript"/>
              </w:rPr>
              <w:t>2</w:t>
            </w:r>
            <w:r>
              <w:rPr>
                <w:kern w:val="0"/>
                <w:sz w:val="24"/>
              </w:rPr>
              <w:t>，为小型占地。本项目产生的污染主要为喷漆及烘干废气经排气筒排放后可通过大气沉降到土壤。根据估算模型计算结果，排气筒最大落地浓度对应下风向距离为115m。根据土地利用规划图，项目下风向范围内用地类型为建设用地，项目敏感程度可判定为不敏感。项目土壤环境影响评价等级为二级。</w:t>
            </w:r>
          </w:p>
          <w:p>
            <w:pPr>
              <w:pStyle w:val="139"/>
              <w:spacing w:line="520" w:lineRule="exact"/>
              <w:ind w:firstLineChars="0"/>
              <w:rPr>
                <w:color w:val="000000" w:themeColor="text1"/>
                <w14:textFill>
                  <w14:solidFill>
                    <w14:schemeClr w14:val="tx1"/>
                  </w14:solidFill>
                </w14:textFill>
              </w:rPr>
            </w:pPr>
            <w:r>
              <w:rPr>
                <w:color w:val="000000" w:themeColor="text1"/>
                <w14:textFill>
                  <w14:solidFill>
                    <w14:schemeClr w14:val="tx1"/>
                  </w14:solidFill>
                </w14:textFill>
              </w:rPr>
              <w:t>本项目所在地为建设用地，项目区土壤理化特性调查见下表。</w:t>
            </w:r>
          </w:p>
          <w:p>
            <w:pPr>
              <w:pStyle w:val="92"/>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表41   土壤理化特性调查表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2410"/>
              <w:gridCol w:w="1180"/>
              <w:gridCol w:w="41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4671"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点号</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1#厂界外上风向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4671"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经纬度</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E108°46′11.11″   N34°26′55.40″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4671"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层次</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现场记录</w:t>
                  </w: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颜色</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灰棕</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结构</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深层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质地</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团粒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砂砾含量</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其他异物</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少量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实验室测定</w:t>
                  </w: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pH值</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阳离子交换量</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10.1cmol/kg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氧化还原电位</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386mV</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土壤容重</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1.44g/cm</w:t>
                  </w:r>
                  <w:r>
                    <w:rPr>
                      <w:color w:val="000000" w:themeColor="text1"/>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081" w:type="dxa"/>
                  <w:vMerge w:val="continue"/>
                  <w:vAlign w:val="center"/>
                </w:tcPr>
                <w:p>
                  <w:pPr>
                    <w:rPr>
                      <w:color w:val="000000" w:themeColor="text1"/>
                      <w14:textFill>
                        <w14:solidFill>
                          <w14:schemeClr w14:val="tx1"/>
                        </w14:solidFill>
                      </w14:textFill>
                    </w:rPr>
                  </w:pPr>
                </w:p>
              </w:tc>
              <w:tc>
                <w:tcPr>
                  <w:tcW w:w="359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孔隙度</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31" w:hRule="atLeast"/>
                <w:jc w:val="center"/>
              </w:trPr>
              <w:tc>
                <w:tcPr>
                  <w:tcW w:w="1081" w:type="dxa"/>
                  <w:vMerge w:val="continue"/>
                  <w:vAlign w:val="center"/>
                </w:tcPr>
                <w:p>
                  <w:pPr>
                    <w:rPr>
                      <w:color w:val="000000" w:themeColor="text1"/>
                      <w14:textFill>
                        <w14:solidFill>
                          <w14:schemeClr w14:val="tx1"/>
                        </w14:solidFill>
                      </w14:textFill>
                    </w:rPr>
                  </w:pPr>
                </w:p>
              </w:tc>
              <w:tc>
                <w:tcPr>
                  <w:tcW w:w="2410" w:type="dxa"/>
                  <w:vMerge w:val="restart"/>
                  <w:tcBorders>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饱和导水率</w:t>
                  </w:r>
                </w:p>
              </w:tc>
              <w:tc>
                <w:tcPr>
                  <w:tcW w:w="1180" w:type="dxa"/>
                  <w:tcBorders>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w:t>
                  </w:r>
                  <w:r>
                    <w:rPr>
                      <w:color w:val="000000" w:themeColor="text1"/>
                      <w:vertAlign w:val="subscript"/>
                      <w14:textFill>
                        <w14:solidFill>
                          <w14:schemeClr w14:val="tx1"/>
                        </w14:solidFill>
                      </w14:textFill>
                    </w:rPr>
                    <w:t>V</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7.63×10</w:t>
                  </w:r>
                  <w:r>
                    <w:rPr>
                      <w:color w:val="000000" w:themeColor="text1"/>
                      <w:vertAlign w:val="superscript"/>
                      <w14:textFill>
                        <w14:solidFill>
                          <w14:schemeClr w14:val="tx1"/>
                        </w14:solidFill>
                      </w14:textFill>
                    </w:rPr>
                    <w:t>-6</w:t>
                  </w:r>
                  <w:r>
                    <w:rPr>
                      <w:color w:val="000000" w:themeColor="text1"/>
                      <w14:textFill>
                        <w14:solidFill>
                          <w14:schemeClr w14:val="tx1"/>
                        </w14:solidFill>
                      </w14:textFill>
                    </w:rPr>
                    <w:t>cm/s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31" w:hRule="atLeast"/>
                <w:jc w:val="center"/>
              </w:trPr>
              <w:tc>
                <w:tcPr>
                  <w:tcW w:w="1081" w:type="dxa"/>
                  <w:vMerge w:val="continue"/>
                  <w:vAlign w:val="center"/>
                </w:tcPr>
                <w:p>
                  <w:pPr>
                    <w:rPr>
                      <w:color w:val="000000" w:themeColor="text1"/>
                      <w14:textFill>
                        <w14:solidFill>
                          <w14:schemeClr w14:val="tx1"/>
                        </w14:solidFill>
                      </w14:textFill>
                    </w:rPr>
                  </w:pPr>
                </w:p>
              </w:tc>
              <w:tc>
                <w:tcPr>
                  <w:tcW w:w="2410" w:type="dxa"/>
                  <w:vMerge w:val="continue"/>
                  <w:tcBorders>
                    <w:right w:val="single" w:color="000000" w:sz="4" w:space="0"/>
                  </w:tcBorders>
                  <w:vAlign w:val="center"/>
                </w:tcPr>
                <w:p>
                  <w:pPr>
                    <w:jc w:val="center"/>
                    <w:rPr>
                      <w:color w:val="000000" w:themeColor="text1"/>
                      <w14:textFill>
                        <w14:solidFill>
                          <w14:schemeClr w14:val="tx1"/>
                        </w14:solidFill>
                      </w14:textFill>
                    </w:rPr>
                  </w:pPr>
                </w:p>
              </w:tc>
              <w:tc>
                <w:tcPr>
                  <w:tcW w:w="1180" w:type="dxa"/>
                  <w:tcBorders>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w:t>
                  </w:r>
                  <w:r>
                    <w:rPr>
                      <w:color w:val="000000" w:themeColor="text1"/>
                      <w:vertAlign w:val="subscript"/>
                      <w14:textFill>
                        <w14:solidFill>
                          <w14:schemeClr w14:val="tx1"/>
                        </w14:solidFill>
                      </w14:textFill>
                    </w:rPr>
                    <w:t>H</w:t>
                  </w:r>
                </w:p>
              </w:tc>
              <w:tc>
                <w:tcPr>
                  <w:tcW w:w="41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9.07×10</w:t>
                  </w:r>
                  <w:r>
                    <w:rPr>
                      <w:color w:val="000000" w:themeColor="text1"/>
                      <w:vertAlign w:val="superscript"/>
                      <w14:textFill>
                        <w14:solidFill>
                          <w14:schemeClr w14:val="tx1"/>
                        </w14:solidFill>
                      </w14:textFill>
                    </w:rPr>
                    <w:t>-6</w:t>
                  </w:r>
                  <w:r>
                    <w:rPr>
                      <w:color w:val="000000" w:themeColor="text1"/>
                      <w14:textFill>
                        <w14:solidFill>
                          <w14:schemeClr w14:val="tx1"/>
                        </w14:solidFill>
                      </w14:textFill>
                    </w:rPr>
                    <w:t xml:space="preserve"> cm/s</w:t>
                  </w:r>
                </w:p>
              </w:tc>
            </w:tr>
          </w:tbl>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（2）预测与评价：</w:t>
            </w:r>
          </w:p>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单位质量土壤中某种物质的增量可用下式计算：</w:t>
            </w:r>
          </w:p>
          <w:p>
            <w:pPr>
              <w:ind w:firstLine="480" w:firstLineChars="20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drawing>
                <wp:inline distT="0" distB="0" distL="0" distR="0">
                  <wp:extent cx="2705100" cy="3111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0"/>
                          <a:srcRect l="6402" t="6014" r="7329" b="9942"/>
                          <a:stretch>
                            <a:fillRect/>
                          </a:stretch>
                        </pic:blipFill>
                        <pic:spPr>
                          <a:xfrm>
                            <a:off x="0" y="0"/>
                            <a:ext cx="2750172" cy="316893"/>
                          </a:xfrm>
                          <a:prstGeom prst="rect">
                            <a:avLst/>
                          </a:prstGeom>
                          <a:ln>
                            <a:noFill/>
                          </a:ln>
                        </pic:spPr>
                      </pic:pic>
                    </a:graphicData>
                  </a:graphic>
                </wp:inline>
              </w:drawing>
            </w:r>
            <w:r>
              <w:rPr>
                <w:color w:val="000000" w:themeColor="text1"/>
                <w:sz w:val="24"/>
                <w:szCs w:val="24"/>
                <w14:textFill>
                  <w14:solidFill>
                    <w14:schemeClr w14:val="tx1"/>
                  </w14:solidFill>
                </w14:textFill>
              </w:rPr>
              <w:t xml:space="preserve"> </w:t>
            </w:r>
          </w:p>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式中：</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mc:AlternateContent>
                <mc:Choice Requires="wps">
                  <w:drawing>
                    <wp:inline distT="0" distB="0" distL="0" distR="0">
                      <wp:extent cx="200660" cy="200660"/>
                      <wp:effectExtent l="0" t="0" r="0" b="0"/>
                      <wp:docPr id="7" name="矩形 7" descr="//var/folders/t_/dd0r4s5s1hl3xk3p6qgw4bxh0000gp/T/com.kingsoft.wpsoffice.mac/wps-guhiroshi/ksohtml/wpsskFnCa.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0660" cy="20066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var/folders/t_/dd0r4s5s1hl3xk3p6qgw4bxh0000gp/T/com.kingsoft.wpsoffice.mac/wps-guhiroshi/ksohtml/wpsskFnCa.png" style="height:15.8pt;width:15.8pt;" filled="f" stroked="f" coordsize="21600,21600" o:gfxdata="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37TQ60wAAAAMBAAAPAAAAAAAAAAEAIAAAACIAAABkcnMvZG93&#10;bnJldi54bWxQSwECFAAUAAAACACHTuJA/RtqXj4CAAA6BAAADgAAAAAAAAABACAAAAAiAQAAZHJz&#10;L2Uyb0RvYy54bWxQSwUGAAAAAAYABgBZAQAA0gUAAAAA&#10;">
                      <v:fill on="f" focussize="0,0"/>
                      <v:stroke on="f"/>
                      <v:imagedata o:title=""/>
                      <o:lock v:ext="edit" aspectratio="t"/>
                      <w10:wrap type="none"/>
                      <w10:anchorlock/>
                    </v:rect>
                  </w:pict>
                </mc:Fallback>
              </mc:AlternateContent>
            </w:r>
            <w:r>
              <w:rPr>
                <w:color w:val="000000" w:themeColor="text1"/>
                <w:sz w:val="24"/>
                <w:szCs w:val="24"/>
                <w14:textFill>
                  <w14:solidFill>
                    <w14:schemeClr w14:val="tx1"/>
                  </w14:solidFill>
                </w14:textFill>
              </w:rPr>
              <w:t>S——单位质量表层土壤中某种物质的增量，g/kg；</w:t>
            </w:r>
          </w:p>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       表层上壤中游离酸或游离碱浓度增量，mmol/kg；</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Is——预测评价范围内单位年份表层土壤中某种物质的输入量，g；</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Ls——预测评价范围内单位年份表层土壤中某种物质经淋溶排出的量，g；</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Rs——预测评价范围内单位年份表层上壤中某种物质经径流排出的量，g；</w:t>
            </w:r>
          </w:p>
          <w:p>
            <w:pPr>
              <w:spacing w:line="520" w:lineRule="exact"/>
              <w:ind w:firstLine="720" w:firstLineChars="300"/>
              <w:rPr>
                <w:color w:val="000000" w:themeColor="text1"/>
                <w:sz w:val="24"/>
                <w:szCs w:val="24"/>
                <w14:textFill>
                  <w14:solidFill>
                    <w14:schemeClr w14:val="tx1"/>
                  </w14:solidFill>
                </w14:textFill>
              </w:rPr>
            </w:pPr>
            <w:r>
              <w:rPr>
                <w:i/>
                <w:iCs/>
                <w:color w:val="000000" w:themeColor="text1"/>
                <w:sz w:val="24"/>
                <w:szCs w:val="24"/>
                <w14:textFill>
                  <w14:solidFill>
                    <w14:schemeClr w14:val="tx1"/>
                  </w14:solidFill>
                </w14:textFill>
              </w:rPr>
              <w:t>ρ</w:t>
            </w:r>
            <w:r>
              <w:rPr>
                <w:i/>
                <w:iCs/>
                <w:color w:val="000000" w:themeColor="text1"/>
                <w:sz w:val="24"/>
                <w:szCs w:val="24"/>
                <w:vertAlign w:val="subscript"/>
                <w14:textFill>
                  <w14:solidFill>
                    <w14:schemeClr w14:val="tx1"/>
                  </w14:solidFill>
                </w14:textFill>
              </w:rPr>
              <w:t>b</w:t>
            </w:r>
            <w:r>
              <w:rPr>
                <w:color w:val="000000" w:themeColor="text1"/>
                <w:sz w:val="24"/>
                <w:szCs w:val="24"/>
                <w14:textFill>
                  <w14:solidFill>
                    <w14:schemeClr w14:val="tx1"/>
                  </w14:solidFill>
                </w14:textFill>
              </w:rPr>
              <w:t>——表层土壤容重，kg/m</w:t>
            </w:r>
            <w:r>
              <w:rPr>
                <w:color w:val="000000" w:themeColor="text1"/>
                <w:sz w:val="24"/>
                <w:szCs w:val="24"/>
                <w:vertAlign w:val="superscript"/>
                <w14:textFill>
                  <w14:solidFill>
                    <w14:schemeClr w14:val="tx1"/>
                  </w14:solidFill>
                </w14:textFill>
              </w:rPr>
              <w:t>3</w:t>
            </w:r>
            <w:r>
              <w:rPr>
                <w:color w:val="000000" w:themeColor="text1"/>
                <w:sz w:val="24"/>
                <w:szCs w:val="24"/>
                <w14:textFill>
                  <w14:solidFill>
                    <w14:schemeClr w14:val="tx1"/>
                  </w14:solidFill>
                </w14:textFill>
              </w:rPr>
              <w:t>；取 1440 ；</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A——预测评价范围，m</w:t>
            </w:r>
            <w:r>
              <w:rPr>
                <w:color w:val="000000" w:themeColor="text1"/>
                <w:sz w:val="24"/>
                <w:szCs w:val="24"/>
                <w:vertAlign w:val="superscript"/>
                <w14:textFill>
                  <w14:solidFill>
                    <w14:schemeClr w14:val="tx1"/>
                  </w14:solidFill>
                </w14:textFill>
              </w:rPr>
              <w:t>2</w:t>
            </w:r>
            <w:r>
              <w:rPr>
                <w:color w:val="000000" w:themeColor="text1"/>
                <w:sz w:val="24"/>
                <w:szCs w:val="24"/>
                <w14:textFill>
                  <w14:solidFill>
                    <w14:schemeClr w14:val="tx1"/>
                  </w14:solidFill>
                </w14:textFill>
              </w:rPr>
              <w:t>；</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D——表层土壤深度，一般取0.2m，可根据实际情况适当调整；</w:t>
            </w:r>
          </w:p>
          <w:p>
            <w:pPr>
              <w:spacing w:line="520" w:lineRule="exact"/>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n——持续年份，a，取20年。</w:t>
            </w:r>
          </w:p>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b</w:t>
            </w:r>
            <w:r>
              <w:rPr>
                <w:color w:val="000000" w:themeColor="text1"/>
                <w:sz w:val="24"/>
                <w:szCs w:val="24"/>
                <w:highlight w:val="none"/>
                <w14:textFill>
                  <w14:solidFill>
                    <w14:schemeClr w14:val="tx1"/>
                  </w14:solidFill>
                </w14:textFill>
              </w:rPr>
              <w:t>）</w:t>
            </w:r>
            <w:r>
              <w:rPr>
                <w:color w:val="000000" w:themeColor="text1"/>
                <w:sz w:val="24"/>
                <w:szCs w:val="24"/>
                <w14:textFill>
                  <w14:solidFill>
                    <w14:schemeClr w14:val="tx1"/>
                  </w14:solidFill>
                </w14:textFill>
              </w:rPr>
              <w:t>单位质量土壤中某种物质的预测值可根据其增量叠加现状值进行计算，如下式：</w:t>
            </w:r>
          </w:p>
          <w:p>
            <w:pPr>
              <w:ind w:firstLine="480" w:firstLineChars="20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drawing>
                <wp:inline distT="0" distB="0" distL="0" distR="0">
                  <wp:extent cx="1580515" cy="3886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1"/>
                          <a:srcRect l="10873" t="2311" r="22323" b="632"/>
                          <a:stretch>
                            <a:fillRect/>
                          </a:stretch>
                        </pic:blipFill>
                        <pic:spPr>
                          <a:xfrm>
                            <a:off x="0" y="0"/>
                            <a:ext cx="1648212" cy="405548"/>
                          </a:xfrm>
                          <a:prstGeom prst="rect">
                            <a:avLst/>
                          </a:prstGeom>
                          <a:ln>
                            <a:noFill/>
                          </a:ln>
                        </pic:spPr>
                      </pic:pic>
                    </a:graphicData>
                  </a:graphic>
                </wp:inline>
              </w:drawing>
            </w:r>
          </w:p>
          <w:p>
            <w:pPr>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式中：Sb——单位质量土壤中某种物质的现状值，g/kg；</w:t>
            </w:r>
          </w:p>
          <w:p>
            <w:pPr>
              <w:spacing w:line="520" w:lineRule="exact"/>
              <w:ind w:firstLine="1200" w:firstLineChars="5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S——单位质量土壤中某种物质的预测值，g/kg。</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14:textFill>
                  <w14:solidFill>
                    <w14:schemeClr w14:val="tx1"/>
                  </w14:solidFill>
                </w14:textFill>
              </w:rPr>
              <w:t>根据工程分析，项目污染物中最大排放浓度为非甲烷总烃9.03mg/m</w:t>
            </w:r>
            <w:r>
              <w:rPr>
                <w:rFonts w:ascii="Times New Roman" w:hAnsi="Times New Roman"/>
                <w:color w:val="000000" w:themeColor="text1"/>
                <w:kern w:val="2"/>
                <w:vertAlign w:val="superscript"/>
                <w14:textFill>
                  <w14:solidFill>
                    <w14:schemeClr w14:val="tx1"/>
                  </w14:solidFill>
                </w14:textFill>
              </w:rPr>
              <w:t>3</w:t>
            </w:r>
            <w:r>
              <w:rPr>
                <w:rFonts w:ascii="Times New Roman" w:hAnsi="Times New Roman"/>
                <w:color w:val="000000" w:themeColor="text1"/>
                <w:kern w:val="2"/>
                <w14:textFill>
                  <w14:solidFill>
                    <w14:schemeClr w14:val="tx1"/>
                  </w14:solidFill>
                </w14:textFill>
              </w:rPr>
              <w:t>。项目土壤评价范围为占地范围外200m，其面积预计为230790m</w:t>
            </w:r>
            <w:r>
              <w:rPr>
                <w:rFonts w:ascii="Times New Roman" w:hAnsi="Times New Roman"/>
                <w:color w:val="000000" w:themeColor="text1"/>
                <w:kern w:val="2"/>
                <w:vertAlign w:val="superscript"/>
                <w14:textFill>
                  <w14:solidFill>
                    <w14:schemeClr w14:val="tx1"/>
                  </w14:solidFill>
                </w14:textFill>
              </w:rPr>
              <w:t>2</w:t>
            </w:r>
            <w:r>
              <w:rPr>
                <w:rFonts w:ascii="Times New Roman" w:hAnsi="Times New Roman"/>
                <w:color w:val="000000" w:themeColor="text1"/>
                <w:kern w:val="2"/>
                <w14:textFill>
                  <w14:solidFill>
                    <w14:schemeClr w14:val="tx1"/>
                  </w14:solidFill>
                </w14:textFill>
              </w:rPr>
              <w:t>，深度取0.2m，则Is为416.81g。根据导则，涉及大气沉降影响的可不考虑输出量。项目土壤容重1440kg/m</w:t>
            </w:r>
            <w:r>
              <w:rPr>
                <w:rFonts w:ascii="Times New Roman" w:hAnsi="Times New Roman"/>
                <w:color w:val="000000" w:themeColor="text1"/>
                <w:kern w:val="2"/>
                <w:vertAlign w:val="superscript"/>
                <w14:textFill>
                  <w14:solidFill>
                    <w14:schemeClr w14:val="tx1"/>
                  </w14:solidFill>
                </w14:textFill>
              </w:rPr>
              <w:t>3</w:t>
            </w:r>
            <w:r>
              <w:rPr>
                <w:rFonts w:ascii="Times New Roman" w:hAnsi="Times New Roman"/>
                <w:color w:val="000000" w:themeColor="text1"/>
                <w:kern w:val="2"/>
                <w14:textFill>
                  <w14:solidFill>
                    <w14:schemeClr w14:val="tx1"/>
                  </w14:solidFill>
                </w14:textFill>
              </w:rPr>
              <w:t>，持续年限按20</w:t>
            </w:r>
            <w:r>
              <w:rPr>
                <w:rFonts w:ascii="Times New Roman" w:hAnsi="Times New Roman"/>
                <w:color w:val="000000" w:themeColor="text1"/>
                <w:kern w:val="2"/>
                <w:highlight w:val="none"/>
                <w14:textFill>
                  <w14:solidFill>
                    <w14:schemeClr w14:val="tx1"/>
                  </w14:solidFill>
                </w14:textFill>
              </w:rPr>
              <w:t>年计</w:t>
            </w:r>
            <w:r>
              <w:rPr>
                <w:rFonts w:ascii="Times New Roman" w:hAnsi="Times New Roman"/>
                <w:color w:val="000000" w:themeColor="text1"/>
                <w:kern w:val="2"/>
                <w14:textFill>
                  <w14:solidFill>
                    <w14:schemeClr w14:val="tx1"/>
                  </w14:solidFill>
                </w14:textFill>
              </w:rPr>
              <w:t>。则</w:t>
            </w:r>
            <w:r>
              <w:rPr>
                <w:rFonts w:ascii="MS Mincho" w:hAnsi="MS Mincho" w:eastAsia="MS Mincho" w:cs="MS Mincho"/>
                <w:color w:val="000000" w:themeColor="text1"/>
                <w:kern w:val="2"/>
                <w14:textFill>
                  <w14:solidFill>
                    <w14:schemeClr w14:val="tx1"/>
                  </w14:solidFill>
                </w14:textFill>
              </w:rPr>
              <w:t>△</w:t>
            </w:r>
            <w:r>
              <w:rPr>
                <w:rFonts w:ascii="Times New Roman" w:hAnsi="Times New Roman"/>
                <w:color w:val="000000" w:themeColor="text1"/>
                <w:kern w:val="2"/>
                <w14:textFill>
                  <w14:solidFill>
                    <w14:schemeClr w14:val="tx1"/>
                  </w14:solidFill>
                </w14:textFill>
              </w:rPr>
              <w:t>S为1.26×10</w:t>
            </w:r>
            <w:r>
              <w:rPr>
                <w:rFonts w:ascii="Times New Roman" w:hAnsi="Times New Roman"/>
                <w:color w:val="000000" w:themeColor="text1"/>
                <w:kern w:val="2"/>
                <w:vertAlign w:val="superscript"/>
                <w14:textFill>
                  <w14:solidFill>
                    <w14:schemeClr w14:val="tx1"/>
                  </w14:solidFill>
                </w14:textFill>
              </w:rPr>
              <w:t>-4</w:t>
            </w:r>
            <w:r>
              <w:rPr>
                <w:rFonts w:ascii="Times New Roman" w:hAnsi="Times New Roman"/>
                <w:color w:val="000000" w:themeColor="text1"/>
                <w:kern w:val="2"/>
                <w14:textFill>
                  <w14:solidFill>
                    <w14:schemeClr w14:val="tx1"/>
                  </w14:solidFill>
                </w14:textFill>
              </w:rPr>
              <w:t>g/kg。则项目厂区内及周边土壤单位质量土壤中非甲烷总烃的贡献值为1.26×10</w:t>
            </w:r>
            <w:r>
              <w:rPr>
                <w:rFonts w:ascii="Times New Roman" w:hAnsi="Times New Roman"/>
                <w:color w:val="000000" w:themeColor="text1"/>
                <w:kern w:val="2"/>
                <w:vertAlign w:val="superscript"/>
                <w14:textFill>
                  <w14:solidFill>
                    <w14:schemeClr w14:val="tx1"/>
                  </w14:solidFill>
                </w14:textFill>
              </w:rPr>
              <w:t>-4</w:t>
            </w:r>
            <w:r>
              <w:rPr>
                <w:rFonts w:ascii="Times New Roman" w:hAnsi="Times New Roman"/>
                <w:color w:val="000000" w:themeColor="text1"/>
                <w:kern w:val="2"/>
                <w14:textFill>
                  <w14:solidFill>
                    <w14:schemeClr w14:val="tx1"/>
                  </w14:solidFill>
                </w14:textFill>
              </w:rPr>
              <w:t>g/kg，产生量较小，因此项目大气沉降对土壤环境的影响可接受。</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 源头控制措施</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14:textFill>
                  <w14:solidFill>
                    <w14:schemeClr w14:val="tx1"/>
                  </w14:solidFill>
                </w14:textFill>
              </w:rPr>
              <w:t>评价要求项目运营后采取以下源头控制措施：</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Calibri" w:hAnsi="Calibri" w:eastAsia="Calibri" w:cs="Calibri"/>
                <w:color w:val="000000" w:themeColor="text1"/>
                <w14:textFill>
                  <w14:solidFill>
                    <w14:schemeClr w14:val="tx1"/>
                  </w14:solidFill>
                </w14:textFill>
              </w:rPr>
              <w:t>①</w:t>
            </w:r>
            <w:r>
              <w:rPr>
                <w:rFonts w:ascii="Times New Roman" w:hAnsi="Times New Roman"/>
                <w:color w:val="000000" w:themeColor="text1"/>
                <w:kern w:val="2"/>
                <w14:textFill>
                  <w14:solidFill>
                    <w14:schemeClr w14:val="tx1"/>
                  </w14:solidFill>
                </w14:textFill>
              </w:rPr>
              <w:t>定期维护废气处理装置，定期更换活性炭，确保其处理效率，在厂区配备备用发电机，防止停电状态废气不正常排放。</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Calibri" w:hAnsi="Calibri" w:eastAsia="Calibri" w:cs="Calibri"/>
              </w:rPr>
              <w:t>②</w:t>
            </w:r>
            <w:r>
              <w:rPr>
                <w:rFonts w:ascii="Times New Roman" w:hAnsi="Times New Roman"/>
                <w:color w:val="000000" w:themeColor="text1"/>
                <w:kern w:val="2"/>
                <w14:textFill>
                  <w14:solidFill>
                    <w14:schemeClr w14:val="tx1"/>
                  </w14:solidFill>
                </w14:textFill>
              </w:rPr>
              <w:t>加强对危废废物的管理，如废活性炭，禁止随意堆放，要求采用包装桶收集后，放置在危废暂存间，委托资质单位处理。</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（4）过程防控措施</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14:textFill>
                  <w14:solidFill>
                    <w14:schemeClr w14:val="tx1"/>
                  </w14:solidFill>
                </w14:textFill>
              </w:rPr>
              <w:t>项目涉及大气沉降影响，由于本项目厂区内地面全部硬化，要求在厂区周边空地采取绿化措施，种植月季等对有机废气有较强吸附能力的植物。严格落实厂区防渗措施，防止土壤环境的污染。</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（5）跟踪监测</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14:textFill>
                  <w14:solidFill>
                    <w14:schemeClr w14:val="tx1"/>
                  </w14:solidFill>
                </w14:textFill>
              </w:rPr>
              <w:t>要求企业建立跟踪监测制度，按照要求定期进行土壤环境监测，以便及时发现问题，采取措施。要求5年内开展1次土壤监测，同时向社会公开的信息内容。项目跟踪监测土壤设置1个监测点，监测计划表见表42。</w:t>
            </w:r>
          </w:p>
          <w:p>
            <w:pPr>
              <w:pStyle w:val="34"/>
              <w:widowControl w:val="0"/>
              <w:autoSpaceDE w:val="0"/>
              <w:autoSpaceDN w:val="0"/>
              <w:adjustRightInd w:val="0"/>
              <w:spacing w:before="0" w:beforeAutospacing="0" w:after="0" w:afterAutospacing="0"/>
              <w:ind w:firstLine="210"/>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表42  项目土壤跟踪监测计划表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2322"/>
              <w:gridCol w:w="1374"/>
              <w:gridCol w:w="2087"/>
              <w:gridCol w:w="186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34"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监测点位</w:t>
                  </w:r>
                </w:p>
              </w:tc>
              <w:tc>
                <w:tcPr>
                  <w:tcW w:w="2322"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位置</w:t>
                  </w:r>
                </w:p>
              </w:tc>
              <w:tc>
                <w:tcPr>
                  <w:tcW w:w="1374"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样点类型</w:t>
                  </w:r>
                </w:p>
              </w:tc>
              <w:tc>
                <w:tcPr>
                  <w:tcW w:w="2087"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土壤监测因子</w:t>
                  </w:r>
                </w:p>
              </w:tc>
              <w:tc>
                <w:tcPr>
                  <w:tcW w:w="1866"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34"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2322"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厂界主导风向下风向</w:t>
                  </w:r>
                </w:p>
              </w:tc>
              <w:tc>
                <w:tcPr>
                  <w:tcW w:w="1374"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表层样点</w:t>
                  </w:r>
                </w:p>
              </w:tc>
              <w:tc>
                <w:tcPr>
                  <w:tcW w:w="2087"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乙苯、甲苯、间二甲苯+对二甲苯、邻二甲苯</w:t>
                  </w:r>
                </w:p>
              </w:tc>
              <w:tc>
                <w:tcPr>
                  <w:tcW w:w="1866"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项目厂址范围外，200m范围内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783" w:type="dxa"/>
                  <w:gridSpan w:val="5"/>
                  <w:vAlign w:val="center"/>
                </w:tcPr>
                <w:p>
                  <w:pPr>
                    <w:snapToGrid w:val="0"/>
                    <w:rPr>
                      <w:color w:val="000000" w:themeColor="text1"/>
                      <w14:textFill>
                        <w14:solidFill>
                          <w14:schemeClr w14:val="tx1"/>
                        </w14:solidFill>
                      </w14:textFill>
                    </w:rPr>
                  </w:pPr>
                  <w:r>
                    <w:rPr>
                      <w:color w:val="000000" w:themeColor="text1"/>
                      <w14:textFill>
                        <w14:solidFill>
                          <w14:schemeClr w14:val="tx1"/>
                        </w14:solidFill>
                      </w14:textFill>
                    </w:rPr>
                    <w:t>备注：表层样应在0~0.2m取样；</w:t>
                  </w:r>
                </w:p>
                <w:p>
                  <w:pPr>
                    <w:snapToGrid w:val="0"/>
                    <w:rPr>
                      <w:color w:val="000000" w:themeColor="text1"/>
                      <w14:textFill>
                        <w14:solidFill>
                          <w14:schemeClr w14:val="tx1"/>
                        </w14:solidFill>
                      </w14:textFill>
                    </w:rPr>
                  </w:pPr>
                  <w:r>
                    <w:rPr>
                      <w:color w:val="000000" w:themeColor="text1"/>
                      <w14:textFill>
                        <w14:solidFill>
                          <w14:schemeClr w14:val="tx1"/>
                        </w14:solidFill>
                      </w14:textFill>
                    </w:rPr>
                    <w:t>柱状样在0~0.5m、0.5~1.5m、1.5~3m分别取样，3m以下每3m取1个样，可根据基础埋深、土体构型适当调整。</w:t>
                  </w:r>
                </w:p>
              </w:tc>
            </w:tr>
          </w:tbl>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（7）结论</w:t>
            </w:r>
          </w:p>
          <w:p>
            <w:pPr>
              <w:pStyle w:val="34"/>
              <w:widowControl w:val="0"/>
              <w:adjustRightInd w:val="0"/>
              <w:snapToGrid w:val="0"/>
              <w:spacing w:before="0" w:beforeAutospacing="0" w:after="0" w:afterAutospacing="0" w:line="520" w:lineRule="exact"/>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14:textFill>
                  <w14:solidFill>
                    <w14:schemeClr w14:val="tx1"/>
                  </w14:solidFill>
                </w14:textFill>
              </w:rPr>
              <w:t>经环境识别，本项目对土壤环境的影响主要为大气沉降，要求厂区周边的空地加强绿化，定期检修维护环保设备，项目危废暂存间做好防渗处理，同时落实跟踪监测。从土壤环境影响的角度，项目建设可行。</w:t>
            </w:r>
          </w:p>
          <w:p>
            <w:pPr>
              <w:pStyle w:val="34"/>
              <w:widowControl w:val="0"/>
              <w:autoSpaceDE w:val="0"/>
              <w:autoSpaceDN w:val="0"/>
              <w:adjustRightInd w:val="0"/>
              <w:spacing w:before="0" w:beforeAutospacing="0" w:after="0" w:afterAutospacing="0"/>
              <w:ind w:firstLine="210"/>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表43  土壤环境影响评价自查表</w:t>
            </w:r>
          </w:p>
          <w:tbl>
            <w:tblPr>
              <w:tblStyle w:val="38"/>
              <w:tblW w:w="8783"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463"/>
              <w:gridCol w:w="1572"/>
              <w:gridCol w:w="1175"/>
              <w:gridCol w:w="1194"/>
              <w:gridCol w:w="1335"/>
              <w:gridCol w:w="1971"/>
              <w:gridCol w:w="107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2035" w:type="dxa"/>
                  <w:gridSpan w:val="2"/>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工作内容</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完成情况</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影响识别</w:t>
                  </w: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影响类型</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污染影响型√；生态影响型□；两种兼有□</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624"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土地利用类型</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建设用地√；农用地□；未利用地□</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土地利用类型图</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占地规模</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（0.479）hm</w:t>
                  </w:r>
                  <w:r>
                    <w:rPr>
                      <w:rFonts w:ascii="Times New Roman" w:hAnsi="Times New Roman"/>
                      <w:color w:val="000000" w:themeColor="text1"/>
                      <w:kern w:val="2"/>
                      <w:position w:val="6"/>
                      <w:sz w:val="15"/>
                      <w:szCs w:val="15"/>
                      <w14:textFill>
                        <w14:solidFill>
                          <w14:schemeClr w14:val="tx1"/>
                        </w14:solidFill>
                      </w14:textFill>
                    </w:rPr>
                    <w:t>2</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敏感目标信息</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敏感目标（  / ）、方位（   / ）、距离（   /  ）</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影响途径</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大气沉降</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；地面漫流□；垂直入渗□；地下水位□；其他（  /  ）</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全部污染物</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45项基本因子</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特征因子</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乙苯、甲苯、间二甲苯+对二甲苯、邻二甲苯</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623"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所属土壤环境影响</w:t>
                  </w:r>
                </w:p>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评价项目类别</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MS Mincho" w:hAnsi="MS Mincho" w:eastAsia="MS Mincho" w:cs="MS Mincho"/>
                      <w:color w:val="000000" w:themeColor="text1"/>
                      <w:kern w:val="2"/>
                      <w:sz w:val="21"/>
                      <w:szCs w:val="21"/>
                      <w14:textFill>
                        <w14:solidFill>
                          <w14:schemeClr w14:val="tx1"/>
                        </w14:solidFill>
                      </w14:textFill>
                    </w:rPr>
                    <w:t>Ⅰ</w:t>
                  </w:r>
                  <w:r>
                    <w:rPr>
                      <w:rFonts w:ascii="Times New Roman" w:hAnsi="Times New Roman"/>
                      <w:color w:val="000000" w:themeColor="text1"/>
                      <w:kern w:val="2"/>
                      <w:sz w:val="21"/>
                      <w:szCs w:val="21"/>
                      <w14:textFill>
                        <w14:solidFill>
                          <w14:schemeClr w14:val="tx1"/>
                        </w14:solidFill>
                      </w14:textFill>
                    </w:rPr>
                    <w:t>类√；</w:t>
                  </w:r>
                  <w:r>
                    <w:rPr>
                      <w:rFonts w:ascii="MS Mincho" w:hAnsi="MS Mincho" w:eastAsia="MS Mincho" w:cs="MS Mincho"/>
                      <w:color w:val="000000" w:themeColor="text1"/>
                      <w:kern w:val="2"/>
                      <w:sz w:val="21"/>
                      <w:szCs w:val="21"/>
                      <w14:textFill>
                        <w14:solidFill>
                          <w14:schemeClr w14:val="tx1"/>
                        </w14:solidFill>
                      </w14:textFill>
                    </w:rPr>
                    <w:t>Ⅱ</w:t>
                  </w:r>
                  <w:r>
                    <w:rPr>
                      <w:rFonts w:ascii="Times New Roman" w:hAnsi="Times New Roman"/>
                      <w:color w:val="000000" w:themeColor="text1"/>
                      <w:kern w:val="2"/>
                      <w:sz w:val="21"/>
                      <w:szCs w:val="21"/>
                      <w14:textFill>
                        <w14:solidFill>
                          <w14:schemeClr w14:val="tx1"/>
                        </w14:solidFill>
                      </w14:textFill>
                    </w:rPr>
                    <w:t>类□；</w:t>
                  </w:r>
                  <w:r>
                    <w:rPr>
                      <w:rFonts w:ascii="MS Mincho" w:hAnsi="MS Mincho" w:eastAsia="MS Mincho" w:cs="MS Mincho"/>
                      <w:color w:val="000000" w:themeColor="text1"/>
                      <w:kern w:val="2"/>
                      <w:sz w:val="21"/>
                      <w:szCs w:val="21"/>
                      <w14:textFill>
                        <w14:solidFill>
                          <w14:schemeClr w14:val="tx1"/>
                        </w14:solidFill>
                      </w14:textFill>
                    </w:rPr>
                    <w:t>Ⅲ</w:t>
                  </w:r>
                  <w:r>
                    <w:rPr>
                      <w:rFonts w:ascii="Times New Roman" w:hAnsi="Times New Roman"/>
                      <w:color w:val="000000" w:themeColor="text1"/>
                      <w:kern w:val="2"/>
                      <w:sz w:val="21"/>
                      <w:szCs w:val="21"/>
                      <w14:textFill>
                        <w14:solidFill>
                          <w14:schemeClr w14:val="tx1"/>
                        </w14:solidFill>
                      </w14:textFill>
                    </w:rPr>
                    <w:t>类□；</w:t>
                  </w:r>
                  <w:r>
                    <w:rPr>
                      <w:rFonts w:ascii="MS Mincho" w:hAnsi="MS Mincho" w:eastAsia="MS Mincho" w:cs="MS Mincho"/>
                      <w:color w:val="000000" w:themeColor="text1"/>
                      <w:kern w:val="2"/>
                      <w:sz w:val="21"/>
                      <w:szCs w:val="21"/>
                      <w14:textFill>
                        <w14:solidFill>
                          <w14:schemeClr w14:val="tx1"/>
                        </w14:solidFill>
                      </w14:textFill>
                    </w:rPr>
                    <w:t>Ⅳ</w:t>
                  </w:r>
                  <w:r>
                    <w:rPr>
                      <w:rFonts w:ascii="Times New Roman" w:hAnsi="Times New Roman"/>
                      <w:color w:val="000000" w:themeColor="text1"/>
                      <w:kern w:val="2"/>
                      <w:sz w:val="21"/>
                      <w:szCs w:val="21"/>
                      <w14:textFill>
                        <w14:solidFill>
                          <w14:schemeClr w14:val="tx1"/>
                        </w14:solidFill>
                      </w14:textFill>
                    </w:rPr>
                    <w:t>类□</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敏感程度</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敏感□；较敏感□；不敏感√</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2035" w:type="dxa"/>
                  <w:gridSpan w:val="2"/>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评价工作等级</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一级□；二级√；三级□</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现状调查内容</w:t>
                  </w: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资料收集</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a</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；b</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；c</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；d</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理化特性</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颜色、结构、质地、砂粒、其他异物、pH、阳离子交换量、</w:t>
                  </w:r>
                  <w:r>
                    <w:rPr>
                      <w:rFonts w:ascii="Times New Roman" w:hAnsi="Times New Roman"/>
                      <w:color w:val="000000" w:themeColor="text1"/>
                      <w:sz w:val="21"/>
                      <w:szCs w:val="21"/>
                      <w14:textFill>
                        <w14:solidFill>
                          <w14:schemeClr w14:val="tx1"/>
                        </w14:solidFill>
                      </w14:textFill>
                    </w:rPr>
                    <w:t>氧化还原电位、土壤容重、孔隙度、饱和导水率</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同附录 C</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09"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现状监测点位</w:t>
                  </w:r>
                </w:p>
              </w:tc>
              <w:tc>
                <w:tcPr>
                  <w:tcW w:w="117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c>
                <w:tcPr>
                  <w:tcW w:w="1194"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占地范围内</w:t>
                  </w:r>
                </w:p>
              </w:tc>
              <w:tc>
                <w:tcPr>
                  <w:tcW w:w="133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占地范围外</w:t>
                  </w:r>
                </w:p>
              </w:tc>
              <w:tc>
                <w:tcPr>
                  <w:tcW w:w="1971"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深度</w:t>
                  </w:r>
                </w:p>
              </w:tc>
              <w:tc>
                <w:tcPr>
                  <w:tcW w:w="107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点位布置图</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Merge w:val="continue"/>
                  <w:vAlign w:val="center"/>
                </w:tcPr>
                <w:p>
                  <w:pPr>
                    <w:rPr>
                      <w:color w:val="000000" w:themeColor="text1"/>
                      <w:sz w:val="24"/>
                      <w:szCs w:val="24"/>
                      <w14:textFill>
                        <w14:solidFill>
                          <w14:schemeClr w14:val="tx1"/>
                        </w14:solidFill>
                      </w14:textFill>
                    </w:rPr>
                  </w:pPr>
                </w:p>
              </w:tc>
              <w:tc>
                <w:tcPr>
                  <w:tcW w:w="117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表层样点数</w:t>
                  </w:r>
                </w:p>
              </w:tc>
              <w:tc>
                <w:tcPr>
                  <w:tcW w:w="1194"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0</w:t>
                  </w:r>
                </w:p>
              </w:tc>
              <w:tc>
                <w:tcPr>
                  <w:tcW w:w="133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3</w:t>
                  </w:r>
                </w:p>
              </w:tc>
              <w:tc>
                <w:tcPr>
                  <w:tcW w:w="1971"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0.2m</w:t>
                  </w:r>
                </w:p>
              </w:tc>
              <w:tc>
                <w:tcPr>
                  <w:tcW w:w="1073" w:type="dxa"/>
                  <w:vMerge w:val="continue"/>
                  <w:vAlign w:val="center"/>
                </w:tcPr>
                <w:p>
                  <w:pPr>
                    <w:rPr>
                      <w:color w:val="000000" w:themeColor="text1"/>
                      <w:sz w:val="24"/>
                      <w:szCs w:val="24"/>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4"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Merge w:val="continue"/>
                  <w:vAlign w:val="center"/>
                </w:tcPr>
                <w:p>
                  <w:pPr>
                    <w:rPr>
                      <w:color w:val="000000" w:themeColor="text1"/>
                      <w:sz w:val="24"/>
                      <w:szCs w:val="24"/>
                      <w14:textFill>
                        <w14:solidFill>
                          <w14:schemeClr w14:val="tx1"/>
                        </w14:solidFill>
                      </w14:textFill>
                    </w:rPr>
                  </w:pPr>
                </w:p>
              </w:tc>
              <w:tc>
                <w:tcPr>
                  <w:tcW w:w="117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c>
                <w:tcPr>
                  <w:tcW w:w="1194"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c>
                <w:tcPr>
                  <w:tcW w:w="133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c>
                <w:tcPr>
                  <w:tcW w:w="1971"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c>
                <w:tcPr>
                  <w:tcW w:w="1073" w:type="dxa"/>
                  <w:vMerge w:val="continue"/>
                  <w:vAlign w:val="center"/>
                </w:tcPr>
                <w:p>
                  <w:pPr>
                    <w:rPr>
                      <w:color w:val="000000" w:themeColor="text1"/>
                      <w:sz w:val="24"/>
                      <w:szCs w:val="24"/>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现状监测因子</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建设用地45项</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现状评</w:t>
                  </w:r>
                </w:p>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价</w:t>
                  </w: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评价因子</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建设用地45项</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评价标准</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GB 15618□；GB 36600√；表D.1□；表 D.2□；其他（）</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594"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现状评价结论</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满足《土壤环境质量 建设用地土壤污染风险管控标准》（GB36600-2018）中第二类用地筛选值标准要求。</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46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影响预测</w:t>
                  </w: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预测因子</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预测方法</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附录</w:t>
                  </w:r>
                  <w:r>
                    <w:rPr>
                      <w:rFonts w:ascii="Times New Roman" w:hAnsi="Times New Roman"/>
                      <w:color w:val="000000" w:themeColor="text1"/>
                      <w:spacing w:val="-46"/>
                      <w:kern w:val="2"/>
                      <w:sz w:val="21"/>
                      <w:szCs w:val="21"/>
                      <w14:textFill>
                        <w14:solidFill>
                          <w14:schemeClr w14:val="tx1"/>
                        </w14:solidFill>
                      </w14:textFill>
                    </w:rPr>
                    <w:t> </w:t>
                  </w:r>
                  <w:r>
                    <w:rPr>
                      <w:rFonts w:ascii="Times New Roman" w:hAnsi="Times New Roman"/>
                      <w:color w:val="000000" w:themeColor="text1"/>
                      <w:kern w:val="2"/>
                      <w:sz w:val="21"/>
                      <w:szCs w:val="21"/>
                      <w14:textFill>
                        <w14:solidFill>
                          <w14:schemeClr w14:val="tx1"/>
                        </w14:solidFill>
                      </w14:textFill>
                    </w:rPr>
                    <w:t>E√；附录</w:t>
                  </w:r>
                  <w:r>
                    <w:rPr>
                      <w:rFonts w:ascii="Times New Roman" w:hAnsi="Times New Roman"/>
                      <w:color w:val="000000" w:themeColor="text1"/>
                      <w:spacing w:val="-45"/>
                      <w:kern w:val="2"/>
                      <w:sz w:val="21"/>
                      <w:szCs w:val="21"/>
                      <w14:textFill>
                        <w14:solidFill>
                          <w14:schemeClr w14:val="tx1"/>
                        </w14:solidFill>
                      </w14:textFill>
                    </w:rPr>
                    <w:t> </w:t>
                  </w:r>
                  <w:r>
                    <w:rPr>
                      <w:rFonts w:ascii="Times New Roman" w:hAnsi="Times New Roman"/>
                      <w:color w:val="000000" w:themeColor="text1"/>
                      <w:kern w:val="2"/>
                      <w:sz w:val="21"/>
                      <w:szCs w:val="21"/>
                      <w14:textFill>
                        <w14:solidFill>
                          <w14:schemeClr w14:val="tx1"/>
                        </w14:solidFill>
                      </w14:textFill>
                    </w:rPr>
                    <w:t>F□；其他（</w:t>
                  </w:r>
                  <w:r>
                    <w:rPr>
                      <w:rFonts w:ascii="Times New Roman" w:hAnsi="Times New Roman"/>
                      <w:color w:val="000000" w:themeColor="text1"/>
                      <w:kern w:val="2"/>
                      <w:sz w:val="21"/>
                      <w:szCs w:val="21"/>
                      <w14:textFill>
                        <w14:solidFill>
                          <w14:schemeClr w14:val="tx1"/>
                        </w14:solidFill>
                      </w14:textFill>
                    </w:rPr>
                    <w:tab/>
                  </w:r>
                  <w:r>
                    <w:rPr>
                      <w:rFonts w:ascii="Times New Roman" w:hAnsi="Times New Roman"/>
                      <w:color w:val="000000" w:themeColor="text1"/>
                      <w:kern w:val="2"/>
                      <w:sz w:val="21"/>
                      <w:szCs w:val="21"/>
                      <w14:textFill>
                        <w14:solidFill>
                          <w14:schemeClr w14:val="tx1"/>
                        </w14:solidFill>
                      </w14:textFill>
                    </w:rPr>
                    <w:t>）</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623"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预测分析内容</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影响范围（厂界外200m）</w:t>
                  </w:r>
                </w:p>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影响程度（小）</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624"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预测结论</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达标结论：a</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；b</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；c</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w:t>
                  </w:r>
                </w:p>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不达标结论：a</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□；b</w:t>
                  </w:r>
                  <w:r>
                    <w:rPr>
                      <w:rFonts w:ascii="Times New Roman" w:hAnsi="Times New Roman"/>
                      <w:color w:val="000000" w:themeColor="text1"/>
                      <w:kern w:val="2"/>
                      <w:sz w:val="21"/>
                      <w:szCs w:val="21"/>
                      <w:highlight w:val="none"/>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防治措</w:t>
                  </w:r>
                </w:p>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施</w:t>
                  </w: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防控措施</w:t>
                  </w:r>
                </w:p>
              </w:tc>
              <w:tc>
                <w:tcPr>
                  <w:tcW w:w="5675" w:type="dxa"/>
                  <w:gridSpan w:val="4"/>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土壤环境质量现状保障√；源头控制√；过程防控√；其他（   ）</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2"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Merge w:val="restart"/>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跟踪监测</w:t>
                  </w:r>
                </w:p>
              </w:tc>
              <w:tc>
                <w:tcPr>
                  <w:tcW w:w="1175"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监测点数</w:t>
                  </w:r>
                </w:p>
              </w:tc>
              <w:tc>
                <w:tcPr>
                  <w:tcW w:w="2529" w:type="dxa"/>
                  <w:gridSpan w:val="2"/>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监测指标</w:t>
                  </w:r>
                </w:p>
              </w:tc>
              <w:tc>
                <w:tcPr>
                  <w:tcW w:w="1971"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监测频次</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09"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Merge w:val="continue"/>
                  <w:vAlign w:val="center"/>
                </w:tcPr>
                <w:p>
                  <w:pPr>
                    <w:rPr>
                      <w:color w:val="000000" w:themeColor="text1"/>
                      <w:sz w:val="24"/>
                      <w:szCs w:val="24"/>
                      <w14:textFill>
                        <w14:solidFill>
                          <w14:schemeClr w14:val="tx1"/>
                        </w14:solidFill>
                      </w14:textFill>
                    </w:rPr>
                  </w:pPr>
                </w:p>
              </w:tc>
              <w:tc>
                <w:tcPr>
                  <w:tcW w:w="1175" w:type="dxa"/>
                  <w:vAlign w:val="center"/>
                </w:tcPr>
                <w:p>
                  <w:pPr>
                    <w:pStyle w:val="34"/>
                    <w:widowControl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1</w:t>
                  </w:r>
                </w:p>
              </w:tc>
              <w:tc>
                <w:tcPr>
                  <w:tcW w:w="2529" w:type="dxa"/>
                  <w:gridSpan w:val="2"/>
                  <w:vAlign w:val="center"/>
                </w:tcPr>
                <w:p>
                  <w:pPr>
                    <w:pStyle w:val="34"/>
                    <w:widowControl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乙苯、甲苯、间二甲苯+对二甲苯、邻二甲苯</w:t>
                  </w:r>
                </w:p>
              </w:tc>
              <w:tc>
                <w:tcPr>
                  <w:tcW w:w="1971" w:type="dxa"/>
                  <w:vAlign w:val="center"/>
                </w:tcPr>
                <w:p>
                  <w:pPr>
                    <w:pStyle w:val="34"/>
                    <w:widowControl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5年内开展1次</w:t>
                  </w:r>
                </w:p>
              </w:tc>
              <w:tc>
                <w:tcPr>
                  <w:tcW w:w="1073" w:type="dxa"/>
                  <w:vMerge w:val="restart"/>
                  <w:vAlign w:val="center"/>
                </w:tcPr>
                <w:p>
                  <w:pPr>
                    <w:rPr>
                      <w:color w:val="000000" w:themeColor="text1"/>
                      <w:sz w:val="20"/>
                      <w:szCs w:val="20"/>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23" w:hRule="atLeast"/>
                <w:jc w:val="center"/>
              </w:trPr>
              <w:tc>
                <w:tcPr>
                  <w:tcW w:w="463" w:type="dxa"/>
                  <w:vMerge w:val="continue"/>
                  <w:vAlign w:val="center"/>
                </w:tcPr>
                <w:p>
                  <w:pPr>
                    <w:rPr>
                      <w:color w:val="000000" w:themeColor="text1"/>
                      <w:sz w:val="24"/>
                      <w:szCs w:val="24"/>
                      <w14:textFill>
                        <w14:solidFill>
                          <w14:schemeClr w14:val="tx1"/>
                        </w14:solidFill>
                      </w14:textFill>
                    </w:rPr>
                  </w:pPr>
                </w:p>
              </w:tc>
              <w:tc>
                <w:tcPr>
                  <w:tcW w:w="1572"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信息公开指标</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w:t>
                  </w:r>
                </w:p>
              </w:tc>
              <w:tc>
                <w:tcPr>
                  <w:tcW w:w="1073" w:type="dxa"/>
                  <w:vMerge w:val="continue"/>
                  <w:vAlign w:val="center"/>
                </w:tcPr>
                <w:p>
                  <w:pPr>
                    <w:rPr>
                      <w:color w:val="000000" w:themeColor="text1"/>
                      <w:sz w:val="20"/>
                      <w:szCs w:val="20"/>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311" w:hRule="atLeast"/>
                <w:jc w:val="center"/>
              </w:trPr>
              <w:tc>
                <w:tcPr>
                  <w:tcW w:w="2035" w:type="dxa"/>
                  <w:gridSpan w:val="2"/>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评价结论</w:t>
                  </w:r>
                </w:p>
              </w:tc>
              <w:tc>
                <w:tcPr>
                  <w:tcW w:w="5675" w:type="dxa"/>
                  <w:gridSpan w:val="4"/>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项目运行对周围土壤环境影响较小。从土壤环境影响的角度，项目建设可行。</w:t>
                  </w:r>
                </w:p>
              </w:tc>
              <w:tc>
                <w:tcPr>
                  <w:tcW w:w="1073" w:type="dxa"/>
                  <w:vAlign w:val="center"/>
                </w:tcPr>
                <w:p>
                  <w:pPr>
                    <w:pStyle w:val="34"/>
                    <w:widowControl w:val="0"/>
                    <w:spacing w:before="0" w:beforeAutospacing="0" w:after="0" w:afterAutospacing="0"/>
                    <w:jc w:val="center"/>
                    <w:rPr>
                      <w:rFonts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Ex>
              <w:trPr>
                <w:trHeight w:val="623" w:hRule="atLeast"/>
                <w:jc w:val="center"/>
              </w:trPr>
              <w:tc>
                <w:tcPr>
                  <w:tcW w:w="8783" w:type="dxa"/>
                  <w:gridSpan w:val="7"/>
                  <w:vAlign w:val="center"/>
                </w:tcPr>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注 1：“□”为勾选项，可√；“（ ）”为内容填写项；“备注”为其他补充内容。</w:t>
                  </w:r>
                </w:p>
                <w:p>
                  <w:pPr>
                    <w:pStyle w:val="34"/>
                    <w:widowControl w:val="0"/>
                    <w:spacing w:before="0" w:beforeAutospacing="0" w:after="0" w:afterAutospacing="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注 2：需要分别开展土壤环境影响评级工作的，分别填写自查表。</w:t>
                  </w:r>
                </w:p>
              </w:tc>
            </w:tr>
          </w:tbl>
          <w:p>
            <w:pPr>
              <w:pStyle w:val="3"/>
              <w:spacing w:after="0" w:line="520" w:lineRule="exact"/>
              <w:ind w:left="0" w:leftChars="0" w:firstLine="480"/>
              <w:jc w:val="left"/>
              <w:rPr>
                <w:rFonts w:ascii="Times New Roman" w:hAnsi="Times New Roman"/>
                <w:b/>
                <w:color w:val="000000" w:themeColor="text1"/>
                <w:sz w:val="24"/>
                <w:szCs w:val="20"/>
                <w14:textFill>
                  <w14:solidFill>
                    <w14:schemeClr w14:val="tx1"/>
                  </w14:solidFill>
                </w14:textFill>
              </w:rPr>
            </w:pPr>
            <w:r>
              <w:rPr>
                <w:rFonts w:ascii="Times New Roman" w:hAnsi="Times New Roman"/>
                <w:b/>
                <w:color w:val="000000" w:themeColor="text1"/>
                <w:sz w:val="24"/>
                <w:szCs w:val="20"/>
                <w14:textFill>
                  <w14:solidFill>
                    <w14:schemeClr w14:val="tx1"/>
                  </w14:solidFill>
                </w14:textFill>
              </w:rPr>
              <w:t>6、环境风险分析</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（1）评价依据</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根据《建设项目环境风险评价技术导则》（HJ 169-2018）要求，对于涉及有毒有害和易燃易爆危险物质的生产、使用、储存（包括使用管线输运）的建设项目可能发生的突发性事故（不包括人为破坏及自然灾害引发的事故）应进行环境风险评价。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根据建设项目危险物质数量和分布情况、生产工艺特点，本项目年最大油漆和稀释剂的最大存储量为1.375t，依照相关要求，视为健康危险急性毒害物质，推荐临界量为5t。机油最大存储量为0.2t，临界量为2500t。</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根据上述调查，结合《建设项目环境风险评价技术导则》（HJ169-2018）附录B，拟建项目涉及的危险物质为生产原料（油漆、稀释剂）和机油，存储区存在量根据最大量计算。项目危险物质的存在量见表44。</w:t>
            </w:r>
          </w:p>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表44  项目危险物质数量及分布一览表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2693"/>
              <w:gridCol w:w="1832"/>
              <w:gridCol w:w="1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73"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生产系统/装置</w:t>
                  </w:r>
                </w:p>
              </w:tc>
              <w:tc>
                <w:tcPr>
                  <w:tcW w:w="2693"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危险物质</w:t>
                  </w:r>
                </w:p>
              </w:tc>
              <w:tc>
                <w:tcPr>
                  <w:tcW w:w="1832"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存在量t</w:t>
                  </w:r>
                </w:p>
              </w:tc>
              <w:tc>
                <w:tcPr>
                  <w:tcW w:w="1685" w:type="dxa"/>
                  <w:vAlign w:val="center"/>
                </w:tcPr>
                <w:p>
                  <w:pPr>
                    <w:pStyle w:val="99"/>
                    <w:rPr>
                      <w:color w:val="000000" w:themeColor="text1"/>
                      <w:szCs w:val="21"/>
                      <w14:textFill>
                        <w14:solidFill>
                          <w14:schemeClr w14:val="tx1"/>
                        </w14:solidFill>
                      </w14:textFill>
                    </w:rPr>
                  </w:pPr>
                  <w:r>
                    <w:rPr>
                      <w:bCs/>
                      <w:color w:val="000000" w:themeColor="text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73"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c>
                <w:tcPr>
                  <w:tcW w:w="2693"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油漆、稀释剂</w:t>
                  </w:r>
                </w:p>
              </w:tc>
              <w:tc>
                <w:tcPr>
                  <w:tcW w:w="1832"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1.375t</w:t>
                  </w:r>
                </w:p>
              </w:tc>
              <w:tc>
                <w:tcPr>
                  <w:tcW w:w="1685"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临界量5t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73"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c>
                <w:tcPr>
                  <w:tcW w:w="2693"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机油</w:t>
                  </w:r>
                </w:p>
              </w:tc>
              <w:tc>
                <w:tcPr>
                  <w:tcW w:w="1832"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0.2t</w:t>
                  </w:r>
                </w:p>
              </w:tc>
              <w:tc>
                <w:tcPr>
                  <w:tcW w:w="1685"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临界量2500t</w:t>
                  </w:r>
                </w:p>
              </w:tc>
            </w:tr>
          </w:tbl>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根据《建设项目环境风险评价技术导则》（HJ169-2018）附录C，按下式计算物质总量与其临界量的比值（Q）：</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pict>
                <v:shape id="_x0000_i1031" o:spt="75" type="#_x0000_t75" style="height:32pt;width:96.9pt;" filled="f" o:preferrelative="t" stroked="f" coordsize="21600,21600" equationxml="&lt;">
                  <v:path/>
                  <v:fill on="f" focussize="0,0"/>
                  <v:stroke on="f" joinstyle="miter"/>
                  <v:imagedata r:id="rId32" chromakey="#FFFFFF" o:title=""/>
                  <o:lock v:ext="edit" aspectratio="t"/>
                  <w10:wrap type="none"/>
                  <w10:anchorlock/>
                </v:shape>
              </w:pic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式中：q1,q2,…qn—每种危险物质的最大存在量，t；</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Q1,Q2,…Qn—每种危险物质的临界量，t。</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当Q＜1时，该项目环境风险</w:t>
            </w:r>
            <w:r>
              <w:rPr>
                <w:color w:val="000000" w:themeColor="text1"/>
                <w:sz w:val="24"/>
                <w:szCs w:val="22"/>
                <w:highlight w:val="none"/>
                <w14:textFill>
                  <w14:solidFill>
                    <w14:schemeClr w14:val="tx1"/>
                  </w14:solidFill>
                </w14:textFill>
              </w:rPr>
              <w:t>潜势为</w:t>
            </w:r>
            <w:r>
              <w:rPr>
                <w:rFonts w:ascii="MS Mincho" w:hAnsi="MS Mincho" w:eastAsia="MS Mincho" w:cs="MS Mincho"/>
                <w:color w:val="000000" w:themeColor="text1"/>
                <w:sz w:val="24"/>
                <w:szCs w:val="22"/>
                <w14:textFill>
                  <w14:solidFill>
                    <w14:schemeClr w14:val="tx1"/>
                  </w14:solidFill>
                </w14:textFill>
              </w:rPr>
              <w:t>Ⅰ</w:t>
            </w:r>
            <w:r>
              <w:rPr>
                <w:color w:val="000000" w:themeColor="text1"/>
                <w:sz w:val="24"/>
                <w:szCs w:val="22"/>
                <w14:textFill>
                  <w14:solidFill>
                    <w14:schemeClr w14:val="tx1"/>
                  </w14:solidFill>
                </w14:textFill>
              </w:rPr>
              <w:t>。</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当Q≥1时，将Q值划分为：（1）1≤Q＜10；（2）10≤Q＜100；（3）Q≥100。</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拟建项目危险物质数量与临界量比值（Q）计算结果见表45。</w:t>
            </w:r>
          </w:p>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表45   项目Q值确定表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51"/>
              <w:gridCol w:w="2045"/>
              <w:gridCol w:w="1170"/>
              <w:gridCol w:w="2078"/>
              <w:gridCol w:w="1279"/>
              <w:gridCol w:w="16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1"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序号</w:t>
                  </w:r>
                </w:p>
              </w:tc>
              <w:tc>
                <w:tcPr>
                  <w:tcW w:w="2045"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危险物质名称</w:t>
                  </w:r>
                </w:p>
              </w:tc>
              <w:tc>
                <w:tcPr>
                  <w:tcW w:w="1170"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CAS号</w:t>
                  </w:r>
                </w:p>
              </w:tc>
              <w:tc>
                <w:tcPr>
                  <w:tcW w:w="2078"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最大存在总量（t）</w:t>
                  </w:r>
                </w:p>
              </w:tc>
              <w:tc>
                <w:tcPr>
                  <w:tcW w:w="1279"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临界量（t）</w:t>
                  </w:r>
                </w:p>
              </w:tc>
              <w:tc>
                <w:tcPr>
                  <w:tcW w:w="1660" w:type="dxa"/>
                  <w:vAlign w:val="center"/>
                </w:tcPr>
                <w:p>
                  <w:pPr>
                    <w:pStyle w:val="99"/>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该种危险物质Q值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1"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045"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油漆、稀释剂</w:t>
                  </w:r>
                </w:p>
              </w:tc>
              <w:tc>
                <w:tcPr>
                  <w:tcW w:w="1170"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078"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1.375</w:t>
                  </w:r>
                </w:p>
              </w:tc>
              <w:tc>
                <w:tcPr>
                  <w:tcW w:w="1279"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660"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0.275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51"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2045"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机油</w:t>
                  </w:r>
                </w:p>
              </w:tc>
              <w:tc>
                <w:tcPr>
                  <w:tcW w:w="1170"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078"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1279"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2500</w:t>
                  </w:r>
                </w:p>
              </w:tc>
              <w:tc>
                <w:tcPr>
                  <w:tcW w:w="1660" w:type="dxa"/>
                  <w:vAlign w:val="center"/>
                </w:tcPr>
                <w:p>
                  <w:pPr>
                    <w:pStyle w:val="99"/>
                    <w:rPr>
                      <w:color w:val="000000" w:themeColor="text1"/>
                      <w:szCs w:val="21"/>
                      <w14:textFill>
                        <w14:solidFill>
                          <w14:schemeClr w14:val="tx1"/>
                        </w14:solidFill>
                      </w14:textFill>
                    </w:rPr>
                  </w:pPr>
                  <w:r>
                    <w:rPr>
                      <w:color w:val="000000" w:themeColor="text1"/>
                      <w:szCs w:val="21"/>
                      <w14:textFill>
                        <w14:solidFill>
                          <w14:schemeClr w14:val="tx1"/>
                        </w14:solidFill>
                      </w14:textFill>
                    </w:rPr>
                    <w:t>0.00008</w:t>
                  </w:r>
                </w:p>
              </w:tc>
            </w:tr>
          </w:tbl>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由上表可知，Q=0.27508，应划分为Q＜1，该项目环境风险潜势为</w:t>
            </w:r>
            <w:r>
              <w:rPr>
                <w:rFonts w:ascii="MS Mincho" w:hAnsi="MS Mincho" w:eastAsia="MS Mincho" w:cs="MS Mincho"/>
                <w:color w:val="000000" w:themeColor="text1"/>
                <w:sz w:val="24"/>
                <w:szCs w:val="22"/>
                <w14:textFill>
                  <w14:solidFill>
                    <w14:schemeClr w14:val="tx1"/>
                  </w14:solidFill>
                </w14:textFill>
              </w:rPr>
              <w:t>Ⅰ</w:t>
            </w:r>
            <w:r>
              <w:rPr>
                <w:color w:val="000000" w:themeColor="text1"/>
                <w:sz w:val="24"/>
                <w:szCs w:val="22"/>
                <w14:textFill>
                  <w14:solidFill>
                    <w14:schemeClr w14:val="tx1"/>
                  </w14:solidFill>
                </w14:textFill>
              </w:rPr>
              <w:t>，根据《建设项目环境风险评价技术导则》（HJ169-2018），项目不设评价等级，仅做简单分析。</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（2）环境敏感目标概况</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简单分析不设评价范围，项目周边的环境敏感目标主要为项目北侧的岳家村，与本项目厂界的最近距离为1164m，约360人，对敏感目标的影响甚微。</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（3）环境风险识别</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项目涉及的环境风险物质为</w:t>
            </w:r>
            <w:r>
              <w:rPr>
                <w:color w:val="000000" w:themeColor="text1"/>
                <w:sz w:val="24"/>
                <w14:textFill>
                  <w14:solidFill>
                    <w14:schemeClr w14:val="tx1"/>
                  </w14:solidFill>
                </w14:textFill>
              </w:rPr>
              <w:t>油漆、稀释剂及机油，其危险、危害特性见表46-48。</w:t>
            </w:r>
          </w:p>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表46  油漆危险、危害特性</w:t>
            </w:r>
          </w:p>
          <w:tbl>
            <w:tblPr>
              <w:tblStyle w:val="38"/>
              <w:tblW w:w="8783"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785"/>
              <w:gridCol w:w="3670"/>
              <w:gridCol w:w="432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标识</w:t>
                  </w:r>
                </w:p>
              </w:tc>
              <w:tc>
                <w:tcPr>
                  <w:tcW w:w="3670"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中文名：油漆</w:t>
                  </w:r>
                </w:p>
              </w:tc>
              <w:tc>
                <w:tcPr>
                  <w:tcW w:w="4328"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英文名</w:t>
                  </w:r>
                  <w:r>
                    <w:rPr>
                      <w:color w:val="000000" w:themeColor="text1"/>
                      <w:lang w:val="en-GB"/>
                      <w14:textFill>
                        <w14:solidFill>
                          <w14:schemeClr w14:val="tx1"/>
                        </w14:solidFill>
                      </w14:textFill>
                    </w:rPr>
                    <w:t>：</w:t>
                  </w:r>
                  <w:r>
                    <w:rPr>
                      <w:color w:val="000000" w:themeColor="text1"/>
                      <w14:textFill>
                        <w14:solidFill>
                          <w14:schemeClr w14:val="tx1"/>
                        </w14:solidFill>
                      </w14:textFill>
                    </w:rPr>
                    <w:t>primer</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restart"/>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危险</w:t>
                  </w:r>
                </w:p>
                <w:p>
                  <w:pPr>
                    <w:widowControl/>
                    <w:rPr>
                      <w:color w:val="000000" w:themeColor="text1"/>
                      <w14:textFill>
                        <w14:solidFill>
                          <w14:schemeClr w14:val="tx1"/>
                        </w14:solidFill>
                      </w14:textFill>
                    </w:rPr>
                  </w:pPr>
                  <w:r>
                    <w:rPr>
                      <w:color w:val="000000" w:themeColor="text1"/>
                      <w14:textFill>
                        <w14:solidFill>
                          <w14:schemeClr w14:val="tx1"/>
                        </w14:solidFill>
                      </w14:textFill>
                    </w:rPr>
                    <w:t>特性</w:t>
                  </w: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危险性类别：第3.3类高闪点液体</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continue"/>
                  <w:vAlign w:val="center"/>
                </w:tcPr>
                <w:p>
                  <w:pPr>
                    <w:widowControl/>
                    <w:rPr>
                      <w:color w:val="000000" w:themeColor="text1"/>
                      <w14:textFill>
                        <w14:solidFill>
                          <w14:schemeClr w14:val="tx1"/>
                        </w14:solidFill>
                      </w14:textFill>
                    </w:rPr>
                  </w:pPr>
                </w:p>
              </w:tc>
              <w:tc>
                <w:tcPr>
                  <w:tcW w:w="7998" w:type="dxa"/>
                  <w:gridSpan w:val="2"/>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本品遇明火、高热易引起燃烧；其蒸汽与空气形成爆炸性混合物，遇明火、高热能引起燃烧爆炸。与氧化剂、酸、碱、硫磺发生强烈反应，会引起燃烧和爆炸。粉末与空气能形成爆炸性混合物，易被明火点燃引起爆炸。蒸汽比空气重，能在较低处扩散到相当远的地方，遇火源易引着回燃。若遇高热，盛装本品的容器内压增大，有开裂和爆炸危险。</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continue"/>
                  <w:vAlign w:val="center"/>
                </w:tcPr>
                <w:p>
                  <w:pPr>
                    <w:widowControl/>
                    <w:rPr>
                      <w:color w:val="000000" w:themeColor="text1"/>
                      <w14:textFill>
                        <w14:solidFill>
                          <w14:schemeClr w14:val="tx1"/>
                        </w14:solidFill>
                      </w14:textFill>
                    </w:rPr>
                  </w:pP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燃烧(分解)产物：燃烧时有烟雾，并产生一氧化碳、二氧化碳等。</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continue"/>
                  <w:vAlign w:val="center"/>
                </w:tcPr>
                <w:p>
                  <w:pPr>
                    <w:widowControl/>
                    <w:rPr>
                      <w:color w:val="000000" w:themeColor="text1"/>
                      <w14:textFill>
                        <w14:solidFill>
                          <w14:schemeClr w14:val="tx1"/>
                        </w14:solidFill>
                      </w14:textFill>
                    </w:rPr>
                  </w:pP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灭火方法：</w:t>
                  </w:r>
                  <w:r>
                    <w:rPr>
                      <w:color w:val="000000" w:themeColor="text1"/>
                      <w14:textFill>
                        <w14:solidFill>
                          <w14:schemeClr w14:val="tx1"/>
                        </w14:solidFill>
                      </w14:textFill>
                    </w:rPr>
                    <w:t>消防人员必须佩戴正压式呼吸器，穿全身消防防护服，尽量在上风处灭火，可用干粉、干砂灭火，禁止使用水、泡沫及二氧化碳灭火。</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健康</w:t>
                  </w:r>
                </w:p>
                <w:p>
                  <w:pPr>
                    <w:widowControl/>
                    <w:rPr>
                      <w:color w:val="000000" w:themeColor="text1"/>
                      <w14:textFill>
                        <w14:solidFill>
                          <w14:schemeClr w14:val="tx1"/>
                        </w14:solidFill>
                      </w14:textFill>
                    </w:rPr>
                  </w:pPr>
                  <w:r>
                    <w:rPr>
                      <w:color w:val="000000" w:themeColor="text1"/>
                      <w14:textFill>
                        <w14:solidFill>
                          <w14:schemeClr w14:val="tx1"/>
                        </w14:solidFill>
                      </w14:textFill>
                    </w:rPr>
                    <w:t>危害</w:t>
                  </w: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侵入途径：吸入、食入、经皮吸收。</w:t>
                  </w:r>
                  <w:r>
                    <w:rPr>
                      <w:color w:val="000000" w:themeColor="text1"/>
                      <w:kern w:val="0"/>
                      <w14:textFill>
                        <w14:solidFill>
                          <w14:schemeClr w14:val="tx1"/>
                        </w14:solidFill>
                      </w14:textFill>
                    </w:rPr>
                    <w:br w:type="textWrapping"/>
                  </w:r>
                  <w:r>
                    <w:rPr>
                      <w:color w:val="000000" w:themeColor="text1"/>
                      <w:kern w:val="0"/>
                      <w14:textFill>
                        <w14:solidFill>
                          <w14:schemeClr w14:val="tx1"/>
                        </w14:solidFill>
                      </w14:textFill>
                    </w:rPr>
                    <w:t>健康危害：接触或使用本品对人体有害。其蒸汽对眼、粘膜、上呼吸道、皮肤有刺激作用，对中枢神经有麻醉作用，长期接触或短期内吸入高浓度蒸汽可有头晕、头痛、恶心、呕吐、食欲不振、胸闷、四肢无力、眼灼痛及皮肤干燥、皲裂及皮肤病等症状。长期吸入高浓度涂料粉尘，可出现消瘦、极易疲劳、呼吸困难、咳嗽等症状。能造成急性中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环境</w:t>
                  </w:r>
                </w:p>
                <w:p>
                  <w:pPr>
                    <w:widowControl/>
                    <w:rPr>
                      <w:color w:val="000000" w:themeColor="text1"/>
                      <w14:textFill>
                        <w14:solidFill>
                          <w14:schemeClr w14:val="tx1"/>
                        </w14:solidFill>
                      </w14:textFill>
                    </w:rPr>
                  </w:pPr>
                  <w:r>
                    <w:rPr>
                      <w:color w:val="000000" w:themeColor="text1"/>
                      <w14:textFill>
                        <w14:solidFill>
                          <w14:schemeClr w14:val="tx1"/>
                        </w14:solidFill>
                      </w14:textFill>
                    </w:rPr>
                    <w:t>危害</w:t>
                  </w:r>
                </w:p>
              </w:tc>
              <w:tc>
                <w:tcPr>
                  <w:tcW w:w="7998" w:type="dxa"/>
                  <w:gridSpan w:val="2"/>
                  <w:vAlign w:val="center"/>
                </w:tcPr>
                <w:p>
                  <w:pPr>
                    <w:widowControl/>
                    <w:rPr>
                      <w:color w:val="000000" w:themeColor="text1"/>
                      <w:kern w:val="0"/>
                      <w14:textFill>
                        <w14:solidFill>
                          <w14:schemeClr w14:val="tx1"/>
                        </w14:solidFill>
                      </w14:textFill>
                    </w:rPr>
                  </w:pPr>
                  <w:r>
                    <w:rPr>
                      <w:color w:val="000000" w:themeColor="text1"/>
                      <w:kern w:val="0"/>
                      <w14:textFill>
                        <w14:solidFill>
                          <w14:schemeClr w14:val="tx1"/>
                        </w14:solidFill>
                      </w14:textFill>
                    </w:rPr>
                    <w:t>本品对环境有害，主要体现在对大气的污染。</w:t>
                  </w:r>
                </w:p>
              </w:tc>
            </w:tr>
          </w:tbl>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表47   稀释剂危险、危害特性</w:t>
            </w:r>
          </w:p>
          <w:tbl>
            <w:tblPr>
              <w:tblStyle w:val="38"/>
              <w:tblW w:w="8783"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24"/>
              <w:gridCol w:w="3453"/>
              <w:gridCol w:w="450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标识</w:t>
                  </w:r>
                </w:p>
              </w:tc>
              <w:tc>
                <w:tcPr>
                  <w:tcW w:w="3453" w:type="dxa"/>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中文名：稀释剂</w:t>
                  </w:r>
                </w:p>
              </w:tc>
              <w:tc>
                <w:tcPr>
                  <w:tcW w:w="4506" w:type="dxa"/>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英文名</w:t>
                  </w:r>
                  <w:r>
                    <w:rPr>
                      <w:rFonts w:hAnsi="Times New Roman" w:cs="Times New Roman"/>
                      <w:bCs/>
                      <w:color w:val="000000" w:themeColor="text1"/>
                      <w:sz w:val="21"/>
                      <w:szCs w:val="21"/>
                      <w:lang w:val="en-GB"/>
                      <w14:textFill>
                        <w14:solidFill>
                          <w14:schemeClr w14:val="tx1"/>
                        </w14:solidFill>
                      </w14:textFill>
                    </w:rPr>
                    <w:t>：</w:t>
                  </w:r>
                  <w:r>
                    <w:rPr>
                      <w:rFonts w:hAnsi="Times New Roman" w:cs="Times New Roman"/>
                      <w:bCs/>
                      <w:color w:val="000000" w:themeColor="text1"/>
                      <w:sz w:val="21"/>
                      <w:szCs w:val="21"/>
                      <w14:textFill>
                        <w14:solidFill>
                          <w14:schemeClr w14:val="tx1"/>
                        </w14:solidFill>
                      </w14:textFill>
                    </w:rPr>
                    <w:t>Thinner</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Merge w:val="restart"/>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危险特性</w:t>
                  </w:r>
                </w:p>
              </w:tc>
              <w:tc>
                <w:tcPr>
                  <w:tcW w:w="7959" w:type="dxa"/>
                  <w:gridSpan w:val="2"/>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危险性类别：第3.2类中闪点液体</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Merge w:val="continue"/>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adjustRightInd w:val="0"/>
                    <w:spacing w:line="240" w:lineRule="auto"/>
                    <w:ind w:leftChars="-1" w:hanging="2" w:hangingChars="1"/>
                    <w:jc w:val="left"/>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易燃、有害；遇明火、高热易引起燃烧；其蒸汽与空气形成爆炸性混合物，遇明火、高热能引起燃烧爆炸。蒸汽比空气重，能在较低处扩散到相当远的地方，遇火源易引着回燃。若遇高热，盛装本品的容器内压增大，有开裂和爆炸危险。</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Merge w:val="continue"/>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燃烧(分解)产物：一氧化碳、二氧化碳</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Merge w:val="continue"/>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adjustRightInd w:val="0"/>
                    <w:spacing w:line="240" w:lineRule="auto"/>
                    <w:ind w:leftChars="-1" w:hanging="2" w:hangingChars="1"/>
                    <w:jc w:val="left"/>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灭火方法：消防人员必须佩戴正压式呼吸器，穿全身消防防护服，尽量在上风处灭火，可用泡沫、二氧化碳、干粉及干砂灭火，禁止使用水灭火。</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健康危害</w:t>
                  </w:r>
                </w:p>
              </w:tc>
              <w:tc>
                <w:tcPr>
                  <w:tcW w:w="7959" w:type="dxa"/>
                  <w:gridSpan w:val="2"/>
                  <w:vAlign w:val="center"/>
                </w:tcPr>
                <w:p>
                  <w:pPr>
                    <w:pStyle w:val="137"/>
                    <w:adjustRightInd w:val="0"/>
                    <w:spacing w:line="240" w:lineRule="auto"/>
                    <w:ind w:leftChars="-1" w:hanging="2" w:hangingChars="1"/>
                    <w:jc w:val="left"/>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侵入途径：吸入、食入、经皮吸收。</w:t>
                  </w:r>
                  <w:r>
                    <w:rPr>
                      <w:rFonts w:hAnsi="Times New Roman" w:cs="Times New Roman"/>
                      <w:bCs/>
                      <w:color w:val="000000" w:themeColor="text1"/>
                      <w:sz w:val="21"/>
                      <w:szCs w:val="21"/>
                      <w14:textFill>
                        <w14:solidFill>
                          <w14:schemeClr w14:val="tx1"/>
                        </w14:solidFill>
                      </w14:textFill>
                    </w:rPr>
                    <w:br w:type="textWrapping"/>
                  </w:r>
                  <w:r>
                    <w:rPr>
                      <w:rFonts w:hAnsi="Times New Roman" w:cs="Times New Roman"/>
                      <w:bCs/>
                      <w:color w:val="000000" w:themeColor="text1"/>
                      <w:sz w:val="21"/>
                      <w:szCs w:val="21"/>
                      <w14:textFill>
                        <w14:solidFill>
                          <w14:schemeClr w14:val="tx1"/>
                        </w14:solidFill>
                      </w14:textFill>
                    </w:rPr>
                    <w:t>健康危害：接触或使用本品对人体有害。其蒸汽对眼、粘膜、上呼吸道、皮肤有刺激作用，对中枢神经有麻醉作用，长期接触或短期内吸入高浓度蒸汽可有头晕、头痛、恶心、呕吐、食欲不振、胸闷、四肢无力、眼灼痛及皮肤干燥、皲裂及皮肤病等症状。能造成急性中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824" w:type="dxa"/>
                  <w:vAlign w:val="center"/>
                </w:tcPr>
                <w:p>
                  <w:pPr>
                    <w:pStyle w:val="137"/>
                    <w:adjustRightInd w:val="0"/>
                    <w:spacing w:line="240" w:lineRule="auto"/>
                    <w:ind w:leftChars="-1" w:hanging="2" w:hangingChars="1"/>
                    <w:jc w:val="center"/>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环境危害</w:t>
                  </w:r>
                </w:p>
              </w:tc>
              <w:tc>
                <w:tcPr>
                  <w:tcW w:w="7959" w:type="dxa"/>
                  <w:gridSpan w:val="2"/>
                  <w:vAlign w:val="center"/>
                </w:tcPr>
                <w:p>
                  <w:pPr>
                    <w:pStyle w:val="137"/>
                    <w:adjustRightInd w:val="0"/>
                    <w:spacing w:line="240" w:lineRule="auto"/>
                    <w:ind w:leftChars="-1" w:hanging="2" w:hangingChars="1"/>
                    <w:textAlignment w:val="center"/>
                    <w:rPr>
                      <w:rFonts w:hAnsi="Times New Roman" w:cs="Times New Roman"/>
                      <w:bCs/>
                      <w:color w:val="000000" w:themeColor="text1"/>
                      <w:sz w:val="21"/>
                      <w:szCs w:val="21"/>
                      <w14:textFill>
                        <w14:solidFill>
                          <w14:schemeClr w14:val="tx1"/>
                        </w14:solidFill>
                      </w14:textFill>
                    </w:rPr>
                  </w:pPr>
                  <w:r>
                    <w:rPr>
                      <w:rFonts w:hAnsi="Times New Roman" w:cs="Times New Roman"/>
                      <w:bCs/>
                      <w:color w:val="000000" w:themeColor="text1"/>
                      <w:sz w:val="21"/>
                      <w:szCs w:val="21"/>
                      <w14:textFill>
                        <w14:solidFill>
                          <w14:schemeClr w14:val="tx1"/>
                        </w14:solidFill>
                      </w14:textFill>
                    </w:rPr>
                    <w:t>本品对环境有害，主要体现在对大气的污染。</w:t>
                  </w:r>
                </w:p>
              </w:tc>
            </w:tr>
          </w:tbl>
          <w:p>
            <w:pPr>
              <w:pStyle w:val="92"/>
              <w:jc w:val="center"/>
              <w:rPr>
                <w:rFonts w:ascii="Times New Roman" w:hAnsi="Times New Roman" w:cs="Times New Roman"/>
                <w:b/>
                <w:bCs/>
                <w:color w:val="000000" w:themeColor="text1"/>
                <w:kern w:val="2"/>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表48   油类物质危险、危害特性</w:t>
            </w:r>
          </w:p>
          <w:tbl>
            <w:tblPr>
              <w:tblStyle w:val="38"/>
              <w:tblW w:w="8783"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785"/>
              <w:gridCol w:w="3670"/>
              <w:gridCol w:w="432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标识</w:t>
                  </w:r>
                </w:p>
              </w:tc>
              <w:tc>
                <w:tcPr>
                  <w:tcW w:w="3670"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 xml:space="preserve">中文名：油类物质 </w:t>
                  </w:r>
                </w:p>
              </w:tc>
              <w:tc>
                <w:tcPr>
                  <w:tcW w:w="4328"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英文名：</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restart"/>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危险</w:t>
                  </w:r>
                </w:p>
                <w:p>
                  <w:pPr>
                    <w:widowControl/>
                    <w:rPr>
                      <w:color w:val="000000" w:themeColor="text1"/>
                      <w14:textFill>
                        <w14:solidFill>
                          <w14:schemeClr w14:val="tx1"/>
                        </w14:solidFill>
                      </w14:textFill>
                    </w:rPr>
                  </w:pPr>
                  <w:r>
                    <w:rPr>
                      <w:color w:val="000000" w:themeColor="text1"/>
                      <w14:textFill>
                        <w14:solidFill>
                          <w14:schemeClr w14:val="tx1"/>
                        </w14:solidFill>
                      </w14:textFill>
                    </w:rPr>
                    <w:t>特性</w:t>
                  </w: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危险性类别：易燃有毒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940" w:hRule="atLeast"/>
                <w:jc w:val="center"/>
              </w:trPr>
              <w:tc>
                <w:tcPr>
                  <w:tcW w:w="785" w:type="dxa"/>
                  <w:vMerge w:val="continue"/>
                  <w:vAlign w:val="center"/>
                </w:tcPr>
                <w:p>
                  <w:pPr>
                    <w:widowControl/>
                    <w:jc w:val="left"/>
                    <w:rPr>
                      <w:color w:val="000000" w:themeColor="text1"/>
                      <w14:textFill>
                        <w14:solidFill>
                          <w14:schemeClr w14:val="tx1"/>
                        </w14:solidFill>
                      </w14:textFill>
                    </w:rPr>
                  </w:pPr>
                </w:p>
              </w:tc>
              <w:tc>
                <w:tcPr>
                  <w:tcW w:w="7998" w:type="dxa"/>
                  <w:gridSpan w:val="2"/>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其蒸气与空气可形成爆炸性混合物，遇明火、高热极易燃烧爆炸。与氧化剂能发生强烈反应。其蒸气比空气重，能在较低处扩散到相当远的地方，遇火源会着火回燃。</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Merge w:val="continue"/>
                  <w:vAlign w:val="center"/>
                </w:tcPr>
                <w:p>
                  <w:pPr>
                    <w:widowControl/>
                    <w:jc w:val="left"/>
                    <w:rPr>
                      <w:color w:val="000000" w:themeColor="text1"/>
                      <w14:textFill>
                        <w14:solidFill>
                          <w14:schemeClr w14:val="tx1"/>
                        </w14:solidFill>
                      </w14:textFill>
                    </w:rPr>
                  </w:pPr>
                </w:p>
              </w:tc>
              <w:tc>
                <w:tcPr>
                  <w:tcW w:w="7998" w:type="dxa"/>
                  <w:gridSpan w:val="2"/>
                  <w:vAlign w:val="center"/>
                </w:tcPr>
                <w:p>
                  <w:pPr>
                    <w:widowControl/>
                    <w:rPr>
                      <w:color w:val="000000" w:themeColor="text1"/>
                      <w14:textFill>
                        <w14:solidFill>
                          <w14:schemeClr w14:val="tx1"/>
                        </w14:solidFill>
                      </w14:textFill>
                    </w:rPr>
                  </w:pPr>
                  <w:r>
                    <w:rPr>
                      <w:color w:val="000000" w:themeColor="text1"/>
                      <w:kern w:val="0"/>
                      <w14:textFill>
                        <w14:solidFill>
                          <w14:schemeClr w14:val="tx1"/>
                        </w14:solidFill>
                      </w14:textFill>
                    </w:rPr>
                    <w:t>处理措施：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运至废物处理场所处置</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健康</w:t>
                  </w:r>
                </w:p>
                <w:p>
                  <w:pPr>
                    <w:widowControl/>
                    <w:rPr>
                      <w:color w:val="000000" w:themeColor="text1"/>
                      <w14:textFill>
                        <w14:solidFill>
                          <w14:schemeClr w14:val="tx1"/>
                        </w14:solidFill>
                      </w14:textFill>
                    </w:rPr>
                  </w:pPr>
                  <w:r>
                    <w:rPr>
                      <w:color w:val="000000" w:themeColor="text1"/>
                      <w14:textFill>
                        <w14:solidFill>
                          <w14:schemeClr w14:val="tx1"/>
                        </w14:solidFill>
                      </w14:textFill>
                    </w:rPr>
                    <w:t>危害</w:t>
                  </w:r>
                </w:p>
              </w:tc>
              <w:tc>
                <w:tcPr>
                  <w:tcW w:w="7998" w:type="dxa"/>
                  <w:gridSpan w:val="2"/>
                  <w:vAlign w:val="center"/>
                </w:tcPr>
                <w:p>
                  <w:pPr>
                    <w:widowControl/>
                    <w:rPr>
                      <w:color w:val="000000" w:themeColor="text1"/>
                      <w:kern w:val="0"/>
                      <w14:textFill>
                        <w14:solidFill>
                          <w14:schemeClr w14:val="tx1"/>
                        </w14:solidFill>
                      </w14:textFill>
                    </w:rPr>
                  </w:pPr>
                  <w:r>
                    <w:rPr>
                      <w:color w:val="000000" w:themeColor="text1"/>
                      <w:kern w:val="0"/>
                      <w14:textFill>
                        <w14:solidFill>
                          <w14:schemeClr w14:val="tx1"/>
                        </w14:solidFill>
                      </w14:textFill>
                    </w:rPr>
                    <w:t>急性中毒：对中枢神经系统有麻醉作用。轻度中毒症状有头晕、头痛、恶心、呕吐、步态不稳、共济失调。高浓度吸入出现中毒性脑病。液体吸入呼吸道可引起吸入性肺炎。溅入眼内可致角膜溃疡、穿孔，甚至失明。皮肤接触致急性接触性皮炎，甚至灼伤。慢性中毒：神经衰弱综合征、植物神经功能紊乱、周围神经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85" w:type="dxa"/>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环境</w:t>
                  </w:r>
                </w:p>
                <w:p>
                  <w:pPr>
                    <w:widowControl/>
                    <w:rPr>
                      <w:color w:val="000000" w:themeColor="text1"/>
                      <w14:textFill>
                        <w14:solidFill>
                          <w14:schemeClr w14:val="tx1"/>
                        </w14:solidFill>
                      </w14:textFill>
                    </w:rPr>
                  </w:pPr>
                  <w:r>
                    <w:rPr>
                      <w:color w:val="000000" w:themeColor="text1"/>
                      <w14:textFill>
                        <w14:solidFill>
                          <w14:schemeClr w14:val="tx1"/>
                        </w14:solidFill>
                      </w14:textFill>
                    </w:rPr>
                    <w:t>危害</w:t>
                  </w:r>
                </w:p>
              </w:tc>
              <w:tc>
                <w:tcPr>
                  <w:tcW w:w="7998" w:type="dxa"/>
                  <w:gridSpan w:val="2"/>
                  <w:vAlign w:val="center"/>
                </w:tcPr>
                <w:p>
                  <w:pPr>
                    <w:widowControl/>
                    <w:rPr>
                      <w:color w:val="000000" w:themeColor="text1"/>
                      <w:kern w:val="0"/>
                      <w14:textFill>
                        <w14:solidFill>
                          <w14:schemeClr w14:val="tx1"/>
                        </w14:solidFill>
                      </w14:textFill>
                    </w:rPr>
                  </w:pPr>
                  <w:r>
                    <w:rPr>
                      <w:color w:val="000000" w:themeColor="text1"/>
                      <w:kern w:val="0"/>
                      <w14:textFill>
                        <w14:solidFill>
                          <w14:schemeClr w14:val="tx1"/>
                        </w14:solidFill>
                      </w14:textFill>
                    </w:rPr>
                    <w:t>本品对环境有害，主要体现在对大气的污染。</w:t>
                  </w:r>
                </w:p>
              </w:tc>
            </w:tr>
          </w:tbl>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（4）风险防范措施及应急要求：</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物料库内的油漆、稀释剂、机油的存储遵循《危险化学品安全管理条例》；厂区内严禁吸烟和明火，杜绝火源。油漆使用和贮存场所附近要安全用电，加强防爆。</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（5）分析结论</w:t>
            </w:r>
          </w:p>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厂区内严禁吸烟和明火，杜绝火源，同时项目配备有足够的灭火器材，对员工有专门的安全教育。 评价认为项目发生事故主要是燃烧，燃烧产生的废气后对环境的影响很小，通过加强管理其环境风险是可控的。</w:t>
            </w:r>
          </w:p>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表49   建设项目环境风险简单分析内容表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1291"/>
              <w:gridCol w:w="1388"/>
              <w:gridCol w:w="1709"/>
              <w:gridCol w:w="1465"/>
              <w:gridCol w:w="14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建设项目名称</w:t>
                  </w:r>
                </w:p>
              </w:tc>
              <w:tc>
                <w:tcPr>
                  <w:tcW w:w="7320"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东方航空技术有限公司西北分公司1号机库改造项目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建设地点</w:t>
                  </w:r>
                </w:p>
              </w:tc>
              <w:tc>
                <w:tcPr>
                  <w:tcW w:w="12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（陕西）省</w:t>
                  </w:r>
                </w:p>
              </w:tc>
              <w:tc>
                <w:tcPr>
                  <w:tcW w:w="138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（西安）市</w:t>
                  </w:r>
                </w:p>
              </w:tc>
              <w:tc>
                <w:tcPr>
                  <w:tcW w:w="170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（西咸新区）区</w:t>
                  </w:r>
                </w:p>
              </w:tc>
              <w:tc>
                <w:tcPr>
                  <w:tcW w:w="146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（/）县</w:t>
                  </w:r>
                </w:p>
              </w:tc>
              <w:tc>
                <w:tcPr>
                  <w:tcW w:w="146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地理坐标</w:t>
                  </w:r>
                </w:p>
              </w:tc>
              <w:tc>
                <w:tcPr>
                  <w:tcW w:w="12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经度</w:t>
                  </w:r>
                </w:p>
              </w:tc>
              <w:tc>
                <w:tcPr>
                  <w:tcW w:w="138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108.769315</w:t>
                  </w:r>
                </w:p>
              </w:tc>
              <w:tc>
                <w:tcPr>
                  <w:tcW w:w="170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纬度</w:t>
                  </w:r>
                </w:p>
              </w:tc>
              <w:tc>
                <w:tcPr>
                  <w:tcW w:w="293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34.448153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主要危险物质及分布</w:t>
                  </w:r>
                </w:p>
              </w:tc>
              <w:tc>
                <w:tcPr>
                  <w:tcW w:w="7320"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油漆和稀释剂，最大存储量为1.375t，机油最大存储量为0.2t，存放至原料库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573"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环境影响途径及危害后果（大气、地表水、地下水等）</w:t>
                  </w:r>
                </w:p>
              </w:tc>
              <w:tc>
                <w:tcPr>
                  <w:tcW w:w="7320" w:type="dxa"/>
                  <w:gridSpan w:val="5"/>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 xml:space="preserve">燃烧爆炸会产生有毒气体，吸入有毒气体会产生呼吸道刺激作用。 </w:t>
                  </w:r>
                </w:p>
                <w:p>
                  <w:pPr>
                    <w:jc w:val="left"/>
                    <w:rPr>
                      <w:color w:val="000000" w:themeColor="text1"/>
                      <w14:textFill>
                        <w14:solidFill>
                          <w14:schemeClr w14:val="tx1"/>
                        </w14:solidFill>
                      </w14:textFill>
                    </w:rPr>
                  </w:pPr>
                  <w:r>
                    <w:rPr>
                      <w:color w:val="000000" w:themeColor="text1"/>
                      <w14:textFill>
                        <w14:solidFill>
                          <w14:schemeClr w14:val="tx1"/>
                        </w14:solidFill>
                      </w14:textFill>
                    </w:rPr>
                    <w:t xml:space="preserve">大气影响：燃烧产生的废气会影响大气环境。 </w:t>
                  </w:r>
                </w:p>
                <w:p>
                  <w:pPr>
                    <w:jc w:val="left"/>
                    <w:rPr>
                      <w:color w:val="000000" w:themeColor="text1"/>
                      <w14:textFill>
                        <w14:solidFill>
                          <w14:schemeClr w14:val="tx1"/>
                        </w14:solidFill>
                      </w14:textFill>
                    </w:rPr>
                  </w:pPr>
                  <w:r>
                    <w:rPr>
                      <w:color w:val="000000" w:themeColor="text1"/>
                      <w14:textFill>
                        <w14:solidFill>
                          <w14:schemeClr w14:val="tx1"/>
                        </w14:solidFill>
                      </w14:textFill>
                    </w:rPr>
                    <w:t>地表水地下水影响：会对地表水、地下水造成影响。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风险防范措施要求</w:t>
                  </w:r>
                </w:p>
              </w:tc>
              <w:tc>
                <w:tcPr>
                  <w:tcW w:w="7320"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保持存储区通风，远离火种；配备灭火器材；加强人员安全教育，规范操作。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2" w:hRule="atLeast"/>
                <w:jc w:val="center"/>
              </w:trPr>
              <w:tc>
                <w:tcPr>
                  <w:tcW w:w="14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填表说明（列出项目相关信息及评价说明）</w:t>
                  </w:r>
                </w:p>
              </w:tc>
              <w:tc>
                <w:tcPr>
                  <w:tcW w:w="7320" w:type="dxa"/>
                  <w:gridSpan w:val="5"/>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评价认为项目发生的事故主要是燃烧爆炸，燃烧爆炸后对环境的影响很小，其造成的影响主要是人身安全事故及大气环境影响，对地表水和地下水等环境产生较小影响，通过加强管理其环境风险是可控的。</w:t>
                  </w:r>
                </w:p>
              </w:tc>
            </w:tr>
          </w:tbl>
          <w:p>
            <w:pPr>
              <w:spacing w:line="520" w:lineRule="exact"/>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项目环境风险评价自查表见表50。</w:t>
            </w:r>
          </w:p>
          <w:p>
            <w:pPr>
              <w:adjustRightInd w:val="0"/>
              <w:snapToGrid w:val="0"/>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表50  项目环境风险评价自查表</w:t>
            </w:r>
          </w:p>
          <w:tbl>
            <w:tblPr>
              <w:tblStyle w:val="39"/>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4"/>
              <w:gridCol w:w="716"/>
              <w:gridCol w:w="1315"/>
              <w:gridCol w:w="1611"/>
              <w:gridCol w:w="172"/>
              <w:gridCol w:w="569"/>
              <w:gridCol w:w="418"/>
              <w:gridCol w:w="292"/>
              <w:gridCol w:w="1000"/>
              <w:gridCol w:w="657"/>
              <w:gridCol w:w="733"/>
              <w:gridCol w:w="6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工作内容</w:t>
                  </w:r>
                </w:p>
              </w:tc>
              <w:tc>
                <w:tcPr>
                  <w:tcW w:w="7463" w:type="dxa"/>
                  <w:gridSpan w:val="10"/>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完成情况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604"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风险调查</w:t>
                  </w:r>
                </w:p>
              </w:tc>
              <w:tc>
                <w:tcPr>
                  <w:tcW w:w="716"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危险物质</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名称</w:t>
                  </w:r>
                </w:p>
              </w:tc>
              <w:tc>
                <w:tcPr>
                  <w:tcW w:w="161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油漆、稀释剂</w:t>
                  </w:r>
                </w:p>
              </w:tc>
              <w:tc>
                <w:tcPr>
                  <w:tcW w:w="741"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710" w:type="dxa"/>
                  <w:gridSpan w:val="2"/>
                  <w:vAlign w:val="center"/>
                </w:tcPr>
                <w:p>
                  <w:pPr>
                    <w:jc w:val="center"/>
                    <w:rPr>
                      <w:color w:val="000000" w:themeColor="text1"/>
                      <w14:textFill>
                        <w14:solidFill>
                          <w14:schemeClr w14:val="tx1"/>
                        </w14:solidFill>
                      </w14:textFill>
                    </w:rPr>
                  </w:pPr>
                </w:p>
              </w:tc>
              <w:tc>
                <w:tcPr>
                  <w:tcW w:w="1000" w:type="dxa"/>
                  <w:vAlign w:val="center"/>
                </w:tcPr>
                <w:p>
                  <w:pPr>
                    <w:jc w:val="center"/>
                    <w:rPr>
                      <w:color w:val="000000" w:themeColor="text1"/>
                      <w14:textFill>
                        <w14:solidFill>
                          <w14:schemeClr w14:val="tx1"/>
                        </w14:solidFill>
                      </w14:textFill>
                    </w:rPr>
                  </w:pPr>
                </w:p>
              </w:tc>
              <w:tc>
                <w:tcPr>
                  <w:tcW w:w="657" w:type="dxa"/>
                  <w:vAlign w:val="center"/>
                </w:tcPr>
                <w:p>
                  <w:pPr>
                    <w:jc w:val="center"/>
                    <w:rPr>
                      <w:color w:val="000000" w:themeColor="text1"/>
                      <w14:textFill>
                        <w14:solidFill>
                          <w14:schemeClr w14:val="tx1"/>
                        </w14:solidFill>
                      </w14:textFill>
                    </w:rPr>
                  </w:pPr>
                </w:p>
              </w:tc>
              <w:tc>
                <w:tcPr>
                  <w:tcW w:w="733" w:type="dxa"/>
                  <w:vAlign w:val="center"/>
                </w:tcPr>
                <w:p>
                  <w:pPr>
                    <w:jc w:val="center"/>
                    <w:rPr>
                      <w:color w:val="000000" w:themeColor="text1"/>
                      <w14:textFill>
                        <w14:solidFill>
                          <w14:schemeClr w14:val="tx1"/>
                        </w14:solidFill>
                      </w14:textFill>
                    </w:rPr>
                  </w:pPr>
                </w:p>
              </w:tc>
              <w:tc>
                <w:tcPr>
                  <w:tcW w:w="696" w:type="dxa"/>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存在总量/t</w:t>
                  </w:r>
                </w:p>
              </w:tc>
              <w:tc>
                <w:tcPr>
                  <w:tcW w:w="161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1.375</w:t>
                  </w:r>
                </w:p>
              </w:tc>
              <w:tc>
                <w:tcPr>
                  <w:tcW w:w="741"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w:t>
                  </w:r>
                </w:p>
              </w:tc>
              <w:tc>
                <w:tcPr>
                  <w:tcW w:w="710" w:type="dxa"/>
                  <w:gridSpan w:val="2"/>
                  <w:vAlign w:val="center"/>
                </w:tcPr>
                <w:p>
                  <w:pPr>
                    <w:jc w:val="center"/>
                    <w:rPr>
                      <w:color w:val="000000" w:themeColor="text1"/>
                      <w14:textFill>
                        <w14:solidFill>
                          <w14:schemeClr w14:val="tx1"/>
                        </w14:solidFill>
                      </w14:textFill>
                    </w:rPr>
                  </w:pPr>
                </w:p>
              </w:tc>
              <w:tc>
                <w:tcPr>
                  <w:tcW w:w="1000" w:type="dxa"/>
                  <w:vAlign w:val="center"/>
                </w:tcPr>
                <w:p>
                  <w:pPr>
                    <w:jc w:val="center"/>
                    <w:rPr>
                      <w:color w:val="000000" w:themeColor="text1"/>
                      <w14:textFill>
                        <w14:solidFill>
                          <w14:schemeClr w14:val="tx1"/>
                        </w14:solidFill>
                      </w14:textFill>
                    </w:rPr>
                  </w:pPr>
                </w:p>
              </w:tc>
              <w:tc>
                <w:tcPr>
                  <w:tcW w:w="657" w:type="dxa"/>
                  <w:vAlign w:val="center"/>
                </w:tcPr>
                <w:p>
                  <w:pPr>
                    <w:jc w:val="center"/>
                    <w:rPr>
                      <w:color w:val="000000" w:themeColor="text1"/>
                      <w14:textFill>
                        <w14:solidFill>
                          <w14:schemeClr w14:val="tx1"/>
                        </w14:solidFill>
                      </w14:textFill>
                    </w:rPr>
                  </w:pPr>
                </w:p>
              </w:tc>
              <w:tc>
                <w:tcPr>
                  <w:tcW w:w="733" w:type="dxa"/>
                  <w:vAlign w:val="center"/>
                </w:tcPr>
                <w:p>
                  <w:pPr>
                    <w:jc w:val="center"/>
                    <w:rPr>
                      <w:color w:val="000000" w:themeColor="text1"/>
                      <w14:textFill>
                        <w14:solidFill>
                          <w14:schemeClr w14:val="tx1"/>
                        </w14:solidFill>
                      </w14:textFill>
                    </w:rPr>
                  </w:pPr>
                </w:p>
              </w:tc>
              <w:tc>
                <w:tcPr>
                  <w:tcW w:w="696" w:type="dxa"/>
                  <w:vAlign w:val="center"/>
                </w:tcPr>
                <w:p>
                  <w:pPr>
                    <w:jc w:val="cente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环境敏感性</w:t>
                  </w:r>
                </w:p>
              </w:tc>
              <w:tc>
                <w:tcPr>
                  <w:tcW w:w="1315"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大气</w:t>
                  </w:r>
                </w:p>
              </w:tc>
              <w:tc>
                <w:tcPr>
                  <w:tcW w:w="3062"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500m范围内人口数</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人</w:t>
                  </w:r>
                </w:p>
              </w:tc>
              <w:tc>
                <w:tcPr>
                  <w:tcW w:w="3086"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5km范围内人口数</w:t>
                  </w:r>
                  <w:r>
                    <w:rPr>
                      <w:color w:val="000000" w:themeColor="text1"/>
                      <w:u w:val="single"/>
                      <w14:textFill>
                        <w14:solidFill>
                          <w14:schemeClr w14:val="tx1"/>
                        </w14:solidFill>
                      </w14:textFill>
                    </w:rPr>
                    <w:t xml:space="preserve">  6300  </w:t>
                  </w:r>
                  <w:r>
                    <w:rPr>
                      <w:color w:val="000000" w:themeColor="text1"/>
                      <w14:textFill>
                        <w14:solidFill>
                          <w14:schemeClr w14:val="tx1"/>
                        </w14:solidFill>
                      </w14:textFill>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continue"/>
                  <w:vAlign w:val="center"/>
                </w:tcPr>
                <w:p>
                  <w:pPr>
                    <w:jc w:val="center"/>
                    <w:rPr>
                      <w:color w:val="000000" w:themeColor="text1"/>
                      <w14:textFill>
                        <w14:solidFill>
                          <w14:schemeClr w14:val="tx1"/>
                        </w14:solidFill>
                      </w14:textFill>
                    </w:rPr>
                  </w:pPr>
                </w:p>
              </w:tc>
              <w:tc>
                <w:tcPr>
                  <w:tcW w:w="4719" w:type="dxa"/>
                  <w:gridSpan w:val="7"/>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每公里管段周边200m范围内人口数（最大）</w:t>
                  </w:r>
                </w:p>
              </w:tc>
              <w:tc>
                <w:tcPr>
                  <w:tcW w:w="1429" w:type="dxa"/>
                  <w:gridSpan w:val="2"/>
                  <w:vAlign w:val="center"/>
                </w:tcPr>
                <w:p>
                  <w:pPr>
                    <w:jc w:val="center"/>
                    <w:rPr>
                      <w:color w:val="000000" w:themeColor="text1"/>
                      <w14:textFill>
                        <w14:solidFill>
                          <w14:schemeClr w14:val="tx1"/>
                        </w14:solidFill>
                      </w14:textFill>
                    </w:rPr>
                  </w:pP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地表水功能敏感性</w:t>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F1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F2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F3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continue"/>
                  <w:vAlign w:val="center"/>
                </w:tcPr>
                <w:p>
                  <w:pPr>
                    <w:jc w:val="center"/>
                    <w:rPr>
                      <w:color w:val="000000" w:themeColor="text1"/>
                      <w14:textFill>
                        <w14:solidFill>
                          <w14:schemeClr w14:val="tx1"/>
                        </w14:solidFill>
                      </w14:textFill>
                    </w:rPr>
                  </w:pP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环境敏感目标分级</w:t>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S1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S2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S3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地下水</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地下水功能敏感性</w:t>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G1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G2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G3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continue"/>
                  <w:vAlign w:val="center"/>
                </w:tcPr>
                <w:p>
                  <w:pPr>
                    <w:jc w:val="center"/>
                    <w:rPr>
                      <w:color w:val="000000" w:themeColor="text1"/>
                      <w14:textFill>
                        <w14:solidFill>
                          <w14:schemeClr w14:val="tx1"/>
                        </w14:solidFill>
                      </w14:textFill>
                    </w:rPr>
                  </w:pP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包气带防污性能</w:t>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D1 </w:t>
                  </w:r>
                  <w:r>
                    <w:rPr>
                      <w:color w:val="000000" w:themeColor="text1"/>
                      <w:highlight w:val="none"/>
                      <w14:textFill>
                        <w14:solidFill>
                          <w14:schemeClr w14:val="tx1"/>
                        </w14:solidFill>
                      </w14:textFill>
                    </w:rPr>
                    <w:sym w:font="Wingdings 2" w:char="0052"/>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D2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D3 </w:t>
                  </w:r>
                  <w:r>
                    <w:rPr>
                      <w:color w:val="000000" w:themeColor="text1"/>
                      <w:highlight w:val="none"/>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物质及工艺系统危险性</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Q值</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Q＜1</w:t>
                  </w:r>
                  <w:r>
                    <w:rPr>
                      <w:color w:val="000000" w:themeColor="text1"/>
                      <w:highlight w:val="none"/>
                      <w14:textFill>
                        <w14:solidFill>
                          <w14:schemeClr w14:val="tx1"/>
                        </w14:solidFill>
                      </w14:textFill>
                    </w:rPr>
                    <w:sym w:font="Wingdings 2" w:char="0052"/>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1≤Q＜10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10≤Q＜100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Q＞100 </w:t>
                  </w:r>
                  <w:r>
                    <w:rPr>
                      <w:color w:val="000000" w:themeColor="text1"/>
                      <w:highlight w:val="none"/>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continue"/>
                  <w:vAlign w:val="center"/>
                </w:tcPr>
                <w:p>
                  <w:pPr>
                    <w:jc w:val="center"/>
                    <w:rPr>
                      <w:color w:val="000000" w:themeColor="text1"/>
                      <w14:textFill>
                        <w14:solidFill>
                          <w14:schemeClr w14:val="tx1"/>
                        </w14:solidFill>
                      </w14:textFill>
                    </w:rPr>
                  </w:pP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M值</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M1 </w:t>
                  </w:r>
                  <w:r>
                    <w:rPr>
                      <w:color w:val="000000" w:themeColor="text1"/>
                      <w:highlight w:val="none"/>
                      <w14:textFill>
                        <w14:solidFill>
                          <w14:schemeClr w14:val="tx1"/>
                        </w14:solidFill>
                      </w14:textFill>
                    </w:rPr>
                    <w:sym w:font="Wingdings 2" w:char="00A3"/>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M2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M3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M4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continue"/>
                  <w:vAlign w:val="center"/>
                </w:tcPr>
                <w:p>
                  <w:pPr>
                    <w:jc w:val="center"/>
                    <w:rPr>
                      <w:color w:val="000000" w:themeColor="text1"/>
                      <w14:textFill>
                        <w14:solidFill>
                          <w14:schemeClr w14:val="tx1"/>
                        </w14:solidFill>
                      </w14:textFill>
                    </w:rPr>
                  </w:pP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P值</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P1 </w:t>
                  </w:r>
                  <w:r>
                    <w:rPr>
                      <w:color w:val="000000" w:themeColor="text1"/>
                      <w:highlight w:val="none"/>
                      <w14:textFill>
                        <w14:solidFill>
                          <w14:schemeClr w14:val="tx1"/>
                        </w14:solidFill>
                      </w14:textFill>
                    </w:rPr>
                    <w:sym w:font="Wingdings 2" w:char="00A3"/>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P2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P3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P4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环境敏感程度</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大气</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E1 </w:t>
                  </w:r>
                  <w:r>
                    <w:rPr>
                      <w:color w:val="000000" w:themeColor="text1"/>
                      <w:highlight w:val="none"/>
                      <w14:textFill>
                        <w14:solidFill>
                          <w14:schemeClr w14:val="tx1"/>
                        </w14:solidFill>
                      </w14:textFill>
                    </w:rPr>
                    <w:sym w:font="Wingdings 2" w:char="00A3"/>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E2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continue"/>
                  <w:vAlign w:val="center"/>
                </w:tcPr>
                <w:p>
                  <w:pPr>
                    <w:jc w:val="center"/>
                    <w:rPr>
                      <w:color w:val="000000" w:themeColor="text1"/>
                      <w14:textFill>
                        <w14:solidFill>
                          <w14:schemeClr w14:val="tx1"/>
                        </w14:solidFill>
                      </w14:textFill>
                    </w:rPr>
                  </w:pP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E1 </w:t>
                  </w:r>
                  <w:r>
                    <w:rPr>
                      <w:color w:val="000000" w:themeColor="text1"/>
                      <w:highlight w:val="none"/>
                      <w14:textFill>
                        <w14:solidFill>
                          <w14:schemeClr w14:val="tx1"/>
                        </w14:solidFill>
                      </w14:textFill>
                    </w:rPr>
                    <w:sym w:font="Wingdings 2" w:char="00A3"/>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E2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Merge w:val="continue"/>
                  <w:vAlign w:val="center"/>
                </w:tcPr>
                <w:p>
                  <w:pPr>
                    <w:jc w:val="center"/>
                    <w:rPr>
                      <w:color w:val="000000" w:themeColor="text1"/>
                      <w14:textFill>
                        <w14:solidFill>
                          <w14:schemeClr w14:val="tx1"/>
                        </w14:solidFill>
                      </w14:textFill>
                    </w:rPr>
                  </w:pP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地下水</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E1 </w:t>
                  </w:r>
                  <w:r>
                    <w:rPr>
                      <w:color w:val="000000" w:themeColor="text1"/>
                      <w:highlight w:val="none"/>
                      <w14:textFill>
                        <w14:solidFill>
                          <w14:schemeClr w14:val="tx1"/>
                        </w14:solidFill>
                      </w14:textFill>
                    </w:rPr>
                    <w:sym w:font="Wingdings 2" w:char="00A3"/>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E2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E3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环境风险潜势</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IV</w:t>
                  </w:r>
                  <w:r>
                    <w:rPr>
                      <w:color w:val="000000" w:themeColor="text1"/>
                      <w:vertAlign w:val="superscript"/>
                      <w14:textFill>
                        <w14:solidFill>
                          <w14:schemeClr w14:val="tx1"/>
                        </w14:solidFill>
                      </w14:textFill>
                    </w:rPr>
                    <w:t>+</w:t>
                  </w:r>
                  <w:r>
                    <w:rPr>
                      <w:color w:val="000000" w:themeColor="text1"/>
                      <w14:textFill>
                        <w14:solidFill>
                          <w14:schemeClr w14:val="tx1"/>
                        </w14:solidFill>
                      </w14:textFill>
                    </w:rPr>
                    <w:t xml:space="preserve"> </w:t>
                  </w:r>
                  <w:r>
                    <w:rPr>
                      <w:color w:val="000000" w:themeColor="text1"/>
                      <w:highlight w:val="none"/>
                      <w14:textFill>
                        <w14:solidFill>
                          <w14:schemeClr w14:val="tx1"/>
                        </w14:solidFill>
                      </w14:textFill>
                    </w:rPr>
                    <w:sym w:font="Wingdings 2" w:char="00A3"/>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IV </w:t>
                  </w:r>
                  <w:r>
                    <w:rPr>
                      <w:color w:val="000000" w:themeColor="text1"/>
                      <w:highlight w:val="none"/>
                      <w14:textFill>
                        <w14:solidFill>
                          <w14:schemeClr w14:val="tx1"/>
                        </w14:solidFill>
                      </w14:textFill>
                    </w:rPr>
                    <w:sym w:font="Wingdings 2" w:char="00A3"/>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III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II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I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评价等级</w:t>
                  </w:r>
                </w:p>
              </w:tc>
              <w:tc>
                <w:tcPr>
                  <w:tcW w:w="3098"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一级 </w:t>
                  </w:r>
                  <w:r>
                    <w:rPr>
                      <w:color w:val="000000" w:themeColor="text1"/>
                      <w:highlight w:val="none"/>
                      <w14:textFill>
                        <w14:solidFill>
                          <w14:schemeClr w14:val="tx1"/>
                        </w14:solidFill>
                      </w14:textFill>
                    </w:rPr>
                    <w:sym w:font="Wingdings 2" w:char="00A3"/>
                  </w:r>
                </w:p>
              </w:tc>
              <w:tc>
                <w:tcPr>
                  <w:tcW w:w="1279"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二级 </w:t>
                  </w:r>
                  <w:r>
                    <w:rPr>
                      <w:color w:val="000000" w:themeColor="text1"/>
                      <w:highlight w:val="none"/>
                      <w14:textFill>
                        <w14:solidFill>
                          <w14:schemeClr w14:val="tx1"/>
                        </w14:solidFill>
                      </w14:textFill>
                    </w:rPr>
                    <w:sym w:font="Wingdings 2" w:char="00A3"/>
                  </w:r>
                </w:p>
              </w:tc>
              <w:tc>
                <w:tcPr>
                  <w:tcW w:w="1657"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三级 </w:t>
                  </w:r>
                  <w:r>
                    <w:rPr>
                      <w:color w:val="000000" w:themeColor="text1"/>
                      <w:highlight w:val="none"/>
                      <w14:textFill>
                        <w14:solidFill>
                          <w14:schemeClr w14:val="tx1"/>
                        </w14:solidFill>
                      </w14:textFill>
                    </w:rPr>
                    <w:sym w:font="Wingdings 2" w:char="00A3"/>
                  </w:r>
                </w:p>
              </w:tc>
              <w:tc>
                <w:tcPr>
                  <w:tcW w:w="1429"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简单分析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restart"/>
                  <w:textDirection w:val="tbRlV"/>
                  <w:vAlign w:val="center"/>
                </w:tcPr>
                <w:p>
                  <w:pPr>
                    <w:ind w:left="113" w:right="113"/>
                    <w:jc w:val="center"/>
                    <w:rPr>
                      <w:color w:val="000000" w:themeColor="text1"/>
                      <w14:textFill>
                        <w14:solidFill>
                          <w14:schemeClr w14:val="tx1"/>
                        </w14:solidFill>
                      </w14:textFill>
                    </w:rPr>
                  </w:pPr>
                  <w:r>
                    <w:rPr>
                      <w:color w:val="000000" w:themeColor="text1"/>
                      <w14:textFill>
                        <w14:solidFill>
                          <w14:schemeClr w14:val="tx1"/>
                        </w14:solidFill>
                      </w14:textFill>
                    </w:rPr>
                    <w:t>风 险 识 别</w:t>
                  </w:r>
                </w:p>
              </w:tc>
              <w:tc>
                <w:tcPr>
                  <w:tcW w:w="7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物质危险性</w:t>
                  </w:r>
                </w:p>
              </w:tc>
              <w:tc>
                <w:tcPr>
                  <w:tcW w:w="4085"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有毒有害 </w:t>
                  </w:r>
                  <w:r>
                    <w:rPr>
                      <w:color w:val="000000" w:themeColor="text1"/>
                      <w:highlight w:val="none"/>
                      <w14:textFill>
                        <w14:solidFill>
                          <w14:schemeClr w14:val="tx1"/>
                        </w14:solidFill>
                      </w14:textFill>
                    </w:rPr>
                    <w:sym w:font="Wingdings 2" w:char="00A3"/>
                  </w:r>
                </w:p>
              </w:tc>
              <w:tc>
                <w:tcPr>
                  <w:tcW w:w="3378"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易燃易爆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环境风险类型</w:t>
                  </w:r>
                </w:p>
              </w:tc>
              <w:tc>
                <w:tcPr>
                  <w:tcW w:w="3098"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泄漏 </w:t>
                  </w:r>
                  <w:r>
                    <w:rPr>
                      <w:color w:val="000000" w:themeColor="text1"/>
                      <w:highlight w:val="none"/>
                      <w14:textFill>
                        <w14:solidFill>
                          <w14:schemeClr w14:val="tx1"/>
                        </w14:solidFill>
                      </w14:textFill>
                    </w:rPr>
                    <w:sym w:font="Wingdings 2" w:char="00A3"/>
                  </w:r>
                </w:p>
              </w:tc>
              <w:tc>
                <w:tcPr>
                  <w:tcW w:w="4365" w:type="dxa"/>
                  <w:gridSpan w:val="7"/>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火灾、爆炸引发伴生/次生污染物排放 </w:t>
                  </w:r>
                  <w:r>
                    <w:rPr>
                      <w:color w:val="000000" w:themeColor="text1"/>
                      <w:highlight w:val="none"/>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影响途径</w:t>
                  </w:r>
                </w:p>
              </w:tc>
              <w:tc>
                <w:tcPr>
                  <w:tcW w:w="3098"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大气 </w:t>
                  </w:r>
                  <w:r>
                    <w:rPr>
                      <w:color w:val="000000" w:themeColor="text1"/>
                      <w:highlight w:val="none"/>
                      <w14:textFill>
                        <w14:solidFill>
                          <w14:schemeClr w14:val="tx1"/>
                        </w14:solidFill>
                      </w14:textFill>
                    </w:rPr>
                    <w:sym w:font="Wingdings 2" w:char="0052"/>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地表水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地下水 </w:t>
                  </w:r>
                  <w:r>
                    <w:rPr>
                      <w:color w:val="000000" w:themeColor="text1"/>
                      <w:highlight w:val="none"/>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事故情形分析</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源强设定方法</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计算法 </w:t>
                  </w:r>
                  <w:r>
                    <w:rPr>
                      <w:color w:val="000000" w:themeColor="text1"/>
                      <w:highlight w:val="none"/>
                      <w14:textFill>
                        <w14:solidFill>
                          <w14:schemeClr w14:val="tx1"/>
                        </w14:solidFill>
                      </w14:textFill>
                    </w:rPr>
                    <w:sym w:font="Wingdings 2" w:char="00A3"/>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经验估算法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其他估算法 </w:t>
                  </w:r>
                  <w:r>
                    <w:rPr>
                      <w:color w:val="000000" w:themeColor="text1"/>
                      <w:highlight w:val="none"/>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restart"/>
                  <w:textDirection w:val="tbRlV"/>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风 险 预 测 与 评 价</w:t>
                  </w:r>
                </w:p>
              </w:tc>
              <w:tc>
                <w:tcPr>
                  <w:tcW w:w="716"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大气</w:t>
                  </w:r>
                </w:p>
              </w:tc>
              <w:tc>
                <w:tcPr>
                  <w:tcW w:w="131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预测模型</w:t>
                  </w:r>
                </w:p>
              </w:tc>
              <w:tc>
                <w:tcPr>
                  <w:tcW w:w="178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SLAB </w:t>
                  </w:r>
                  <w:r>
                    <w:rPr>
                      <w:color w:val="000000" w:themeColor="text1"/>
                      <w:highlight w:val="none"/>
                      <w14:textFill>
                        <w14:solidFill>
                          <w14:schemeClr w14:val="tx1"/>
                        </w14:solidFill>
                      </w14:textFill>
                    </w:rPr>
                    <w:sym w:font="Wingdings 2" w:char="00A3"/>
                  </w:r>
                </w:p>
              </w:tc>
              <w:tc>
                <w:tcPr>
                  <w:tcW w:w="2279" w:type="dxa"/>
                  <w:gridSpan w:val="4"/>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AFTOX </w:t>
                  </w:r>
                  <w:r>
                    <w:rPr>
                      <w:color w:val="000000" w:themeColor="text1"/>
                      <w:highlight w:val="none"/>
                      <w14:textFill>
                        <w14:solidFill>
                          <w14:schemeClr w14:val="tx1"/>
                        </w14:solidFill>
                      </w14:textFill>
                    </w:rPr>
                    <w:sym w:font="Wingdings 2" w:char="00A3"/>
                  </w:r>
                </w:p>
              </w:tc>
              <w:tc>
                <w:tcPr>
                  <w:tcW w:w="2086"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其他 </w:t>
                  </w:r>
                  <w:r>
                    <w:rPr>
                      <w:color w:val="000000" w:themeColor="text1"/>
                      <w:highlight w:val="none"/>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预测结果</w:t>
                  </w:r>
                </w:p>
              </w:tc>
              <w:tc>
                <w:tcPr>
                  <w:tcW w:w="6148" w:type="dxa"/>
                  <w:gridSpan w:val="9"/>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大气毒性终点浓度-1 最大影响范围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1315" w:type="dxa"/>
                  <w:vMerge w:val="continue"/>
                  <w:vAlign w:val="center"/>
                </w:tcPr>
                <w:p>
                  <w:pPr>
                    <w:jc w:val="center"/>
                    <w:rPr>
                      <w:color w:val="000000" w:themeColor="text1"/>
                      <w14:textFill>
                        <w14:solidFill>
                          <w14:schemeClr w14:val="tx1"/>
                        </w14:solidFill>
                      </w14:textFill>
                    </w:rPr>
                  </w:pPr>
                </w:p>
              </w:tc>
              <w:tc>
                <w:tcPr>
                  <w:tcW w:w="6148" w:type="dxa"/>
                  <w:gridSpan w:val="9"/>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大气毒性终点浓度-2 最大影响范围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w:t>
                  </w:r>
                </w:p>
              </w:tc>
              <w:tc>
                <w:tcPr>
                  <w:tcW w:w="7463" w:type="dxa"/>
                  <w:gridSpan w:val="10"/>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最近环境敏感目标</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，到达时间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地下水</w:t>
                  </w:r>
                </w:p>
              </w:tc>
              <w:tc>
                <w:tcPr>
                  <w:tcW w:w="7463" w:type="dxa"/>
                  <w:gridSpan w:val="10"/>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下游厂区边界到达时间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4" w:type="dxa"/>
                  <w:vMerge w:val="continue"/>
                  <w:vAlign w:val="center"/>
                </w:tcPr>
                <w:p>
                  <w:pPr>
                    <w:jc w:val="center"/>
                    <w:rPr>
                      <w:color w:val="000000" w:themeColor="text1"/>
                      <w14:textFill>
                        <w14:solidFill>
                          <w14:schemeClr w14:val="tx1"/>
                        </w14:solidFill>
                      </w14:textFill>
                    </w:rPr>
                  </w:pPr>
                </w:p>
              </w:tc>
              <w:tc>
                <w:tcPr>
                  <w:tcW w:w="716" w:type="dxa"/>
                  <w:vMerge w:val="continue"/>
                  <w:vAlign w:val="center"/>
                </w:tcPr>
                <w:p>
                  <w:pPr>
                    <w:jc w:val="center"/>
                    <w:rPr>
                      <w:color w:val="000000" w:themeColor="text1"/>
                      <w14:textFill>
                        <w14:solidFill>
                          <w14:schemeClr w14:val="tx1"/>
                        </w14:solidFill>
                      </w14:textFill>
                    </w:rPr>
                  </w:pPr>
                </w:p>
              </w:tc>
              <w:tc>
                <w:tcPr>
                  <w:tcW w:w="7463" w:type="dxa"/>
                  <w:gridSpan w:val="10"/>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最近环境敏感目标</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，到达时间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重点风险防范措施</w:t>
                  </w:r>
                </w:p>
              </w:tc>
              <w:tc>
                <w:tcPr>
                  <w:tcW w:w="7463" w:type="dxa"/>
                  <w:gridSpan w:val="10"/>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 xml:space="preserve"> 原料库内的油漆、稀释剂及机油的存储遵循《危险化学品安全管理条例》；厂区内严禁吸烟和明火，杜绝火源。油漆使用和贮存场所附近要安全用电，加强防爆。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0"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评价结论与建议</w:t>
                  </w:r>
                </w:p>
              </w:tc>
              <w:tc>
                <w:tcPr>
                  <w:tcW w:w="7463" w:type="dxa"/>
                  <w:gridSpan w:val="10"/>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 xml:space="preserve"> 机库内严禁吸烟和明火，杜绝火源，同时项目配备有足够的灭火器材，对员工有专门的安全教育。 评价认为项目发生事故主要是燃烧，燃烧产生的废气后对环境的影响很小，通过加强管理其环境风险是可控的。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83" w:type="dxa"/>
                  <w:gridSpan w:val="1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注：“</w:t>
                  </w:r>
                  <w:r>
                    <w:rPr>
                      <w:color w:val="000000" w:themeColor="text1"/>
                      <w:highlight w:val="none"/>
                      <w14:textFill>
                        <w14:solidFill>
                          <w14:schemeClr w14:val="tx1"/>
                        </w14:solidFill>
                      </w14:textFill>
                    </w:rPr>
                    <w:sym w:font="Wingdings 2" w:char="00A3"/>
                  </w:r>
                  <w:r>
                    <w:rPr>
                      <w:color w:val="000000" w:themeColor="text1"/>
                      <w14:textFill>
                        <w14:solidFill>
                          <w14:schemeClr w14:val="tx1"/>
                        </w14:solidFill>
                      </w14:textFill>
                    </w:rPr>
                    <w:t>”为勾选项，“</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”为填写项</w:t>
                  </w:r>
                </w:p>
              </w:tc>
            </w:tr>
          </w:tbl>
          <w:p>
            <w:pPr>
              <w:spacing w:line="520" w:lineRule="exact"/>
              <w:rPr>
                <w:rFonts w:eastAsia="黑体"/>
                <w:szCs w:val="28"/>
              </w:rPr>
            </w:pPr>
            <w:r>
              <w:rPr>
                <w:rFonts w:eastAsia="黑体"/>
                <w:szCs w:val="28"/>
              </w:rPr>
              <w:t xml:space="preserve">   三、技改项目“以新带老”及“三本账”</w:t>
            </w:r>
          </w:p>
          <w:p>
            <w:pPr>
              <w:spacing w:line="520" w:lineRule="exact"/>
              <w:ind w:firstLine="482"/>
              <w:rPr>
                <w:sz w:val="24"/>
                <w:szCs w:val="24"/>
              </w:rPr>
            </w:pPr>
            <w:r>
              <w:rPr>
                <w:sz w:val="24"/>
                <w:szCs w:val="24"/>
              </w:rPr>
              <w:t>本项目技改前后完成后“三本账”见表</w:t>
            </w:r>
            <w:r>
              <w:rPr>
                <w:rFonts w:hint="eastAsia"/>
                <w:sz w:val="24"/>
                <w:szCs w:val="24"/>
              </w:rPr>
              <w:t>51</w:t>
            </w:r>
            <w:r>
              <w:rPr>
                <w:sz w:val="24"/>
                <w:szCs w:val="24"/>
              </w:rPr>
              <w:t>。</w:t>
            </w:r>
          </w:p>
          <w:p>
            <w:pPr>
              <w:adjustRightInd w:val="0"/>
              <w:snapToGrid w:val="0"/>
              <w:jc w:val="center"/>
              <w:rPr>
                <w:rFonts w:eastAsia="黑体"/>
                <w:sz w:val="24"/>
              </w:rPr>
            </w:pPr>
            <w:r>
              <w:rPr>
                <w:rFonts w:eastAsia="黑体"/>
                <w:sz w:val="24"/>
              </w:rPr>
              <w:t>表51   改扩建项目完成后“三本账”  单位t/a</w:t>
            </w:r>
          </w:p>
          <w:tbl>
            <w:tblPr>
              <w:tblStyle w:val="38"/>
              <w:tblW w:w="8783"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846"/>
              <w:gridCol w:w="1391"/>
              <w:gridCol w:w="1179"/>
              <w:gridCol w:w="1128"/>
              <w:gridCol w:w="1314"/>
              <w:gridCol w:w="120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20" w:hRule="atLeast"/>
                <w:jc w:val="center"/>
              </w:trPr>
              <w:tc>
                <w:tcPr>
                  <w:tcW w:w="720"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项目</w:t>
                  </w:r>
                </w:p>
              </w:tc>
              <w:tc>
                <w:tcPr>
                  <w:tcW w:w="1846"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污染物</w:t>
                  </w:r>
                </w:p>
              </w:tc>
              <w:tc>
                <w:tcPr>
                  <w:tcW w:w="1391"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现有工程排放量</w:t>
                  </w:r>
                </w:p>
              </w:tc>
              <w:tc>
                <w:tcPr>
                  <w:tcW w:w="1179"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“以新带老”削减量</w:t>
                  </w:r>
                </w:p>
              </w:tc>
              <w:tc>
                <w:tcPr>
                  <w:tcW w:w="1128"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改建项目排放量</w:t>
                  </w:r>
                </w:p>
              </w:tc>
              <w:tc>
                <w:tcPr>
                  <w:tcW w:w="1314" w:type="dxa"/>
                  <w:tcMar>
                    <w:top w:w="15" w:type="dxa"/>
                    <w:left w:w="15" w:type="dxa"/>
                    <w:bottom w:w="15" w:type="dxa"/>
                    <w:right w:w="15" w:type="dxa"/>
                  </w:tcMar>
                  <w:vAlign w:val="center"/>
                </w:tcPr>
                <w:p>
                  <w:pPr>
                    <w:widowControl/>
                    <w:spacing w:line="320" w:lineRule="exact"/>
                    <w:jc w:val="center"/>
                    <w:textAlignment w:val="center"/>
                    <w:rPr>
                      <w:b/>
                    </w:rPr>
                  </w:pPr>
                  <w:r>
                    <w:rPr>
                      <w:b/>
                      <w:kern w:val="0"/>
                      <w:lang w:bidi="ar"/>
                    </w:rPr>
                    <w:t>改扩建后排放量</w:t>
                  </w:r>
                </w:p>
              </w:tc>
              <w:tc>
                <w:tcPr>
                  <w:tcW w:w="1205" w:type="dxa"/>
                  <w:tcMar>
                    <w:top w:w="15" w:type="dxa"/>
                    <w:left w:w="15" w:type="dxa"/>
                    <w:bottom w:w="15" w:type="dxa"/>
                    <w:right w:w="15" w:type="dxa"/>
                  </w:tcMar>
                  <w:vAlign w:val="center"/>
                </w:tcPr>
                <w:p>
                  <w:pPr>
                    <w:widowControl/>
                    <w:spacing w:line="320" w:lineRule="exact"/>
                    <w:jc w:val="center"/>
                    <w:textAlignment w:val="center"/>
                  </w:pPr>
                  <w:r>
                    <w:rPr>
                      <w:b/>
                      <w:kern w:val="0"/>
                      <w:lang w:bidi="ar"/>
                    </w:rPr>
                    <w:t>污染物排放增减量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atLeast"/>
                <w:jc w:val="center"/>
              </w:trPr>
              <w:tc>
                <w:tcPr>
                  <w:tcW w:w="720" w:type="dxa"/>
                  <w:vMerge w:val="restart"/>
                  <w:tcMar>
                    <w:top w:w="15" w:type="dxa"/>
                    <w:left w:w="15" w:type="dxa"/>
                    <w:bottom w:w="15" w:type="dxa"/>
                    <w:right w:w="15" w:type="dxa"/>
                  </w:tcMar>
                  <w:vAlign w:val="center"/>
                </w:tcPr>
                <w:p>
                  <w:pPr>
                    <w:spacing w:line="320" w:lineRule="exact"/>
                    <w:jc w:val="center"/>
                    <w:textAlignment w:val="center"/>
                    <w:rPr>
                      <w:kern w:val="0"/>
                      <w:lang w:bidi="ar"/>
                    </w:rPr>
                  </w:pPr>
                  <w:r>
                    <w:rPr>
                      <w:kern w:val="0"/>
                      <w:lang w:bidi="ar"/>
                    </w:rPr>
                    <w:t>废气</w:t>
                  </w:r>
                </w:p>
              </w:tc>
              <w:tc>
                <w:tcPr>
                  <w:tcW w:w="1846"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粉尘</w:t>
                  </w:r>
                </w:p>
              </w:tc>
              <w:tc>
                <w:tcPr>
                  <w:tcW w:w="1391"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1.536</w:t>
                  </w:r>
                </w:p>
              </w:tc>
              <w:tc>
                <w:tcPr>
                  <w:tcW w:w="1179"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1.536</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0.1528</w:t>
                  </w:r>
                </w:p>
              </w:tc>
              <w:tc>
                <w:tcPr>
                  <w:tcW w:w="1314"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0.1528</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-1.3832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atLeast"/>
                <w:jc w:val="center"/>
              </w:trPr>
              <w:tc>
                <w:tcPr>
                  <w:tcW w:w="720" w:type="dxa"/>
                  <w:vMerge w:val="continue"/>
                  <w:tcMar>
                    <w:top w:w="15" w:type="dxa"/>
                    <w:left w:w="15" w:type="dxa"/>
                    <w:bottom w:w="15" w:type="dxa"/>
                    <w:right w:w="15" w:type="dxa"/>
                  </w:tcMar>
                  <w:vAlign w:val="center"/>
                </w:tcPr>
                <w:p>
                  <w:pPr>
                    <w:widowControl/>
                    <w:spacing w:line="320" w:lineRule="exact"/>
                    <w:jc w:val="center"/>
                    <w:textAlignment w:val="center"/>
                  </w:pPr>
                </w:p>
              </w:tc>
              <w:tc>
                <w:tcPr>
                  <w:tcW w:w="1846" w:type="dxa"/>
                  <w:tcMar>
                    <w:top w:w="15" w:type="dxa"/>
                    <w:left w:w="15" w:type="dxa"/>
                    <w:bottom w:w="15" w:type="dxa"/>
                    <w:right w:w="15" w:type="dxa"/>
                  </w:tcMar>
                  <w:vAlign w:val="center"/>
                </w:tcPr>
                <w:p>
                  <w:pPr>
                    <w:widowControl/>
                    <w:spacing w:line="320" w:lineRule="exact"/>
                    <w:jc w:val="center"/>
                    <w:textAlignment w:val="center"/>
                    <w:rPr>
                      <w:color w:val="000000"/>
                    </w:rPr>
                  </w:pPr>
                  <w:r>
                    <w:rPr>
                      <w:color w:val="000000"/>
                      <w:kern w:val="0"/>
                      <w:lang w:bidi="ar"/>
                    </w:rPr>
                    <w:t>非甲烷总烃</w:t>
                  </w:r>
                </w:p>
              </w:tc>
              <w:tc>
                <w:tcPr>
                  <w:tcW w:w="1391"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4.332</w:t>
                  </w:r>
                </w:p>
              </w:tc>
              <w:tc>
                <w:tcPr>
                  <w:tcW w:w="1179"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4.332</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0.6499</w:t>
                  </w:r>
                </w:p>
              </w:tc>
              <w:tc>
                <w:tcPr>
                  <w:tcW w:w="1314" w:type="dxa"/>
                  <w:tcMar>
                    <w:top w:w="15" w:type="dxa"/>
                    <w:left w:w="15" w:type="dxa"/>
                    <w:bottom w:w="15" w:type="dxa"/>
                    <w:right w:w="15" w:type="dxa"/>
                  </w:tcMar>
                  <w:vAlign w:val="center"/>
                </w:tcPr>
                <w:p>
                  <w:pPr>
                    <w:spacing w:line="320" w:lineRule="exact"/>
                    <w:jc w:val="center"/>
                    <w:textAlignment w:val="center"/>
                    <w:rPr>
                      <w:color w:val="000000"/>
                      <w:kern w:val="0"/>
                      <w:lang w:bidi="ar"/>
                    </w:rPr>
                  </w:pPr>
                  <w:r>
                    <w:rPr>
                      <w:color w:val="000000"/>
                      <w:kern w:val="0"/>
                      <w:lang w:bidi="ar"/>
                    </w:rPr>
                    <w:t>0.6499</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rPr>
                  </w:pPr>
                  <w:r>
                    <w:rPr>
                      <w:color w:val="000000"/>
                      <w:kern w:val="0"/>
                      <w:lang w:bidi="ar"/>
                    </w:rPr>
                    <w:t>-3.6821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color w:val="000000"/>
                    </w:rPr>
                  </w:pPr>
                  <w:r>
                    <w:rPr>
                      <w:color w:val="000000"/>
                    </w:rPr>
                    <w:t>甲苯+乙苯</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0.1224</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0.1224</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0.0192</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0.0192</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rPr>
                  </w:pPr>
                  <w:r>
                    <w:rPr>
                      <w:color w:val="000000"/>
                      <w:kern w:val="0"/>
                      <w:lang w:bidi="ar"/>
                    </w:rPr>
                    <w:t>-0.1032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rFonts w:eastAsia=".Apple Color Emoji UI"/>
                      <w:color w:val="000000"/>
                      <w:kern w:val="0"/>
                      <w:lang w:bidi="ar"/>
                    </w:rPr>
                  </w:pPr>
                  <w:r>
                    <w:rPr>
                      <w:rFonts w:eastAsia=".Apple Color Emoji UI"/>
                      <w:color w:val="000000"/>
                      <w:kern w:val="0"/>
                      <w:lang w:bidi="ar"/>
                    </w:rPr>
                    <w:t>二甲苯</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0.246</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0.246</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0.038</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0.038</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kern w:val="0"/>
                      <w:lang w:bidi="ar"/>
                    </w:rPr>
                  </w:pPr>
                  <w:r>
                    <w:rPr>
                      <w:color w:val="000000"/>
                      <w:kern w:val="0"/>
                      <w:lang w:bidi="ar"/>
                    </w:rPr>
                    <w:t>-0.208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51" w:hRule="atLeast"/>
                <w:jc w:val="center"/>
              </w:trPr>
              <w:tc>
                <w:tcPr>
                  <w:tcW w:w="720" w:type="dxa"/>
                  <w:vMerge w:val="restart"/>
                  <w:tcMar>
                    <w:top w:w="15" w:type="dxa"/>
                    <w:left w:w="15" w:type="dxa"/>
                    <w:bottom w:w="15" w:type="dxa"/>
                    <w:right w:w="15" w:type="dxa"/>
                  </w:tcMar>
                  <w:vAlign w:val="center"/>
                </w:tcPr>
                <w:p>
                  <w:pPr>
                    <w:widowControl/>
                    <w:spacing w:line="320" w:lineRule="exact"/>
                    <w:jc w:val="center"/>
                    <w:textAlignment w:val="center"/>
                  </w:pPr>
                  <w:r>
                    <w:rPr>
                      <w:kern w:val="0"/>
                      <w:lang w:bidi="ar"/>
                    </w:rPr>
                    <w:t>废水</w:t>
                  </w:r>
                </w:p>
              </w:tc>
              <w:tc>
                <w:tcPr>
                  <w:tcW w:w="1846" w:type="dxa"/>
                  <w:tcMar>
                    <w:top w:w="15" w:type="dxa"/>
                    <w:left w:w="15" w:type="dxa"/>
                    <w:bottom w:w="15" w:type="dxa"/>
                    <w:right w:w="15" w:type="dxa"/>
                  </w:tcMar>
                  <w:vAlign w:val="center"/>
                </w:tcPr>
                <w:p>
                  <w:pPr>
                    <w:widowControl/>
                    <w:spacing w:line="320" w:lineRule="exact"/>
                    <w:jc w:val="center"/>
                    <w:textAlignment w:val="center"/>
                  </w:pPr>
                  <w:r>
                    <w:rPr>
                      <w:kern w:val="0"/>
                      <w:lang w:bidi="ar"/>
                    </w:rPr>
                    <w:t>废水量</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3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pPr>
                  <w:r>
                    <w:rPr>
                      <w:kern w:val="0"/>
                      <w:lang w:bidi="ar"/>
                    </w:rPr>
                    <w:t>COD</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5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pPr>
                  <w:r>
                    <w:rPr>
                      <w:kern w:val="0"/>
                      <w:lang w:bidi="ar"/>
                    </w:rPr>
                    <w:t>BOD</w:t>
                  </w:r>
                  <w:r>
                    <w:rPr>
                      <w:kern w:val="0"/>
                      <w:vertAlign w:val="subscript"/>
                      <w:lang w:bidi="ar"/>
                    </w:rPr>
                    <w:t>5</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1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pPr>
                  <w:r>
                    <w:rPr>
                      <w:kern w:val="0"/>
                      <w:lang w:bidi="ar"/>
                    </w:rPr>
                    <w:t>SS</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pPr>
                  <w:r>
                    <w:rPr>
                      <w:kern w:val="0"/>
                      <w:lang w:bidi="ar"/>
                    </w:rPr>
                    <w:t>NH</w:t>
                  </w:r>
                  <w:r>
                    <w:rPr>
                      <w:kern w:val="0"/>
                      <w:vertAlign w:val="subscript"/>
                      <w:lang w:bidi="ar"/>
                    </w:rPr>
                    <w:t>3</w:t>
                  </w:r>
                  <w:r>
                    <w:rPr>
                      <w:kern w:val="0"/>
                      <w:lang w:bidi="ar"/>
                    </w:rPr>
                    <w:t>-N</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TN</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TP</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LAS</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石油类</w:t>
                  </w:r>
                </w:p>
              </w:tc>
              <w:tc>
                <w:tcPr>
                  <w:tcW w:w="1391"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79"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128"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314"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c>
                <w:tcPr>
                  <w:tcW w:w="1205" w:type="dxa"/>
                  <w:tcMar>
                    <w:top w:w="15" w:type="dxa"/>
                    <w:left w:w="15" w:type="dxa"/>
                    <w:bottom w:w="15" w:type="dxa"/>
                    <w:right w:w="15" w:type="dxa"/>
                  </w:tcMar>
                  <w:vAlign w:val="center"/>
                </w:tcPr>
                <w:p>
                  <w:pPr>
                    <w:widowControl/>
                    <w:spacing w:line="320" w:lineRule="exact"/>
                    <w:jc w:val="center"/>
                    <w:textAlignment w:val="center"/>
                    <w:rPr>
                      <w:kern w:val="0"/>
                      <w:lang w:bidi="ar"/>
                    </w:rPr>
                  </w:pPr>
                  <w:r>
                    <w:rPr>
                      <w:kern w:val="0"/>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15" w:hRule="atLeast"/>
                <w:jc w:val="center"/>
              </w:trPr>
              <w:tc>
                <w:tcPr>
                  <w:tcW w:w="720" w:type="dxa"/>
                  <w:vMerge w:val="restart"/>
                  <w:tcMar>
                    <w:top w:w="15" w:type="dxa"/>
                    <w:left w:w="15" w:type="dxa"/>
                    <w:bottom w:w="15" w:type="dxa"/>
                    <w:right w:w="15" w:type="dxa"/>
                  </w:tcMar>
                  <w:vAlign w:val="center"/>
                </w:tcPr>
                <w:p>
                  <w:pPr>
                    <w:widowControl/>
                    <w:spacing w:line="320" w:lineRule="exact"/>
                    <w:jc w:val="center"/>
                    <w:textAlignment w:val="center"/>
                  </w:pPr>
                  <w:r>
                    <w:rPr>
                      <w:kern w:val="0"/>
                      <w:lang w:bidi="ar"/>
                    </w:rPr>
                    <w:t>固废</w:t>
                  </w:r>
                </w:p>
              </w:tc>
              <w:tc>
                <w:tcPr>
                  <w:tcW w:w="1846" w:type="dxa"/>
                  <w:tcMar>
                    <w:top w:w="15" w:type="dxa"/>
                    <w:left w:w="15" w:type="dxa"/>
                    <w:bottom w:w="15" w:type="dxa"/>
                    <w:right w:w="15" w:type="dxa"/>
                  </w:tcMar>
                  <w:vAlign w:val="center"/>
                </w:tcPr>
                <w:p>
                  <w:pPr>
                    <w:snapToGrid w:val="0"/>
                    <w:jc w:val="center"/>
                    <w:rPr>
                      <w:color w:val="FF0000"/>
                    </w:rPr>
                  </w:pPr>
                  <w:r>
                    <w:rPr>
                      <w:color w:val="000000"/>
                    </w:rPr>
                    <w:t>废旧零部件</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废旧包装盒</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0.2</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0.2</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0.2</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生活垃圾</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9.855</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9.855</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9.855</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9.855</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废有机溶剂桶</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2</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2</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2</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2</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废机油、含有手套、抹布</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0.5</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0.5</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0.5</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0.5</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废过滤棉（含杂质）</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0.8</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0.8</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w:t>
                  </w:r>
                  <w:r>
                    <w:rPr>
                      <w:rFonts w:hint="eastAsia"/>
                      <w:color w:val="000000"/>
                    </w:rPr>
                    <w:t>滤芯</w:t>
                  </w:r>
                  <w:r>
                    <w:rPr>
                      <w:color w:val="000000"/>
                    </w:rPr>
                    <w:t>（含</w:t>
                  </w:r>
                  <w:r>
                    <w:rPr>
                      <w:color w:val="000000"/>
                      <w:highlight w:val="none"/>
                    </w:rPr>
                    <w:t>漆雾</w:t>
                  </w:r>
                  <w:r>
                    <w:rPr>
                      <w:color w:val="000000"/>
                    </w:rPr>
                    <w:t>）</w:t>
                  </w:r>
                  <w:r>
                    <w:rPr>
                      <w:rFonts w:hint="eastAsia"/>
                      <w:color w:val="000000"/>
                    </w:rPr>
                    <w:t>、废滤芯（含漆粉尘）</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rFonts w:hint="eastAsia"/>
                      <w:color w:val="000000" w:themeColor="text1"/>
                      <w14:textFill>
                        <w14:solidFill>
                          <w14:schemeClr w14:val="tx1"/>
                        </w14:solidFill>
                      </w14:textFill>
                    </w:rPr>
                    <w:t>5.8</w:t>
                  </w:r>
                  <w:r>
                    <w:rPr>
                      <w:color w:val="000000" w:themeColor="text1"/>
                      <w14:textFill>
                        <w14:solidFill>
                          <w14:schemeClr w14:val="tx1"/>
                        </w14:solidFill>
                      </w14:textFill>
                    </w:rPr>
                    <w:t>04</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rFonts w:hint="eastAsia"/>
                      <w:color w:val="000000" w:themeColor="text1"/>
                      <w14:textFill>
                        <w14:solidFill>
                          <w14:schemeClr w14:val="tx1"/>
                        </w14:solidFill>
                      </w14:textFill>
                    </w:rPr>
                    <w:t>5.8</w:t>
                  </w:r>
                  <w:r>
                    <w:rPr>
                      <w:color w:val="000000" w:themeColor="text1"/>
                      <w14:textFill>
                        <w14:solidFill>
                          <w14:schemeClr w14:val="tx1"/>
                        </w14:solidFill>
                      </w14:textFill>
                    </w:rPr>
                    <w:t>04</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5.8</w:t>
                  </w:r>
                  <w:r>
                    <w:rPr>
                      <w:color w:val="000000" w:themeColor="text1"/>
                      <w14:textFill>
                        <w14:solidFill>
                          <w14:schemeClr w14:val="tx1"/>
                        </w14:solidFill>
                      </w14:textFill>
                    </w:rPr>
                    <w:t>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720" w:type="dxa"/>
                  <w:vMerge w:val="continue"/>
                  <w:vAlign w:val="center"/>
                </w:tcPr>
                <w:p>
                  <w:pPr>
                    <w:widowControl/>
                    <w:jc w:val="left"/>
                  </w:pPr>
                </w:p>
              </w:tc>
              <w:tc>
                <w:tcPr>
                  <w:tcW w:w="1846" w:type="dxa"/>
                  <w:tcMar>
                    <w:top w:w="15" w:type="dxa"/>
                    <w:left w:w="15" w:type="dxa"/>
                    <w:bottom w:w="15" w:type="dxa"/>
                    <w:right w:w="15" w:type="dxa"/>
                  </w:tcMar>
                  <w:vAlign w:val="center"/>
                </w:tcPr>
                <w:p>
                  <w:pPr>
                    <w:snapToGrid w:val="0"/>
                    <w:jc w:val="center"/>
                    <w:rPr>
                      <w:color w:val="FF0000"/>
                    </w:rPr>
                  </w:pPr>
                  <w:r>
                    <w:rPr>
                      <w:color w:val="000000"/>
                    </w:rPr>
                    <w:t>废活性炭</w:t>
                  </w:r>
                </w:p>
              </w:tc>
              <w:tc>
                <w:tcPr>
                  <w:tcW w:w="1391"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15.96</w:t>
                  </w:r>
                </w:p>
              </w:tc>
              <w:tc>
                <w:tcPr>
                  <w:tcW w:w="1314"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15.96</w:t>
                  </w:r>
                </w:p>
              </w:tc>
              <w:tc>
                <w:tcPr>
                  <w:tcW w:w="1205" w:type="dxa"/>
                  <w:tcMar>
                    <w:top w:w="15" w:type="dxa"/>
                    <w:left w:w="15" w:type="dxa"/>
                    <w:bottom w:w="15" w:type="dxa"/>
                    <w:right w:w="15" w:type="dxa"/>
                  </w:tcMar>
                  <w:vAlign w:val="center"/>
                </w:tcPr>
                <w:p>
                  <w:pPr>
                    <w:widowControl/>
                    <w:spacing w:line="320" w:lineRule="exact"/>
                    <w:jc w:val="center"/>
                    <w:textAlignment w:val="center"/>
                    <w:rPr>
                      <w:color w:val="000000" w:themeColor="text1"/>
                      <w:kern w:val="0"/>
                      <w:lang w:bidi="ar"/>
                      <w14:textFill>
                        <w14:solidFill>
                          <w14:schemeClr w14:val="tx1"/>
                        </w14:solidFill>
                      </w14:textFill>
                    </w:rPr>
                  </w:pPr>
                  <w:r>
                    <w:rPr>
                      <w:color w:val="000000" w:themeColor="text1"/>
                      <w14:textFill>
                        <w14:solidFill>
                          <w14:schemeClr w14:val="tx1"/>
                        </w14:solidFill>
                      </w14:textFill>
                    </w:rPr>
                    <w:t>+15.96</w:t>
                  </w:r>
                </w:p>
              </w:tc>
            </w:tr>
          </w:tbl>
          <w:p>
            <w:pPr>
              <w:spacing w:line="520" w:lineRule="exact"/>
              <w:rPr>
                <w:rFonts w:eastAsia="黑体"/>
                <w:szCs w:val="28"/>
              </w:rPr>
            </w:pPr>
            <w:r>
              <w:rPr>
                <w:rFonts w:eastAsia="黑体"/>
                <w:szCs w:val="28"/>
              </w:rPr>
              <w:t xml:space="preserve">   四、环境管理与监测计划</w:t>
            </w:r>
          </w:p>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1、环境管理</w:t>
            </w:r>
          </w:p>
          <w:p>
            <w:pPr>
              <w:spacing w:line="520" w:lineRule="exact"/>
              <w:ind w:firstLine="480" w:firstLineChars="200"/>
              <w:rPr>
                <w:sz w:val="24"/>
              </w:rPr>
            </w:pPr>
            <w:r>
              <w:rPr>
                <w:sz w:val="24"/>
              </w:rPr>
              <w:t>环境管理与监控室企业管理中的重要环节，在企业中，建立健全环保机构，加强环境管理工作，开展厂内环境监测、监督，并把环保工作纳入生产管理，对于减少企业污染物排放，促进资源的合理利用与回收，对提供经济效益和环境效益有着重要的意义。</w:t>
            </w:r>
          </w:p>
          <w:p>
            <w:pPr>
              <w:spacing w:line="460" w:lineRule="exact"/>
              <w:ind w:firstLine="480" w:firstLineChars="200"/>
              <w:rPr>
                <w:sz w:val="24"/>
              </w:rPr>
            </w:pPr>
            <w:r>
              <w:rPr>
                <w:sz w:val="24"/>
              </w:rPr>
              <w:t>（1）建立健全环境管理制度，并责任分配到人；</w:t>
            </w:r>
          </w:p>
          <w:p>
            <w:pPr>
              <w:spacing w:line="460" w:lineRule="exact"/>
              <w:ind w:firstLine="480" w:firstLineChars="200"/>
              <w:rPr>
                <w:sz w:val="24"/>
              </w:rPr>
            </w:pPr>
            <w:r>
              <w:rPr>
                <w:sz w:val="24"/>
              </w:rPr>
              <w:t>（2）确保环保设施正常运行，建立污染物浓度和排放总量双项控制制度；</w:t>
            </w:r>
          </w:p>
          <w:p>
            <w:pPr>
              <w:spacing w:line="460" w:lineRule="exact"/>
              <w:ind w:firstLine="480" w:firstLineChars="200"/>
              <w:rPr>
                <w:sz w:val="24"/>
              </w:rPr>
            </w:pPr>
            <w:r>
              <w:rPr>
                <w:sz w:val="24"/>
              </w:rPr>
              <w:t>（3）实行常规环境监测及数据反馈制度，建立监测数据库，掌握各项目环保设施的运行情况；</w:t>
            </w:r>
          </w:p>
          <w:p>
            <w:pPr>
              <w:spacing w:line="460" w:lineRule="exact"/>
              <w:ind w:firstLine="480" w:firstLineChars="200"/>
              <w:rPr>
                <w:sz w:val="24"/>
              </w:rPr>
            </w:pPr>
            <w:r>
              <w:rPr>
                <w:sz w:val="24"/>
              </w:rPr>
              <w:t>（4）做好污染事故的调查、应急处理及上报工作；</w:t>
            </w:r>
          </w:p>
          <w:p>
            <w:pPr>
              <w:spacing w:line="460" w:lineRule="exact"/>
              <w:ind w:firstLine="480" w:firstLineChars="200"/>
              <w:rPr>
                <w:sz w:val="24"/>
              </w:rPr>
            </w:pPr>
            <w:r>
              <w:rPr>
                <w:sz w:val="24"/>
              </w:rPr>
              <w:t>（5）加强员工环保宣传教育、提高环保技术。</w:t>
            </w:r>
          </w:p>
          <w:p>
            <w:pPr>
              <w:pStyle w:val="3"/>
              <w:spacing w:after="0" w:line="520" w:lineRule="exact"/>
              <w:ind w:left="0" w:leftChars="0" w:firstLine="480"/>
              <w:jc w:val="left"/>
              <w:rPr>
                <w:rFonts w:ascii="Times New Roman" w:hAnsi="Times New Roman"/>
                <w:b/>
                <w:sz w:val="24"/>
                <w:szCs w:val="20"/>
              </w:rPr>
            </w:pPr>
            <w:r>
              <w:rPr>
                <w:rFonts w:ascii="Times New Roman" w:hAnsi="Times New Roman"/>
                <w:b/>
                <w:sz w:val="24"/>
                <w:szCs w:val="20"/>
              </w:rPr>
              <w:t>2、环境监测计划</w:t>
            </w:r>
          </w:p>
          <w:p>
            <w:pPr>
              <w:spacing w:line="480" w:lineRule="exact"/>
              <w:ind w:firstLine="588" w:firstLineChars="245"/>
              <w:rPr>
                <w:sz w:val="24"/>
              </w:rPr>
            </w:pPr>
            <w:r>
              <w:rPr>
                <w:sz w:val="24"/>
              </w:rPr>
              <w:t>营运期的污染源监测具体见下表。</w:t>
            </w:r>
          </w:p>
          <w:p>
            <w:pPr>
              <w:ind w:firstLine="480" w:firstLineChars="200"/>
              <w:jc w:val="center"/>
              <w:rPr>
                <w:rFonts w:eastAsia="黑体"/>
                <w:color w:val="000000"/>
                <w:sz w:val="24"/>
              </w:rPr>
            </w:pPr>
            <w:r>
              <w:rPr>
                <w:rFonts w:eastAsia="黑体"/>
                <w:color w:val="000000"/>
                <w:sz w:val="24"/>
              </w:rPr>
              <w:t>表</w:t>
            </w:r>
            <w:r>
              <w:rPr>
                <w:rFonts w:hint="eastAsia" w:eastAsia="黑体"/>
                <w:color w:val="000000"/>
                <w:sz w:val="24"/>
              </w:rPr>
              <w:t>52</w:t>
            </w:r>
            <w:r>
              <w:rPr>
                <w:rFonts w:eastAsia="黑体"/>
                <w:color w:val="000000"/>
                <w:sz w:val="24"/>
              </w:rPr>
              <w:t xml:space="preserve">   营运期污染源监测一览表</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1"/>
              <w:gridCol w:w="672"/>
              <w:gridCol w:w="2118"/>
              <w:gridCol w:w="4664"/>
              <w:gridCol w:w="7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1" w:type="dxa"/>
                  <w:vAlign w:val="center"/>
                </w:tcPr>
                <w:p>
                  <w:pPr>
                    <w:widowControl/>
                    <w:jc w:val="center"/>
                    <w:rPr>
                      <w:kern w:val="0"/>
                    </w:rPr>
                  </w:pPr>
                  <w:r>
                    <w:rPr>
                      <w:kern w:val="0"/>
                    </w:rPr>
                    <w:t>序号</w:t>
                  </w:r>
                </w:p>
              </w:tc>
              <w:tc>
                <w:tcPr>
                  <w:tcW w:w="672" w:type="dxa"/>
                  <w:vAlign w:val="center"/>
                </w:tcPr>
                <w:p>
                  <w:pPr>
                    <w:widowControl/>
                    <w:jc w:val="center"/>
                    <w:rPr>
                      <w:kern w:val="0"/>
                    </w:rPr>
                  </w:pPr>
                  <w:r>
                    <w:rPr>
                      <w:kern w:val="0"/>
                    </w:rPr>
                    <w:t>类别</w:t>
                  </w:r>
                </w:p>
              </w:tc>
              <w:tc>
                <w:tcPr>
                  <w:tcW w:w="2118" w:type="dxa"/>
                  <w:vAlign w:val="center"/>
                </w:tcPr>
                <w:p>
                  <w:pPr>
                    <w:widowControl/>
                    <w:jc w:val="center"/>
                    <w:rPr>
                      <w:kern w:val="0"/>
                    </w:rPr>
                  </w:pPr>
                  <w:r>
                    <w:rPr>
                      <w:kern w:val="0"/>
                    </w:rPr>
                    <w:t>监测点名称</w:t>
                  </w:r>
                </w:p>
              </w:tc>
              <w:tc>
                <w:tcPr>
                  <w:tcW w:w="4664" w:type="dxa"/>
                  <w:vAlign w:val="center"/>
                </w:tcPr>
                <w:p>
                  <w:pPr>
                    <w:widowControl/>
                    <w:jc w:val="center"/>
                    <w:rPr>
                      <w:kern w:val="0"/>
                    </w:rPr>
                  </w:pPr>
                  <w:r>
                    <w:rPr>
                      <w:kern w:val="0"/>
                    </w:rPr>
                    <w:t>监测项目</w:t>
                  </w:r>
                </w:p>
              </w:tc>
              <w:tc>
                <w:tcPr>
                  <w:tcW w:w="728" w:type="dxa"/>
                  <w:vAlign w:val="center"/>
                </w:tcPr>
                <w:p>
                  <w:pPr>
                    <w:widowControl/>
                    <w:jc w:val="center"/>
                    <w:rPr>
                      <w:kern w:val="0"/>
                    </w:rPr>
                  </w:pPr>
                  <w:r>
                    <w:rPr>
                      <w:kern w:val="0"/>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1" w:type="dxa"/>
                  <w:vMerge w:val="restart"/>
                  <w:vAlign w:val="center"/>
                </w:tcPr>
                <w:p>
                  <w:pPr>
                    <w:jc w:val="center"/>
                    <w:rPr>
                      <w:kern w:val="0"/>
                    </w:rPr>
                  </w:pPr>
                  <w:r>
                    <w:rPr>
                      <w:kern w:val="0"/>
                    </w:rPr>
                    <w:t>1</w:t>
                  </w:r>
                </w:p>
              </w:tc>
              <w:tc>
                <w:tcPr>
                  <w:tcW w:w="672" w:type="dxa"/>
                  <w:vMerge w:val="restart"/>
                  <w:vAlign w:val="center"/>
                </w:tcPr>
                <w:p>
                  <w:pPr>
                    <w:jc w:val="center"/>
                    <w:rPr>
                      <w:kern w:val="0"/>
                    </w:rPr>
                  </w:pPr>
                  <w:r>
                    <w:rPr>
                      <w:kern w:val="0"/>
                    </w:rPr>
                    <w:t>废气</w:t>
                  </w:r>
                </w:p>
              </w:tc>
              <w:tc>
                <w:tcPr>
                  <w:tcW w:w="2118" w:type="dxa"/>
                  <w:vAlign w:val="center"/>
                </w:tcPr>
                <w:p>
                  <w:pPr>
                    <w:pStyle w:val="9"/>
                    <w:adjustRightInd w:val="0"/>
                    <w:snapToGrid w:val="0"/>
                    <w:jc w:val="center"/>
                    <w:rPr>
                      <w:sz w:val="21"/>
                      <w:szCs w:val="21"/>
                    </w:rPr>
                  </w:pPr>
                  <w:r>
                    <w:rPr>
                      <w:sz w:val="21"/>
                      <w:szCs w:val="21"/>
                    </w:rPr>
                    <w:t>排气筒</w:t>
                  </w:r>
                  <w:r>
                    <w:rPr>
                      <w:rFonts w:hint="eastAsia"/>
                      <w:sz w:val="21"/>
                      <w:szCs w:val="21"/>
                    </w:rPr>
                    <w:t>（P1、P2）</w:t>
                  </w:r>
                </w:p>
              </w:tc>
              <w:tc>
                <w:tcPr>
                  <w:tcW w:w="4664" w:type="dxa"/>
                  <w:vAlign w:val="center"/>
                </w:tcPr>
                <w:p>
                  <w:pPr>
                    <w:widowControl/>
                    <w:jc w:val="center"/>
                    <w:rPr>
                      <w:kern w:val="0"/>
                    </w:rPr>
                  </w:pPr>
                  <w:r>
                    <w:rPr>
                      <w:kern w:val="0"/>
                    </w:rPr>
                    <w:t>非甲烷总烃、甲苯、二甲苯、乙苯、颗粒物</w:t>
                  </w:r>
                </w:p>
              </w:tc>
              <w:tc>
                <w:tcPr>
                  <w:tcW w:w="728" w:type="dxa"/>
                  <w:vMerge w:val="restart"/>
                  <w:vAlign w:val="center"/>
                </w:tcPr>
                <w:p>
                  <w:pPr>
                    <w:jc w:val="center"/>
                  </w:pPr>
                  <w:r>
                    <w:t>2次/年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1" w:type="dxa"/>
                  <w:vMerge w:val="continue"/>
                  <w:vAlign w:val="center"/>
                </w:tcPr>
                <w:p>
                  <w:pPr>
                    <w:widowControl/>
                    <w:jc w:val="center"/>
                    <w:rPr>
                      <w:kern w:val="0"/>
                    </w:rPr>
                  </w:pPr>
                </w:p>
              </w:tc>
              <w:tc>
                <w:tcPr>
                  <w:tcW w:w="672" w:type="dxa"/>
                  <w:vMerge w:val="continue"/>
                  <w:vAlign w:val="center"/>
                </w:tcPr>
                <w:p>
                  <w:pPr>
                    <w:jc w:val="center"/>
                    <w:rPr>
                      <w:kern w:val="0"/>
                    </w:rPr>
                  </w:pPr>
                </w:p>
              </w:tc>
              <w:tc>
                <w:tcPr>
                  <w:tcW w:w="2118" w:type="dxa"/>
                  <w:vAlign w:val="center"/>
                </w:tcPr>
                <w:p>
                  <w:pPr>
                    <w:pStyle w:val="9"/>
                    <w:adjustRightInd w:val="0"/>
                    <w:snapToGrid w:val="0"/>
                    <w:jc w:val="center"/>
                    <w:rPr>
                      <w:sz w:val="21"/>
                      <w:szCs w:val="21"/>
                    </w:rPr>
                  </w:pPr>
                  <w:r>
                    <w:rPr>
                      <w:sz w:val="21"/>
                      <w:szCs w:val="21"/>
                    </w:rPr>
                    <w:t>厂界上风向1个</w:t>
                  </w:r>
                </w:p>
                <w:p>
                  <w:pPr>
                    <w:pStyle w:val="9"/>
                    <w:adjustRightInd w:val="0"/>
                    <w:snapToGrid w:val="0"/>
                    <w:jc w:val="center"/>
                    <w:rPr>
                      <w:kern w:val="0"/>
                      <w:sz w:val="21"/>
                      <w:szCs w:val="21"/>
                    </w:rPr>
                  </w:pPr>
                  <w:r>
                    <w:rPr>
                      <w:sz w:val="21"/>
                      <w:szCs w:val="21"/>
                    </w:rPr>
                    <w:t>厂界下风向3个</w:t>
                  </w:r>
                </w:p>
              </w:tc>
              <w:tc>
                <w:tcPr>
                  <w:tcW w:w="4664" w:type="dxa"/>
                  <w:vAlign w:val="center"/>
                </w:tcPr>
                <w:p>
                  <w:pPr>
                    <w:widowControl/>
                    <w:jc w:val="center"/>
                    <w:rPr>
                      <w:kern w:val="0"/>
                    </w:rPr>
                  </w:pPr>
                  <w:r>
                    <w:rPr>
                      <w:kern w:val="0"/>
                    </w:rPr>
                    <w:t>非甲烷总烃、甲苯、二甲苯、乙苯、颗粒物</w:t>
                  </w:r>
                </w:p>
              </w:tc>
              <w:tc>
                <w:tcPr>
                  <w:tcW w:w="728" w:type="dxa"/>
                  <w:vMerge w:val="continue"/>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601" w:type="dxa"/>
                  <w:vAlign w:val="center"/>
                </w:tcPr>
                <w:p>
                  <w:pPr>
                    <w:widowControl/>
                    <w:jc w:val="center"/>
                    <w:rPr>
                      <w:kern w:val="0"/>
                    </w:rPr>
                  </w:pPr>
                  <w:r>
                    <w:rPr>
                      <w:kern w:val="0"/>
                    </w:rPr>
                    <w:t>2</w:t>
                  </w:r>
                </w:p>
              </w:tc>
              <w:tc>
                <w:tcPr>
                  <w:tcW w:w="672" w:type="dxa"/>
                  <w:vAlign w:val="center"/>
                </w:tcPr>
                <w:p>
                  <w:pPr>
                    <w:widowControl/>
                    <w:jc w:val="center"/>
                    <w:rPr>
                      <w:kern w:val="0"/>
                    </w:rPr>
                  </w:pPr>
                  <w:r>
                    <w:rPr>
                      <w:kern w:val="0"/>
                    </w:rPr>
                    <w:t>废水</w:t>
                  </w:r>
                </w:p>
              </w:tc>
              <w:tc>
                <w:tcPr>
                  <w:tcW w:w="2118" w:type="dxa"/>
                  <w:vAlign w:val="center"/>
                </w:tcPr>
                <w:p>
                  <w:pPr>
                    <w:jc w:val="center"/>
                    <w:rPr>
                      <w:kern w:val="0"/>
                    </w:rPr>
                  </w:pPr>
                  <w:r>
                    <w:rPr>
                      <w:kern w:val="0"/>
                    </w:rPr>
                    <w:t>废水排出口</w:t>
                  </w:r>
                </w:p>
              </w:tc>
              <w:tc>
                <w:tcPr>
                  <w:tcW w:w="4664" w:type="dxa"/>
                  <w:vAlign w:val="center"/>
                </w:tcPr>
                <w:p>
                  <w:pPr>
                    <w:jc w:val="center"/>
                    <w:rPr>
                      <w:color w:val="FF0000"/>
                    </w:rPr>
                  </w:pPr>
                  <w:r>
                    <w:rPr>
                      <w:color w:val="000000" w:themeColor="text1"/>
                      <w14:textFill>
                        <w14:solidFill>
                          <w14:schemeClr w14:val="tx1"/>
                        </w14:solidFill>
                      </w14:textFill>
                    </w:rPr>
                    <w:t>COD、BOD</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、SS、NH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-N、TN、TP、LAS、石油类</w:t>
                  </w:r>
                </w:p>
              </w:tc>
              <w:tc>
                <w:tcPr>
                  <w:tcW w:w="728" w:type="dxa"/>
                  <w:vAlign w:val="center"/>
                </w:tcPr>
                <w:p>
                  <w:pPr>
                    <w:jc w:val="center"/>
                  </w:pPr>
                  <w:r>
                    <w:t>2次/年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1" w:type="dxa"/>
                  <w:vAlign w:val="center"/>
                </w:tcPr>
                <w:p>
                  <w:pPr>
                    <w:widowControl/>
                    <w:jc w:val="center"/>
                    <w:rPr>
                      <w:kern w:val="0"/>
                    </w:rPr>
                  </w:pPr>
                  <w:r>
                    <w:rPr>
                      <w:kern w:val="0"/>
                    </w:rPr>
                    <w:t>3</w:t>
                  </w:r>
                </w:p>
              </w:tc>
              <w:tc>
                <w:tcPr>
                  <w:tcW w:w="672" w:type="dxa"/>
                  <w:vAlign w:val="center"/>
                </w:tcPr>
                <w:p>
                  <w:pPr>
                    <w:widowControl/>
                    <w:jc w:val="center"/>
                    <w:rPr>
                      <w:kern w:val="0"/>
                    </w:rPr>
                  </w:pPr>
                  <w:r>
                    <w:rPr>
                      <w:kern w:val="0"/>
                    </w:rPr>
                    <w:t>厂界噪声</w:t>
                  </w:r>
                </w:p>
              </w:tc>
              <w:tc>
                <w:tcPr>
                  <w:tcW w:w="2118" w:type="dxa"/>
                  <w:vAlign w:val="center"/>
                </w:tcPr>
                <w:p>
                  <w:pPr>
                    <w:widowControl/>
                    <w:jc w:val="center"/>
                    <w:rPr>
                      <w:kern w:val="0"/>
                    </w:rPr>
                  </w:pPr>
                  <w:r>
                    <w:rPr>
                      <w:kern w:val="0"/>
                    </w:rPr>
                    <w:t>厂</w:t>
                  </w:r>
                  <w:r>
                    <w:rPr>
                      <w:kern w:val="0"/>
                      <w:highlight w:val="none"/>
                    </w:rPr>
                    <w:t>界</w:t>
                  </w:r>
                  <w:r>
                    <w:rPr>
                      <w:kern w:val="0"/>
                    </w:rPr>
                    <w:t>四周各1个监测点位（</w:t>
                  </w:r>
                  <w:r>
                    <w:rPr>
                      <w:rFonts w:hint="eastAsia"/>
                      <w:kern w:val="0"/>
                    </w:rPr>
                    <w:t>共4个</w:t>
                  </w:r>
                  <w:r>
                    <w:rPr>
                      <w:kern w:val="0"/>
                    </w:rPr>
                    <w:t>）</w:t>
                  </w:r>
                </w:p>
              </w:tc>
              <w:tc>
                <w:tcPr>
                  <w:tcW w:w="4664" w:type="dxa"/>
                  <w:vAlign w:val="center"/>
                </w:tcPr>
                <w:p>
                  <w:pPr>
                    <w:widowControl/>
                    <w:jc w:val="center"/>
                  </w:pPr>
                  <w:r>
                    <w:t>等效声级Leq dB（A）</w:t>
                  </w:r>
                </w:p>
              </w:tc>
              <w:tc>
                <w:tcPr>
                  <w:tcW w:w="728" w:type="dxa"/>
                  <w:vAlign w:val="center"/>
                </w:tcPr>
                <w:p>
                  <w:pPr>
                    <w:jc w:val="center"/>
                  </w:pPr>
                  <w:r>
                    <w:t>1次/季度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1" w:type="dxa"/>
                  <w:vAlign w:val="center"/>
                </w:tcPr>
                <w:p>
                  <w:pPr>
                    <w:widowControl/>
                    <w:jc w:val="center"/>
                    <w:rPr>
                      <w:kern w:val="0"/>
                    </w:rPr>
                  </w:pPr>
                  <w:r>
                    <w:rPr>
                      <w:rFonts w:hint="eastAsia"/>
                      <w:kern w:val="0"/>
                    </w:rPr>
                    <w:t>4</w:t>
                  </w:r>
                </w:p>
              </w:tc>
              <w:tc>
                <w:tcPr>
                  <w:tcW w:w="672" w:type="dxa"/>
                  <w:vAlign w:val="center"/>
                </w:tcPr>
                <w:p>
                  <w:pPr>
                    <w:widowControl/>
                    <w:jc w:val="center"/>
                    <w:rPr>
                      <w:kern w:val="0"/>
                    </w:rPr>
                  </w:pPr>
                  <w:r>
                    <w:rPr>
                      <w:rFonts w:hint="eastAsia"/>
                      <w:kern w:val="0"/>
                    </w:rPr>
                    <w:t>土壤环境</w:t>
                  </w:r>
                </w:p>
              </w:tc>
              <w:tc>
                <w:tcPr>
                  <w:tcW w:w="2118" w:type="dxa"/>
                  <w:vAlign w:val="center"/>
                </w:tcPr>
                <w:p>
                  <w:pPr>
                    <w:widowControl/>
                    <w:jc w:val="center"/>
                    <w:rPr>
                      <w:kern w:val="0"/>
                    </w:rPr>
                  </w:pPr>
                  <w:r>
                    <w:rPr>
                      <w:rFonts w:hint="eastAsia"/>
                      <w:kern w:val="0"/>
                    </w:rPr>
                    <w:t>厂界主导风向下风向</w:t>
                  </w:r>
                </w:p>
              </w:tc>
              <w:tc>
                <w:tcPr>
                  <w:tcW w:w="4664" w:type="dxa"/>
                  <w:vAlign w:val="center"/>
                </w:tcPr>
                <w:p>
                  <w:pPr>
                    <w:widowControl/>
                    <w:jc w:val="center"/>
                  </w:pPr>
                  <w:r>
                    <w:rPr>
                      <w:color w:val="000000" w:themeColor="text1"/>
                      <w14:textFill>
                        <w14:solidFill>
                          <w14:schemeClr w14:val="tx1"/>
                        </w14:solidFill>
                      </w14:textFill>
                    </w:rPr>
                    <w:t>乙苯、甲苯、间二甲苯+对二甲苯、邻二甲苯</w:t>
                  </w:r>
                </w:p>
              </w:tc>
              <w:tc>
                <w:tcPr>
                  <w:tcW w:w="728" w:type="dxa"/>
                  <w:vAlign w:val="center"/>
                </w:tcPr>
                <w:p>
                  <w:pPr>
                    <w:jc w:val="center"/>
                  </w:pPr>
                  <w:r>
                    <w:rPr>
                      <w:rFonts w:hint="eastAsia"/>
                    </w:rPr>
                    <w:t>1次/5年</w:t>
                  </w:r>
                </w:p>
              </w:tc>
            </w:tr>
          </w:tbl>
          <w:p>
            <w:pPr>
              <w:spacing w:line="520" w:lineRule="exact"/>
              <w:rPr>
                <w:rFonts w:eastAsia="黑体"/>
                <w:szCs w:val="28"/>
              </w:rPr>
            </w:pPr>
            <w:r>
              <w:rPr>
                <w:rFonts w:eastAsia="黑体"/>
                <w:szCs w:val="28"/>
              </w:rPr>
              <w:t xml:space="preserve">   五、环保投资</w:t>
            </w:r>
          </w:p>
          <w:p>
            <w:pPr>
              <w:pStyle w:val="2"/>
              <w:spacing w:after="0" w:line="520" w:lineRule="exact"/>
              <w:ind w:left="0" w:leftChars="0" w:firstLine="480"/>
              <w:rPr>
                <w:rFonts w:ascii="Times New Roman" w:hAnsi="Times New Roman"/>
                <w:color w:val="000000" w:themeColor="text1"/>
                <w14:textFill>
                  <w14:solidFill>
                    <w14:schemeClr w14:val="tx1"/>
                  </w14:solidFill>
                </w14:textFill>
              </w:rPr>
            </w:pPr>
            <w:r>
              <w:rPr>
                <w:rFonts w:ascii="Times New Roman" w:hAnsi="Times New Roman"/>
                <w:sz w:val="24"/>
              </w:rPr>
              <w:t>本项目总投资750万元，其</w:t>
            </w:r>
            <w:r>
              <w:rPr>
                <w:rFonts w:ascii="Times New Roman" w:hAnsi="Times New Roman"/>
                <w:color w:val="000000" w:themeColor="text1"/>
                <w:sz w:val="24"/>
                <w14:textFill>
                  <w14:solidFill>
                    <w14:schemeClr w14:val="tx1"/>
                  </w14:solidFill>
                </w14:textFill>
              </w:rPr>
              <w:t>中环保投入</w:t>
            </w:r>
            <w:r>
              <w:rPr>
                <w:rFonts w:hint="eastAsia" w:ascii="Times New Roman" w:hAnsi="Times New Roman"/>
                <w:color w:val="000000" w:themeColor="text1"/>
                <w:sz w:val="24"/>
                <w14:textFill>
                  <w14:solidFill>
                    <w14:schemeClr w14:val="tx1"/>
                  </w14:solidFill>
                </w14:textFill>
              </w:rPr>
              <w:t>510</w:t>
            </w:r>
            <w:r>
              <w:rPr>
                <w:rFonts w:ascii="Times New Roman" w:hAnsi="Times New Roman"/>
                <w:color w:val="000000" w:themeColor="text1"/>
                <w:sz w:val="24"/>
                <w14:textFill>
                  <w14:solidFill>
                    <w14:schemeClr w14:val="tx1"/>
                  </w14:solidFill>
                </w14:textFill>
              </w:rPr>
              <w:t>万元，占总投资的6</w:t>
            </w:r>
            <w:r>
              <w:rPr>
                <w:rFonts w:hint="eastAsia" w:ascii="Times New Roman" w:hAnsi="Times New Roman"/>
                <w:color w:val="000000" w:themeColor="text1"/>
                <w:sz w:val="24"/>
                <w14:textFill>
                  <w14:solidFill>
                    <w14:schemeClr w14:val="tx1"/>
                  </w14:solidFill>
                </w14:textFill>
              </w:rPr>
              <w:t>8</w:t>
            </w:r>
            <w:r>
              <w:rPr>
                <w:rFonts w:ascii="Times New Roman" w:hAnsi="Times New Roman"/>
                <w:color w:val="000000" w:themeColor="text1"/>
                <w:sz w:val="24"/>
                <w14:textFill>
                  <w14:solidFill>
                    <w14:schemeClr w14:val="tx1"/>
                  </w14:solidFill>
                </w14:textFill>
              </w:rPr>
              <w:t>%，环保投入情况见下表。</w:t>
            </w:r>
          </w:p>
          <w:p>
            <w:pPr>
              <w:pStyle w:val="60"/>
              <w:spacing w:line="520" w:lineRule="exact"/>
              <w:rPr>
                <w:rFonts w:eastAsia="宋体"/>
                <w:b/>
                <w:color w:val="000000" w:themeColor="text1"/>
                <w:szCs w:val="22"/>
                <w14:textFill>
                  <w14:solidFill>
                    <w14:schemeClr w14:val="tx1"/>
                  </w14:solidFill>
                </w14:textFill>
              </w:rPr>
            </w:pPr>
            <w:r>
              <w:rPr>
                <w:rFonts w:eastAsia="宋体"/>
                <w:b/>
                <w:color w:val="000000" w:themeColor="text1"/>
                <w:szCs w:val="22"/>
                <w14:textFill>
                  <w14:solidFill>
                    <w14:schemeClr w14:val="tx1"/>
                  </w14:solidFill>
                </w14:textFill>
              </w:rPr>
              <w:t>表</w:t>
            </w:r>
            <w:r>
              <w:rPr>
                <w:rFonts w:hint="eastAsia" w:eastAsia="宋体"/>
                <w:b/>
                <w:color w:val="000000" w:themeColor="text1"/>
                <w:szCs w:val="22"/>
                <w14:textFill>
                  <w14:solidFill>
                    <w14:schemeClr w14:val="tx1"/>
                  </w14:solidFill>
                </w14:textFill>
              </w:rPr>
              <w:t>53</w:t>
            </w:r>
            <w:r>
              <w:rPr>
                <w:rFonts w:eastAsia="宋体"/>
                <w:b/>
                <w:color w:val="000000" w:themeColor="text1"/>
                <w:szCs w:val="22"/>
                <w14:textFill>
                  <w14:solidFill>
                    <w14:schemeClr w14:val="tx1"/>
                  </w14:solidFill>
                </w14:textFill>
              </w:rPr>
              <w:t xml:space="preserve">  项目环境保护投资一览表</w:t>
            </w:r>
          </w:p>
          <w:tbl>
            <w:tblPr>
              <w:tblStyle w:val="38"/>
              <w:tblW w:w="8783"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705"/>
              <w:gridCol w:w="1122"/>
              <w:gridCol w:w="4847"/>
              <w:gridCol w:w="787"/>
              <w:gridCol w:w="1322"/>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402" w:hRule="atLeast"/>
              </w:trPr>
              <w:tc>
                <w:tcPr>
                  <w:tcW w:w="705" w:type="dxa"/>
                  <w:vAlign w:val="center"/>
                </w:tcPr>
                <w:p>
                  <w:pPr>
                    <w:spacing w:line="320" w:lineRule="exact"/>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序号</w:t>
                  </w:r>
                </w:p>
              </w:tc>
              <w:tc>
                <w:tcPr>
                  <w:tcW w:w="1122" w:type="dxa"/>
                  <w:vAlign w:val="center"/>
                </w:tcPr>
                <w:p>
                  <w:pPr>
                    <w:spacing w:line="320" w:lineRule="exact"/>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工程或费用名称</w:t>
                  </w:r>
                </w:p>
              </w:tc>
              <w:tc>
                <w:tcPr>
                  <w:tcW w:w="4847" w:type="dxa"/>
                  <w:vAlign w:val="center"/>
                </w:tcPr>
                <w:p>
                  <w:pPr>
                    <w:spacing w:line="320" w:lineRule="exact"/>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处理措施与设施</w:t>
                  </w:r>
                </w:p>
              </w:tc>
              <w:tc>
                <w:tcPr>
                  <w:tcW w:w="787" w:type="dxa"/>
                  <w:vAlign w:val="center"/>
                </w:tcPr>
                <w:p>
                  <w:pPr>
                    <w:spacing w:line="320" w:lineRule="exact"/>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数量</w:t>
                  </w:r>
                </w:p>
              </w:tc>
              <w:tc>
                <w:tcPr>
                  <w:tcW w:w="1322" w:type="dxa"/>
                  <w:vAlign w:val="center"/>
                </w:tcPr>
                <w:p>
                  <w:pPr>
                    <w:spacing w:line="320" w:lineRule="exact"/>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合计</w:t>
                  </w:r>
                </w:p>
                <w:p>
                  <w:pPr>
                    <w:spacing w:line="320" w:lineRule="exact"/>
                    <w:jc w:val="center"/>
                    <w:rPr>
                      <w:color w:val="000000" w:themeColor="text1"/>
                      <w14:textFill>
                        <w14:solidFill>
                          <w14:schemeClr w14:val="tx1"/>
                        </w14:solidFill>
                      </w14:textFill>
                    </w:rPr>
                  </w:pPr>
                  <w:r>
                    <w:rPr>
                      <w:b/>
                      <w:bCs/>
                      <w:color w:val="000000" w:themeColor="text1"/>
                      <w:kern w:val="0"/>
                      <w14:textFill>
                        <w14:solidFill>
                          <w14:schemeClr w14:val="tx1"/>
                        </w14:solidFill>
                      </w14:textFill>
                    </w:rPr>
                    <w:t>（万元）</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705"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w:t>
                  </w:r>
                </w:p>
              </w:tc>
              <w:tc>
                <w:tcPr>
                  <w:tcW w:w="1122" w:type="dxa"/>
                  <w:vMerge w:val="restart"/>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废气处理设施</w:t>
                  </w:r>
                </w:p>
              </w:tc>
              <w:tc>
                <w:tcPr>
                  <w:tcW w:w="4847"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排风集气箱</w:t>
                  </w:r>
                </w:p>
              </w:tc>
              <w:tc>
                <w:tcPr>
                  <w:tcW w:w="787"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w:t>
                  </w:r>
                  <w:r>
                    <w:rPr>
                      <w:color w:val="000000" w:themeColor="text1"/>
                      <w:kern w:val="0"/>
                      <w14:textFill>
                        <w14:solidFill>
                          <w14:schemeClr w14:val="tx1"/>
                        </w14:solidFill>
                      </w14:textFill>
                    </w:rPr>
                    <w:t>套</w:t>
                  </w:r>
                </w:p>
              </w:tc>
              <w:tc>
                <w:tcPr>
                  <w:tcW w:w="1322"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80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705"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w:t>
                  </w:r>
                </w:p>
              </w:tc>
              <w:tc>
                <w:tcPr>
                  <w:tcW w:w="1122" w:type="dxa"/>
                  <w:vMerge w:val="continue"/>
                  <w:vAlign w:val="center"/>
                </w:tcPr>
                <w:p>
                  <w:pPr>
                    <w:spacing w:line="320" w:lineRule="exact"/>
                    <w:jc w:val="center"/>
                    <w:rPr>
                      <w:color w:val="000000" w:themeColor="text1"/>
                      <w:kern w:val="0"/>
                      <w14:textFill>
                        <w14:solidFill>
                          <w14:schemeClr w14:val="tx1"/>
                        </w14:solidFill>
                      </w14:textFill>
                    </w:rPr>
                  </w:pP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活性炭吸附箱</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6套</w:t>
                  </w:r>
                </w:p>
              </w:tc>
              <w:tc>
                <w:tcPr>
                  <w:tcW w:w="1322"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w:t>
                  </w:r>
                  <w:r>
                    <w:rPr>
                      <w:rFonts w:hint="eastAsia"/>
                      <w:color w:val="000000" w:themeColor="text1"/>
                      <w:kern w:val="0"/>
                      <w14:textFill>
                        <w14:solidFill>
                          <w14:schemeClr w14:val="tx1"/>
                        </w14:solidFill>
                      </w14:textFill>
                    </w:rPr>
                    <w:t>76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197" w:hRule="atLeast"/>
              </w:trPr>
              <w:tc>
                <w:tcPr>
                  <w:tcW w:w="705"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w:t>
                  </w:r>
                </w:p>
              </w:tc>
              <w:tc>
                <w:tcPr>
                  <w:tcW w:w="1122" w:type="dxa"/>
                  <w:vMerge w:val="continue"/>
                  <w:vAlign w:val="center"/>
                </w:tcPr>
                <w:p>
                  <w:pPr>
                    <w:spacing w:line="320" w:lineRule="exact"/>
                    <w:jc w:val="center"/>
                    <w:rPr>
                      <w:color w:val="000000" w:themeColor="text1"/>
                      <w:kern w:val="0"/>
                      <w14:textFill>
                        <w14:solidFill>
                          <w14:schemeClr w14:val="tx1"/>
                        </w14:solidFill>
                      </w14:textFill>
                    </w:rPr>
                  </w:pP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15m排气筒</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14:textFill>
                        <w14:solidFill>
                          <w14:schemeClr w14:val="tx1"/>
                        </w14:solidFill>
                      </w14:textFill>
                    </w:rPr>
                    <w:t>2根</w:t>
                  </w:r>
                </w:p>
              </w:tc>
              <w:tc>
                <w:tcPr>
                  <w:tcW w:w="1322"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705"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4</w:t>
                  </w:r>
                </w:p>
              </w:tc>
              <w:tc>
                <w:tcPr>
                  <w:tcW w:w="1122" w:type="dxa"/>
                  <w:vMerge w:val="restart"/>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废水处理</w:t>
                  </w:r>
                </w:p>
              </w:tc>
              <w:tc>
                <w:tcPr>
                  <w:tcW w:w="4847"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化粪池</w:t>
                  </w:r>
                  <w:r>
                    <w:rPr>
                      <w:rFonts w:hint="eastAsia"/>
                      <w:color w:val="000000" w:themeColor="text1"/>
                      <w14:textFill>
                        <w14:solidFill>
                          <w14:schemeClr w14:val="tx1"/>
                        </w14:solidFill>
                      </w14:textFill>
                    </w:rPr>
                    <w:t>（依托）</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322"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705"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w:t>
                  </w:r>
                </w:p>
              </w:tc>
              <w:tc>
                <w:tcPr>
                  <w:tcW w:w="1122" w:type="dxa"/>
                  <w:vMerge w:val="continue"/>
                  <w:vAlign w:val="center"/>
                </w:tcPr>
                <w:p>
                  <w:pPr>
                    <w:spacing w:line="320" w:lineRule="exact"/>
                    <w:jc w:val="center"/>
                    <w:rPr>
                      <w:color w:val="000000" w:themeColor="text1"/>
                      <w:kern w:val="0"/>
                      <w14:textFill>
                        <w14:solidFill>
                          <w14:schemeClr w14:val="tx1"/>
                        </w14:solidFill>
                      </w14:textFill>
                    </w:rPr>
                  </w:pPr>
                </w:p>
              </w:tc>
              <w:tc>
                <w:tcPr>
                  <w:tcW w:w="4847" w:type="dxa"/>
                  <w:vAlign w:val="center"/>
                </w:tcPr>
                <w:p>
                  <w:pPr>
                    <w:spacing w:line="320" w:lineRule="exact"/>
                    <w:jc w:val="center"/>
                    <w:rPr>
                      <w:color w:val="000000" w:themeColor="text1"/>
                      <w14:textFill>
                        <w14:solidFill>
                          <w14:schemeClr w14:val="tx1"/>
                        </w14:solidFill>
                      </w14:textFill>
                    </w:rPr>
                  </w:pPr>
                  <w:r>
                    <w:rPr>
                      <w:color w:val="000000" w:themeColor="text1"/>
                      <w14:textFill>
                        <w14:solidFill>
                          <w14:schemeClr w14:val="tx1"/>
                        </w14:solidFill>
                      </w14:textFill>
                    </w:rPr>
                    <w:t>过滤桶</w:t>
                  </w:r>
                </w:p>
              </w:tc>
              <w:tc>
                <w:tcPr>
                  <w:tcW w:w="787" w:type="dxa"/>
                  <w:vAlign w:val="center"/>
                </w:tcPr>
                <w:p>
                  <w:pPr>
                    <w:spacing w:line="320" w:lineRule="exact"/>
                    <w:jc w:val="center"/>
                    <w:rPr>
                      <w:color w:val="000000" w:themeColor="text1"/>
                      <w:kern w:val="0"/>
                      <w14:textFill>
                        <w14:solidFill>
                          <w14:schemeClr w14:val="tx1"/>
                        </w14:solidFill>
                      </w14:textFill>
                    </w:rPr>
                  </w:pPr>
                </w:p>
              </w:tc>
              <w:tc>
                <w:tcPr>
                  <w:tcW w:w="1322"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705"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w:t>
                  </w:r>
                </w:p>
              </w:tc>
              <w:tc>
                <w:tcPr>
                  <w:tcW w:w="1122"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噪声防治措施</w:t>
                  </w: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14:textFill>
                        <w14:solidFill>
                          <w14:schemeClr w14:val="tx1"/>
                        </w14:solidFill>
                      </w14:textFill>
                    </w:rPr>
                    <w:t>基础减振，隔声等</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若干</w:t>
                  </w:r>
                </w:p>
              </w:tc>
              <w:tc>
                <w:tcPr>
                  <w:tcW w:w="1322" w:type="dxa"/>
                  <w:vAlign w:val="center"/>
                </w:tcPr>
                <w:p>
                  <w:pPr>
                    <w:spacing w:line="320" w:lineRule="exact"/>
                    <w:jc w:val="center"/>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49" w:hRule="atLeast"/>
              </w:trPr>
              <w:tc>
                <w:tcPr>
                  <w:tcW w:w="705"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7</w:t>
                  </w:r>
                </w:p>
              </w:tc>
              <w:tc>
                <w:tcPr>
                  <w:tcW w:w="1122" w:type="dxa"/>
                  <w:vMerge w:val="restart"/>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固体废物处置</w:t>
                  </w: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一般固废收集装置</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若干</w:t>
                  </w:r>
                </w:p>
              </w:tc>
              <w:tc>
                <w:tcPr>
                  <w:tcW w:w="1322" w:type="dxa"/>
                  <w:vAlign w:val="center"/>
                </w:tcPr>
                <w:p>
                  <w:pPr>
                    <w:spacing w:line="320" w:lineRule="exact"/>
                    <w:jc w:val="center"/>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705" w:type="dxa"/>
                  <w:vAlign w:val="center"/>
                </w:tcPr>
                <w:p>
                  <w:pPr>
                    <w:spacing w:line="320" w:lineRule="exact"/>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8</w:t>
                  </w:r>
                </w:p>
              </w:tc>
              <w:tc>
                <w:tcPr>
                  <w:tcW w:w="1122" w:type="dxa"/>
                  <w:vMerge w:val="continue"/>
                  <w:vAlign w:val="center"/>
                </w:tcPr>
                <w:p>
                  <w:pPr>
                    <w:spacing w:line="320" w:lineRule="exact"/>
                    <w:jc w:val="center"/>
                    <w:rPr>
                      <w:color w:val="000000" w:themeColor="text1"/>
                      <w:kern w:val="0"/>
                      <w14:textFill>
                        <w14:solidFill>
                          <w14:schemeClr w14:val="tx1"/>
                        </w14:solidFill>
                      </w14:textFill>
                    </w:rPr>
                  </w:pP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垃圾桶</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若干</w:t>
                  </w:r>
                </w:p>
              </w:tc>
              <w:tc>
                <w:tcPr>
                  <w:tcW w:w="1322"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705"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w:t>
                  </w:r>
                </w:p>
              </w:tc>
              <w:tc>
                <w:tcPr>
                  <w:tcW w:w="1122" w:type="dxa"/>
                  <w:vMerge w:val="continue"/>
                  <w:vAlign w:val="center"/>
                </w:tcPr>
                <w:p>
                  <w:pPr>
                    <w:spacing w:line="320" w:lineRule="exact"/>
                    <w:jc w:val="center"/>
                    <w:rPr>
                      <w:color w:val="000000" w:themeColor="text1"/>
                      <w:kern w:val="0"/>
                      <w14:textFill>
                        <w14:solidFill>
                          <w14:schemeClr w14:val="tx1"/>
                        </w14:solidFill>
                      </w14:textFill>
                    </w:rPr>
                  </w:pPr>
                </w:p>
              </w:tc>
              <w:tc>
                <w:tcPr>
                  <w:tcW w:w="484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危废贮存容器、危废暂存间（改造）</w:t>
                  </w:r>
                </w:p>
              </w:tc>
              <w:tc>
                <w:tcPr>
                  <w:tcW w:w="787"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1处</w:t>
                  </w:r>
                </w:p>
              </w:tc>
              <w:tc>
                <w:tcPr>
                  <w:tcW w:w="1322" w:type="dxa"/>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78" w:hRule="atLeast"/>
              </w:trPr>
              <w:tc>
                <w:tcPr>
                  <w:tcW w:w="7461" w:type="dxa"/>
                  <w:gridSpan w:val="4"/>
                  <w:vAlign w:val="center"/>
                </w:tcPr>
                <w:p>
                  <w:pPr>
                    <w:spacing w:line="32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 xml:space="preserve">总计 </w:t>
                  </w:r>
                </w:p>
              </w:tc>
              <w:tc>
                <w:tcPr>
                  <w:tcW w:w="1322" w:type="dxa"/>
                  <w:vAlign w:val="center"/>
                </w:tcPr>
                <w:p>
                  <w:pPr>
                    <w:spacing w:line="320" w:lineRule="exact"/>
                    <w:jc w:val="center"/>
                    <w:rPr>
                      <w:color w:val="000000" w:themeColor="text1"/>
                      <w14:textFill>
                        <w14:solidFill>
                          <w14:schemeClr w14:val="tx1"/>
                        </w14:solidFill>
                      </w14:textFill>
                    </w:rPr>
                  </w:pPr>
                  <w:r>
                    <w:rPr>
                      <w:color w:val="000000" w:themeColor="text1"/>
                      <w:kern w:val="0"/>
                      <w14:textFill>
                        <w14:solidFill>
                          <w14:schemeClr w14:val="tx1"/>
                        </w14:solidFill>
                      </w14:textFill>
                    </w:rPr>
                    <w:t>510</w:t>
                  </w:r>
                </w:p>
              </w:tc>
            </w:tr>
          </w:tbl>
          <w:p>
            <w:pPr>
              <w:pStyle w:val="9"/>
              <w:adjustRightInd w:val="0"/>
              <w:snapToGrid w:val="0"/>
              <w:spacing w:line="520" w:lineRule="exact"/>
              <w:jc w:val="left"/>
              <w:rPr>
                <w:rFonts w:eastAsia="黑体"/>
                <w:szCs w:val="28"/>
              </w:rPr>
            </w:pPr>
            <w:r>
              <w:rPr>
                <w:rFonts w:eastAsia="黑体"/>
                <w:szCs w:val="28"/>
              </w:rPr>
              <w:t xml:space="preserve">   六、环境保护设施清单</w:t>
            </w:r>
          </w:p>
          <w:p>
            <w:pPr>
              <w:spacing w:line="520" w:lineRule="exact"/>
              <w:ind w:firstLine="480" w:firstLineChars="200"/>
              <w:rPr>
                <w:sz w:val="24"/>
              </w:rPr>
            </w:pPr>
            <w:r>
              <w:rPr>
                <w:sz w:val="24"/>
              </w:rPr>
              <w:t>根据现行竣工环境保护验收监测要求，本项目环保设施及验收清单见表5</w:t>
            </w:r>
            <w:r>
              <w:rPr>
                <w:rFonts w:hint="eastAsia"/>
                <w:sz w:val="24"/>
              </w:rPr>
              <w:t>4</w:t>
            </w:r>
            <w:r>
              <w:rPr>
                <w:sz w:val="24"/>
              </w:rPr>
              <w:t>。</w:t>
            </w:r>
          </w:p>
          <w:p>
            <w:pPr>
              <w:adjustRightInd w:val="0"/>
              <w:snapToGrid w:val="0"/>
              <w:jc w:val="center"/>
              <w:rPr>
                <w:rFonts w:eastAsia="黑体"/>
                <w:sz w:val="24"/>
              </w:rPr>
            </w:pPr>
            <w:r>
              <w:rPr>
                <w:rFonts w:eastAsia="黑体"/>
                <w:sz w:val="24"/>
              </w:rPr>
              <w:t>表5</w:t>
            </w:r>
            <w:r>
              <w:rPr>
                <w:rFonts w:hint="eastAsia" w:eastAsia="黑体"/>
                <w:sz w:val="24"/>
              </w:rPr>
              <w:t>4</w:t>
            </w:r>
            <w:r>
              <w:rPr>
                <w:rFonts w:eastAsia="黑体"/>
                <w:sz w:val="24"/>
              </w:rPr>
              <w:t xml:space="preserve">   环境保护设施及验收清单</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42"/>
              <w:gridCol w:w="439"/>
              <w:gridCol w:w="806"/>
              <w:gridCol w:w="2435"/>
              <w:gridCol w:w="564"/>
              <w:gridCol w:w="1372"/>
              <w:gridCol w:w="28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31" w:hRule="atLeast"/>
                <w:jc w:val="center"/>
              </w:trPr>
              <w:tc>
                <w:tcPr>
                  <w:tcW w:w="342" w:type="dxa"/>
                  <w:vAlign w:val="center"/>
                </w:tcPr>
                <w:p>
                  <w:pPr>
                    <w:jc w:val="center"/>
                    <w:rPr>
                      <w:b/>
                    </w:rPr>
                  </w:pPr>
                  <w:r>
                    <w:rPr>
                      <w:b/>
                    </w:rPr>
                    <w:t>类别</w:t>
                  </w:r>
                </w:p>
              </w:tc>
              <w:tc>
                <w:tcPr>
                  <w:tcW w:w="439" w:type="dxa"/>
                  <w:vAlign w:val="center"/>
                </w:tcPr>
                <w:p>
                  <w:pPr>
                    <w:jc w:val="center"/>
                    <w:rPr>
                      <w:b/>
                    </w:rPr>
                  </w:pPr>
                  <w:r>
                    <w:rPr>
                      <w:b/>
                    </w:rPr>
                    <w:t>治理</w:t>
                  </w:r>
                </w:p>
                <w:p>
                  <w:pPr>
                    <w:jc w:val="center"/>
                    <w:rPr>
                      <w:b/>
                    </w:rPr>
                  </w:pPr>
                  <w:r>
                    <w:rPr>
                      <w:b/>
                    </w:rPr>
                    <w:t>项目</w:t>
                  </w:r>
                </w:p>
              </w:tc>
              <w:tc>
                <w:tcPr>
                  <w:tcW w:w="806" w:type="dxa"/>
                  <w:vAlign w:val="center"/>
                </w:tcPr>
                <w:p>
                  <w:pPr>
                    <w:jc w:val="center"/>
                    <w:rPr>
                      <w:b/>
                    </w:rPr>
                  </w:pPr>
                  <w:r>
                    <w:rPr>
                      <w:b/>
                    </w:rPr>
                    <w:t>污染源</w:t>
                  </w:r>
                </w:p>
                <w:p>
                  <w:pPr>
                    <w:jc w:val="center"/>
                    <w:rPr>
                      <w:b/>
                    </w:rPr>
                  </w:pPr>
                  <w:r>
                    <w:rPr>
                      <w:b/>
                    </w:rPr>
                    <w:t>位置</w:t>
                  </w:r>
                </w:p>
              </w:tc>
              <w:tc>
                <w:tcPr>
                  <w:tcW w:w="2435" w:type="dxa"/>
                  <w:vAlign w:val="center"/>
                </w:tcPr>
                <w:p>
                  <w:pPr>
                    <w:jc w:val="center"/>
                    <w:rPr>
                      <w:b/>
                    </w:rPr>
                  </w:pPr>
                  <w:r>
                    <w:rPr>
                      <w:b/>
                    </w:rPr>
                    <w:t>环保设施或措施</w:t>
                  </w:r>
                </w:p>
              </w:tc>
              <w:tc>
                <w:tcPr>
                  <w:tcW w:w="564" w:type="dxa"/>
                  <w:vAlign w:val="center"/>
                </w:tcPr>
                <w:p>
                  <w:pPr>
                    <w:jc w:val="center"/>
                    <w:rPr>
                      <w:b/>
                    </w:rPr>
                  </w:pPr>
                  <w:r>
                    <w:rPr>
                      <w:b/>
                    </w:rPr>
                    <w:t>数量</w:t>
                  </w:r>
                </w:p>
                <w:p>
                  <w:pPr>
                    <w:jc w:val="center"/>
                    <w:rPr>
                      <w:b/>
                    </w:rPr>
                  </w:pPr>
                  <w:r>
                    <w:rPr>
                      <w:b/>
                    </w:rPr>
                    <w:t>台/套</w:t>
                  </w:r>
                </w:p>
              </w:tc>
              <w:tc>
                <w:tcPr>
                  <w:tcW w:w="1372" w:type="dxa"/>
                  <w:vAlign w:val="center"/>
                </w:tcPr>
                <w:p>
                  <w:pPr>
                    <w:jc w:val="center"/>
                    <w:rPr>
                      <w:b/>
                    </w:rPr>
                  </w:pPr>
                  <w:r>
                    <w:rPr>
                      <w:b/>
                    </w:rPr>
                    <w:t>治理要求</w:t>
                  </w:r>
                </w:p>
              </w:tc>
              <w:tc>
                <w:tcPr>
                  <w:tcW w:w="2825" w:type="dxa"/>
                  <w:vAlign w:val="center"/>
                </w:tcPr>
                <w:p>
                  <w:pPr>
                    <w:jc w:val="center"/>
                    <w:rPr>
                      <w:b/>
                    </w:rPr>
                  </w:pPr>
                  <w:r>
                    <w:rPr>
                      <w:b/>
                    </w:rPr>
                    <w:t>验收标准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09" w:hRule="atLeast"/>
                <w:jc w:val="center"/>
              </w:trPr>
              <w:tc>
                <w:tcPr>
                  <w:tcW w:w="342" w:type="dxa"/>
                  <w:vMerge w:val="restart"/>
                  <w:vAlign w:val="center"/>
                </w:tcPr>
                <w:p>
                  <w:pPr>
                    <w:jc w:val="center"/>
                  </w:pPr>
                  <w:r>
                    <w:t>废气</w:t>
                  </w:r>
                </w:p>
              </w:tc>
              <w:tc>
                <w:tcPr>
                  <w:tcW w:w="439" w:type="dxa"/>
                  <w:vAlign w:val="center"/>
                </w:tcPr>
                <w:p>
                  <w:pPr>
                    <w:jc w:val="center"/>
                  </w:pPr>
                  <w:r>
                    <w:rPr>
                      <w:bCs/>
                    </w:rPr>
                    <w:t>打磨粉尘</w:t>
                  </w:r>
                </w:p>
              </w:tc>
              <w:tc>
                <w:tcPr>
                  <w:tcW w:w="806" w:type="dxa"/>
                  <w:vAlign w:val="center"/>
                </w:tcPr>
                <w:p>
                  <w:r>
                    <w:rPr>
                      <w:bCs/>
                    </w:rPr>
                    <w:t xml:space="preserve">   机库</w:t>
                  </w:r>
                </w:p>
              </w:tc>
              <w:tc>
                <w:tcPr>
                  <w:tcW w:w="2435" w:type="dxa"/>
                  <w:vAlign w:val="center"/>
                </w:tcPr>
                <w:p>
                  <w:pPr>
                    <w:jc w:val="center"/>
                  </w:pPr>
                  <w:r>
                    <w:t>“</w:t>
                  </w:r>
                  <w:r>
                    <w:rPr>
                      <w:rFonts w:hint="eastAsia"/>
                    </w:rPr>
                    <w:t>排风集气箱</w:t>
                  </w:r>
                  <w:r>
                    <w:t>+</w:t>
                  </w:r>
                  <w:r>
                    <w:rPr>
                      <w:rFonts w:hint="eastAsia"/>
                    </w:rPr>
                    <w:t>干式</w:t>
                  </w:r>
                  <w:r>
                    <w:t xml:space="preserve">过滤器” </w:t>
                  </w:r>
                  <w:r>
                    <w:rPr>
                      <w:rFonts w:hint="eastAsia"/>
                    </w:rPr>
                    <w:t>（6套）</w:t>
                  </w:r>
                  <w:r>
                    <w:t>+15m高排气筒（P1、P2）</w:t>
                  </w:r>
                </w:p>
              </w:tc>
              <w:tc>
                <w:tcPr>
                  <w:tcW w:w="564" w:type="dxa"/>
                  <w:vAlign w:val="center"/>
                </w:tcPr>
                <w:p>
                  <w:pPr>
                    <w:jc w:val="center"/>
                  </w:pPr>
                  <w:r>
                    <w:t>/</w:t>
                  </w:r>
                </w:p>
              </w:tc>
              <w:tc>
                <w:tcPr>
                  <w:tcW w:w="1372" w:type="dxa"/>
                  <w:vAlign w:val="center"/>
                </w:tcPr>
                <w:p>
                  <w:pPr>
                    <w:jc w:val="center"/>
                  </w:pPr>
                  <w:r>
                    <w:t>达标排放</w:t>
                  </w:r>
                </w:p>
              </w:tc>
              <w:tc>
                <w:tcPr>
                  <w:tcW w:w="2825" w:type="dxa"/>
                  <w:vAlign w:val="center"/>
                </w:tcPr>
                <w:p>
                  <w:pPr>
                    <w:jc w:val="center"/>
                  </w:pPr>
                  <w:r>
                    <w:t>达到《大气污染综合排放标准》(GB16297-1996)中二级标准要求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09" w:hRule="atLeast"/>
                <w:jc w:val="center"/>
              </w:trPr>
              <w:tc>
                <w:tcPr>
                  <w:tcW w:w="342" w:type="dxa"/>
                  <w:vMerge w:val="continue"/>
                  <w:vAlign w:val="center"/>
                </w:tcPr>
                <w:p>
                  <w:pPr>
                    <w:jc w:val="center"/>
                  </w:pPr>
                </w:p>
              </w:tc>
              <w:tc>
                <w:tcPr>
                  <w:tcW w:w="439" w:type="dxa"/>
                  <w:vAlign w:val="center"/>
                </w:tcPr>
                <w:p>
                  <w:pPr>
                    <w:jc w:val="center"/>
                    <w:rPr>
                      <w:bCs/>
                    </w:rPr>
                  </w:pPr>
                  <w:r>
                    <w:rPr>
                      <w:bCs/>
                    </w:rPr>
                    <w:t>喷漆及晾干废气</w:t>
                  </w:r>
                </w:p>
              </w:tc>
              <w:tc>
                <w:tcPr>
                  <w:tcW w:w="806" w:type="dxa"/>
                  <w:vAlign w:val="center"/>
                </w:tcPr>
                <w:p>
                  <w:pPr>
                    <w:jc w:val="center"/>
                    <w:rPr>
                      <w:bCs/>
                    </w:rPr>
                  </w:pPr>
                  <w:r>
                    <w:rPr>
                      <w:bCs/>
                    </w:rPr>
                    <w:t>机库</w:t>
                  </w:r>
                </w:p>
              </w:tc>
              <w:tc>
                <w:tcPr>
                  <w:tcW w:w="2435" w:type="dxa"/>
                  <w:vAlign w:val="center"/>
                </w:tcPr>
                <w:p>
                  <w:pPr>
                    <w:jc w:val="center"/>
                  </w:pPr>
                  <w:r>
                    <w:t>“</w:t>
                  </w:r>
                  <w:r>
                    <w:rPr>
                      <w:rFonts w:hint="eastAsia"/>
                    </w:rPr>
                    <w:t>排风集气箱</w:t>
                  </w:r>
                  <w:r>
                    <w:t>+</w:t>
                  </w:r>
                  <w:r>
                    <w:rPr>
                      <w:rFonts w:hint="eastAsia"/>
                    </w:rPr>
                    <w:t>干式</w:t>
                  </w:r>
                  <w:r>
                    <w:t>过滤器” +活性炭吸附箱（6套）+15m高的排气筒（P1、P2）</w:t>
                  </w:r>
                </w:p>
              </w:tc>
              <w:tc>
                <w:tcPr>
                  <w:tcW w:w="564" w:type="dxa"/>
                  <w:vAlign w:val="center"/>
                </w:tcPr>
                <w:p>
                  <w:pPr>
                    <w:jc w:val="center"/>
                  </w:pPr>
                  <w:r>
                    <w:t>/</w:t>
                  </w:r>
                </w:p>
              </w:tc>
              <w:tc>
                <w:tcPr>
                  <w:tcW w:w="1372" w:type="dxa"/>
                  <w:vAlign w:val="center"/>
                </w:tcPr>
                <w:p>
                  <w:pPr>
                    <w:jc w:val="center"/>
                  </w:pPr>
                  <w:r>
                    <w:t>达标排放</w:t>
                  </w:r>
                </w:p>
              </w:tc>
              <w:tc>
                <w:tcPr>
                  <w:tcW w:w="2825" w:type="dxa"/>
                  <w:vAlign w:val="center"/>
                </w:tcPr>
                <w:p>
                  <w:pPr>
                    <w:jc w:val="center"/>
                    <w:rPr>
                      <w:color w:val="000000"/>
                    </w:rPr>
                  </w:pPr>
                  <w:r>
                    <w:rPr>
                      <w:bCs/>
                      <w:color w:val="000000"/>
                    </w:rPr>
                    <w:t>漆雾达到</w:t>
                  </w:r>
                  <w:r>
                    <w:t>《大气污染综合排放标准》(GB16297-1996)中二级标准要求；</w:t>
                  </w:r>
                  <w:r>
                    <w:rPr>
                      <w:bCs/>
                      <w:color w:val="000000"/>
                    </w:rPr>
                    <w:t>非甲烷总烃、甲苯+乙苯、二甲苯排放浓度达到《挥发性有机物排放控制标准》(DB 61/T1061-2017)中最高允许排放浓度限值要求；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09" w:hRule="atLeast"/>
                <w:jc w:val="center"/>
              </w:trPr>
              <w:tc>
                <w:tcPr>
                  <w:tcW w:w="342" w:type="dxa"/>
                  <w:vMerge w:val="restart"/>
                  <w:vAlign w:val="center"/>
                </w:tcPr>
                <w:p>
                  <w:pPr>
                    <w:jc w:val="center"/>
                  </w:pPr>
                  <w:r>
                    <w:t>废水</w:t>
                  </w:r>
                </w:p>
              </w:tc>
              <w:tc>
                <w:tcPr>
                  <w:tcW w:w="439" w:type="dxa"/>
                  <w:vAlign w:val="center"/>
                </w:tcPr>
                <w:p>
                  <w:pPr>
                    <w:jc w:val="center"/>
                  </w:pPr>
                  <w:r>
                    <w:t>生产废水</w:t>
                  </w:r>
                </w:p>
              </w:tc>
              <w:tc>
                <w:tcPr>
                  <w:tcW w:w="806" w:type="dxa"/>
                  <w:vAlign w:val="center"/>
                </w:tcPr>
                <w:p>
                  <w:pPr>
                    <w:jc w:val="center"/>
                  </w:pPr>
                  <w:r>
                    <w:t>机库</w:t>
                  </w:r>
                </w:p>
              </w:tc>
              <w:tc>
                <w:tcPr>
                  <w:tcW w:w="2435" w:type="dxa"/>
                  <w:vAlign w:val="center"/>
                </w:tcPr>
                <w:p>
                  <w:pPr>
                    <w:jc w:val="center"/>
                  </w:pPr>
                  <w:r>
                    <w:t>过滤桶（内设过滤棉）</w:t>
                  </w:r>
                </w:p>
              </w:tc>
              <w:tc>
                <w:tcPr>
                  <w:tcW w:w="564" w:type="dxa"/>
                  <w:vAlign w:val="center"/>
                </w:tcPr>
                <w:p>
                  <w:pPr>
                    <w:jc w:val="center"/>
                  </w:pPr>
                  <w:r>
                    <w:t>/</w:t>
                  </w:r>
                </w:p>
              </w:tc>
              <w:tc>
                <w:tcPr>
                  <w:tcW w:w="1372" w:type="dxa"/>
                  <w:vAlign w:val="center"/>
                </w:tcPr>
                <w:p>
                  <w:pPr>
                    <w:jc w:val="center"/>
                  </w:pPr>
                  <w:r>
                    <w:t>达标排放</w:t>
                  </w:r>
                </w:p>
              </w:tc>
              <w:tc>
                <w:tcPr>
                  <w:tcW w:w="2825" w:type="dxa"/>
                  <w:vMerge w:val="restart"/>
                  <w:vAlign w:val="center"/>
                </w:tcPr>
                <w:p>
                  <w:pPr>
                    <w:jc w:val="center"/>
                  </w:pPr>
                  <w:r>
                    <w:t>达到《污水综合排放标准》(GB68978-1996)表4中三级标准和《污水排入城镇下水道水质标准》（GB/T31962-2015）表1中A级标准。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09" w:hRule="atLeast"/>
                <w:jc w:val="center"/>
              </w:trPr>
              <w:tc>
                <w:tcPr>
                  <w:tcW w:w="342" w:type="dxa"/>
                  <w:vMerge w:val="continue"/>
                  <w:vAlign w:val="center"/>
                </w:tcPr>
                <w:p>
                  <w:pPr>
                    <w:widowControl/>
                    <w:jc w:val="left"/>
                  </w:pPr>
                </w:p>
              </w:tc>
              <w:tc>
                <w:tcPr>
                  <w:tcW w:w="439" w:type="dxa"/>
                  <w:vAlign w:val="center"/>
                </w:tcPr>
                <w:p>
                  <w:pPr>
                    <w:jc w:val="center"/>
                  </w:pPr>
                  <w:r>
                    <w:t>生活污水</w:t>
                  </w:r>
                </w:p>
              </w:tc>
              <w:tc>
                <w:tcPr>
                  <w:tcW w:w="806" w:type="dxa"/>
                  <w:vAlign w:val="center"/>
                </w:tcPr>
                <w:p>
                  <w:pPr>
                    <w:jc w:val="center"/>
                  </w:pPr>
                  <w:r>
                    <w:t>办公生活</w:t>
                  </w:r>
                </w:p>
              </w:tc>
              <w:tc>
                <w:tcPr>
                  <w:tcW w:w="2435" w:type="dxa"/>
                  <w:vAlign w:val="center"/>
                </w:tcPr>
                <w:p>
                  <w:pPr>
                    <w:jc w:val="center"/>
                  </w:pPr>
                  <w:r>
                    <w:t>化粪池（</w:t>
                  </w:r>
                  <w:r>
                    <w:rPr>
                      <w:rFonts w:hint="eastAsia"/>
                    </w:rPr>
                    <w:t>依托，</w:t>
                  </w:r>
                  <w:r>
                    <w:t>10</w:t>
                  </w:r>
                  <w:r>
                    <w:rPr>
                      <w:sz w:val="24"/>
                    </w:rPr>
                    <w:t>m</w:t>
                  </w:r>
                  <w:r>
                    <w:rPr>
                      <w:sz w:val="24"/>
                      <w:vertAlign w:val="superscript"/>
                    </w:rPr>
                    <w:t>3</w:t>
                  </w:r>
                  <w:r>
                    <w:t>）</w:t>
                  </w:r>
                </w:p>
              </w:tc>
              <w:tc>
                <w:tcPr>
                  <w:tcW w:w="564" w:type="dxa"/>
                  <w:vAlign w:val="center"/>
                </w:tcPr>
                <w:p>
                  <w:pPr>
                    <w:jc w:val="center"/>
                  </w:pPr>
                  <w:r>
                    <w:t>1个</w:t>
                  </w:r>
                </w:p>
              </w:tc>
              <w:tc>
                <w:tcPr>
                  <w:tcW w:w="1372" w:type="dxa"/>
                  <w:vAlign w:val="center"/>
                </w:tcPr>
                <w:p>
                  <w:pPr>
                    <w:jc w:val="center"/>
                  </w:pPr>
                  <w:r>
                    <w:t>达标排放</w:t>
                  </w:r>
                </w:p>
              </w:tc>
              <w:tc>
                <w:tcPr>
                  <w:tcW w:w="2825" w:type="dxa"/>
                  <w:vMerge w:val="continue"/>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09" w:hRule="atLeast"/>
                <w:jc w:val="center"/>
              </w:trPr>
              <w:tc>
                <w:tcPr>
                  <w:tcW w:w="342" w:type="dxa"/>
                  <w:vAlign w:val="center"/>
                </w:tcPr>
                <w:p>
                  <w:pPr>
                    <w:jc w:val="center"/>
                  </w:pPr>
                  <w:r>
                    <w:t>噪声</w:t>
                  </w:r>
                </w:p>
              </w:tc>
              <w:tc>
                <w:tcPr>
                  <w:tcW w:w="439" w:type="dxa"/>
                  <w:vAlign w:val="center"/>
                </w:tcPr>
                <w:p>
                  <w:pPr>
                    <w:jc w:val="center"/>
                  </w:pPr>
                  <w:r>
                    <w:t>各类生产设备噪声</w:t>
                  </w:r>
                </w:p>
              </w:tc>
              <w:tc>
                <w:tcPr>
                  <w:tcW w:w="806" w:type="dxa"/>
                  <w:vAlign w:val="center"/>
                </w:tcPr>
                <w:p>
                  <w:pPr>
                    <w:jc w:val="center"/>
                  </w:pPr>
                  <w:r>
                    <w:t>机库</w:t>
                  </w:r>
                </w:p>
              </w:tc>
              <w:tc>
                <w:tcPr>
                  <w:tcW w:w="2435" w:type="dxa"/>
                  <w:vAlign w:val="center"/>
                </w:tcPr>
                <w:p>
                  <w:pPr>
                    <w:jc w:val="center"/>
                  </w:pPr>
                  <w:r>
                    <w:t>采取基础减振、厂房隔声等措施</w:t>
                  </w:r>
                </w:p>
              </w:tc>
              <w:tc>
                <w:tcPr>
                  <w:tcW w:w="564" w:type="dxa"/>
                  <w:vAlign w:val="center"/>
                </w:tcPr>
                <w:p>
                  <w:pPr>
                    <w:jc w:val="center"/>
                  </w:pPr>
                  <w:r>
                    <w:t>若干</w:t>
                  </w:r>
                </w:p>
              </w:tc>
              <w:tc>
                <w:tcPr>
                  <w:tcW w:w="1372" w:type="dxa"/>
                  <w:vAlign w:val="center"/>
                </w:tcPr>
                <w:p>
                  <w:pPr>
                    <w:jc w:val="center"/>
                  </w:pPr>
                  <w:r>
                    <w:t>达标排放</w:t>
                  </w:r>
                </w:p>
              </w:tc>
              <w:tc>
                <w:tcPr>
                  <w:tcW w:w="2825" w:type="dxa"/>
                  <w:vAlign w:val="center"/>
                </w:tcPr>
                <w:p>
                  <w:r>
                    <w:t>达到《工业企业厂界环境噪声排放标准》（GB12348-2008）中2类标准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96" w:hRule="atLeast"/>
                <w:jc w:val="center"/>
              </w:trPr>
              <w:tc>
                <w:tcPr>
                  <w:tcW w:w="342" w:type="dxa"/>
                  <w:vMerge w:val="restart"/>
                  <w:vAlign w:val="center"/>
                </w:tcPr>
                <w:p>
                  <w:pPr>
                    <w:jc w:val="center"/>
                  </w:pPr>
                  <w:r>
                    <w:t>固</w:t>
                  </w:r>
                </w:p>
                <w:p>
                  <w:pPr>
                    <w:jc w:val="center"/>
                  </w:pPr>
                  <w:r>
                    <w:t>废</w:t>
                  </w:r>
                </w:p>
              </w:tc>
              <w:tc>
                <w:tcPr>
                  <w:tcW w:w="439" w:type="dxa"/>
                  <w:vAlign w:val="center"/>
                </w:tcPr>
                <w:p>
                  <w:pPr>
                    <w:snapToGrid w:val="0"/>
                    <w:spacing w:line="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80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机库</w:t>
                  </w:r>
                </w:p>
              </w:tc>
              <w:tc>
                <w:tcPr>
                  <w:tcW w:w="24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危废暂存间（依托）</w:t>
                  </w:r>
                </w:p>
              </w:tc>
              <w:tc>
                <w:tcPr>
                  <w:tcW w:w="56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37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合理处置</w:t>
                  </w:r>
                </w:p>
              </w:tc>
              <w:tc>
                <w:tcPr>
                  <w:tcW w:w="2825" w:type="dxa"/>
                  <w:vAlign w:val="center"/>
                </w:tcPr>
                <w:p>
                  <w:pPr>
                    <w:rPr>
                      <w:color w:val="000000" w:themeColor="text1"/>
                      <w14:textFill>
                        <w14:solidFill>
                          <w14:schemeClr w14:val="tx1"/>
                        </w14:solidFill>
                      </w14:textFill>
                    </w:rPr>
                  </w:pPr>
                  <w:r>
                    <w:rPr>
                      <w:bCs/>
                      <w:color w:val="000000" w:themeColor="text1"/>
                      <w14:textFill>
                        <w14:solidFill>
                          <w14:schemeClr w14:val="tx1"/>
                        </w14:solidFill>
                      </w14:textFill>
                    </w:rPr>
                    <w:t>达到《危险废物贮存污染控制标准》（GB18597-2001）及其修改单中相关规定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96" w:hRule="atLeast"/>
                <w:jc w:val="center"/>
              </w:trPr>
              <w:tc>
                <w:tcPr>
                  <w:tcW w:w="342" w:type="dxa"/>
                  <w:vMerge w:val="continue"/>
                  <w:vAlign w:val="center"/>
                </w:tcPr>
                <w:p>
                  <w:pPr>
                    <w:jc w:val="center"/>
                    <w:rPr>
                      <w:color w:val="000000" w:themeColor="text1"/>
                      <w14:textFill>
                        <w14:solidFill>
                          <w14:schemeClr w14:val="tx1"/>
                        </w14:solidFill>
                      </w14:textFill>
                    </w:rPr>
                  </w:pPr>
                </w:p>
              </w:tc>
              <w:tc>
                <w:tcPr>
                  <w:tcW w:w="439" w:type="dxa"/>
                  <w:vAlign w:val="center"/>
                </w:tcPr>
                <w:p>
                  <w:pPr>
                    <w:snapToGrid w:val="0"/>
                    <w:spacing w:line="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一般固废</w:t>
                  </w:r>
                </w:p>
              </w:tc>
              <w:tc>
                <w:tcPr>
                  <w:tcW w:w="80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机库</w:t>
                  </w:r>
                </w:p>
              </w:tc>
              <w:tc>
                <w:tcPr>
                  <w:tcW w:w="24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收集后统一外售</w:t>
                  </w:r>
                </w:p>
              </w:tc>
              <w:tc>
                <w:tcPr>
                  <w:tcW w:w="56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37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合理处置</w:t>
                  </w:r>
                </w:p>
              </w:tc>
              <w:tc>
                <w:tcPr>
                  <w:tcW w:w="2825" w:type="dxa"/>
                  <w:vAlign w:val="center"/>
                </w:tcPr>
                <w:p>
                  <w:pPr>
                    <w:rPr>
                      <w:bCs/>
                      <w:color w:val="000000" w:themeColor="text1"/>
                      <w14:textFill>
                        <w14:solidFill>
                          <w14:schemeClr w14:val="tx1"/>
                        </w14:solidFill>
                      </w14:textFill>
                    </w:rPr>
                  </w:pPr>
                  <w:r>
                    <w:rPr>
                      <w:bCs/>
                      <w:color w:val="000000" w:themeColor="text1"/>
                      <w14:textFill>
                        <w14:solidFill>
                          <w14:schemeClr w14:val="tx1"/>
                        </w14:solidFill>
                      </w14:textFill>
                    </w:rPr>
                    <w:t>达到《一般工业固体废物贮存、处置场污染控制标准》(GB18599—2001)及修改单中相关规定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93" w:hRule="atLeast"/>
                <w:jc w:val="center"/>
              </w:trPr>
              <w:tc>
                <w:tcPr>
                  <w:tcW w:w="342" w:type="dxa"/>
                  <w:vMerge w:val="continue"/>
                  <w:vAlign w:val="center"/>
                </w:tcPr>
                <w:p>
                  <w:pPr>
                    <w:jc w:val="center"/>
                  </w:pPr>
                </w:p>
              </w:tc>
              <w:tc>
                <w:tcPr>
                  <w:tcW w:w="439" w:type="dxa"/>
                  <w:vAlign w:val="center"/>
                </w:tcPr>
                <w:p>
                  <w:pPr>
                    <w:snapToGrid w:val="0"/>
                    <w:spacing w:line="0" w:lineRule="atLeast"/>
                    <w:jc w:val="center"/>
                  </w:pPr>
                  <w:r>
                    <w:t>生活垃圾</w:t>
                  </w:r>
                </w:p>
              </w:tc>
              <w:tc>
                <w:tcPr>
                  <w:tcW w:w="806" w:type="dxa"/>
                  <w:vAlign w:val="center"/>
                </w:tcPr>
                <w:p>
                  <w:pPr>
                    <w:jc w:val="center"/>
                  </w:pPr>
                  <w:r>
                    <w:t>办公生活</w:t>
                  </w:r>
                </w:p>
              </w:tc>
              <w:tc>
                <w:tcPr>
                  <w:tcW w:w="2435" w:type="dxa"/>
                  <w:vAlign w:val="center"/>
                </w:tcPr>
                <w:p>
                  <w:pPr>
                    <w:jc w:val="center"/>
                  </w:pPr>
                  <w:r>
                    <w:t>送往维修基地生活垃圾暂存区，统一交由环卫部门处置</w:t>
                  </w:r>
                </w:p>
              </w:tc>
              <w:tc>
                <w:tcPr>
                  <w:tcW w:w="564" w:type="dxa"/>
                  <w:vAlign w:val="center"/>
                </w:tcPr>
                <w:p>
                  <w:pPr>
                    <w:jc w:val="center"/>
                  </w:pPr>
                  <w:r>
                    <w:t>/</w:t>
                  </w:r>
                </w:p>
              </w:tc>
              <w:tc>
                <w:tcPr>
                  <w:tcW w:w="1372" w:type="dxa"/>
                  <w:vAlign w:val="center"/>
                </w:tcPr>
                <w:p>
                  <w:pPr>
                    <w:jc w:val="center"/>
                  </w:pPr>
                  <w:r>
                    <w:t>合理处置</w:t>
                  </w:r>
                </w:p>
              </w:tc>
              <w:tc>
                <w:tcPr>
                  <w:tcW w:w="2825" w:type="dxa"/>
                  <w:vAlign w:val="center"/>
                </w:tcPr>
                <w:p>
                  <w:pPr>
                    <w:jc w:val="center"/>
                  </w:pPr>
                  <w:r>
                    <w:t>处置率100%</w:t>
                  </w:r>
                </w:p>
              </w:tc>
            </w:tr>
          </w:tbl>
          <w:p>
            <w:pPr>
              <w:spacing w:line="360" w:lineRule="auto"/>
              <w:rPr>
                <w:rFonts w:eastAsia="黑体"/>
                <w:szCs w:val="28"/>
              </w:rPr>
            </w:pPr>
            <w:r>
              <w:rPr>
                <w:rFonts w:eastAsia="黑体"/>
                <w:szCs w:val="28"/>
              </w:rPr>
              <w:t>七、污染物排放清单</w:t>
            </w:r>
          </w:p>
          <w:p>
            <w:pPr>
              <w:autoSpaceDE w:val="0"/>
              <w:autoSpaceDN w:val="0"/>
              <w:adjustRightInd w:val="0"/>
              <w:spacing w:line="500" w:lineRule="exact"/>
              <w:ind w:firstLine="470" w:firstLineChars="196"/>
              <w:rPr>
                <w:kern w:val="0"/>
                <w:sz w:val="24"/>
                <w:szCs w:val="28"/>
              </w:rPr>
            </w:pPr>
            <w:r>
              <w:rPr>
                <w:kern w:val="0"/>
                <w:sz w:val="24"/>
                <w:szCs w:val="28"/>
              </w:rPr>
              <w:t>项目运营期污染物排放清单如下表。</w:t>
            </w:r>
          </w:p>
          <w:p>
            <w:pPr>
              <w:adjustRightInd w:val="0"/>
              <w:snapToGrid w:val="0"/>
              <w:jc w:val="center"/>
              <w:rPr>
                <w:rFonts w:eastAsia="黑体"/>
                <w:sz w:val="24"/>
              </w:rPr>
            </w:pPr>
            <w:r>
              <w:rPr>
                <w:rFonts w:eastAsia="黑体"/>
                <w:sz w:val="24"/>
              </w:rPr>
              <w:t>表5</w:t>
            </w:r>
            <w:r>
              <w:rPr>
                <w:rFonts w:hint="eastAsia" w:eastAsia="黑体"/>
                <w:sz w:val="24"/>
              </w:rPr>
              <w:t>5</w:t>
            </w:r>
            <w:r>
              <w:rPr>
                <w:rFonts w:eastAsia="黑体"/>
                <w:sz w:val="24"/>
              </w:rPr>
              <w:t xml:space="preserve">   污染物排放清单</w:t>
            </w:r>
          </w:p>
          <w:tbl>
            <w:tblPr>
              <w:tblStyle w:val="38"/>
              <w:tblW w:w="878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26"/>
              <w:gridCol w:w="742"/>
              <w:gridCol w:w="857"/>
              <w:gridCol w:w="1069"/>
              <w:gridCol w:w="1219"/>
              <w:gridCol w:w="995"/>
              <w:gridCol w:w="1432"/>
              <w:gridCol w:w="1197"/>
              <w:gridCol w:w="12"/>
              <w:gridCol w:w="83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076" w:hRule="atLeast"/>
                <w:jc w:val="center"/>
              </w:trPr>
              <w:tc>
                <w:tcPr>
                  <w:tcW w:w="426" w:type="dxa"/>
                  <w:vAlign w:val="center"/>
                </w:tcPr>
                <w:p>
                  <w:pPr>
                    <w:autoSpaceDE w:val="0"/>
                    <w:autoSpaceDN w:val="0"/>
                    <w:adjustRightInd w:val="0"/>
                    <w:jc w:val="center"/>
                    <w:rPr>
                      <w:bCs/>
                    </w:rPr>
                  </w:pPr>
                  <w:r>
                    <w:rPr>
                      <w:bCs/>
                    </w:rPr>
                    <w:t>类别</w:t>
                  </w:r>
                </w:p>
              </w:tc>
              <w:tc>
                <w:tcPr>
                  <w:tcW w:w="2668" w:type="dxa"/>
                  <w:gridSpan w:val="3"/>
                  <w:vAlign w:val="center"/>
                </w:tcPr>
                <w:p>
                  <w:pPr>
                    <w:autoSpaceDE w:val="0"/>
                    <w:autoSpaceDN w:val="0"/>
                    <w:adjustRightInd w:val="0"/>
                    <w:jc w:val="center"/>
                    <w:rPr>
                      <w:bCs/>
                    </w:rPr>
                  </w:pPr>
                  <w:r>
                    <w:rPr>
                      <w:bCs/>
                    </w:rPr>
                    <w:t>污染物名称</w:t>
                  </w:r>
                </w:p>
              </w:tc>
              <w:tc>
                <w:tcPr>
                  <w:tcW w:w="1219" w:type="dxa"/>
                  <w:vAlign w:val="center"/>
                </w:tcPr>
                <w:p>
                  <w:pPr>
                    <w:autoSpaceDE w:val="0"/>
                    <w:autoSpaceDN w:val="0"/>
                    <w:adjustRightInd w:val="0"/>
                    <w:jc w:val="center"/>
                    <w:rPr>
                      <w:bCs/>
                    </w:rPr>
                  </w:pPr>
                  <w:r>
                    <w:rPr>
                      <w:bCs/>
                    </w:rPr>
                    <w:t>产生浓度（</w:t>
                  </w:r>
                  <w:r>
                    <w:t>mg/m</w:t>
                  </w:r>
                  <w:r>
                    <w:rPr>
                      <w:vertAlign w:val="superscript"/>
                    </w:rPr>
                    <w:t>3</w:t>
                  </w:r>
                  <w:r>
                    <w:rPr>
                      <w:bCs/>
                    </w:rPr>
                    <w:t>）</w:t>
                  </w:r>
                </w:p>
              </w:tc>
              <w:tc>
                <w:tcPr>
                  <w:tcW w:w="995" w:type="dxa"/>
                  <w:vAlign w:val="center"/>
                </w:tcPr>
                <w:p>
                  <w:pPr>
                    <w:autoSpaceDE w:val="0"/>
                    <w:autoSpaceDN w:val="0"/>
                    <w:adjustRightInd w:val="0"/>
                    <w:jc w:val="center"/>
                    <w:rPr>
                      <w:bCs/>
                    </w:rPr>
                  </w:pPr>
                  <w:r>
                    <w:rPr>
                      <w:bCs/>
                    </w:rPr>
                    <w:t>产生量（</w:t>
                  </w:r>
                  <w:r>
                    <w:t>t/a</w:t>
                  </w:r>
                  <w:r>
                    <w:rPr>
                      <w:bCs/>
                    </w:rPr>
                    <w:t>）</w:t>
                  </w:r>
                </w:p>
              </w:tc>
              <w:tc>
                <w:tcPr>
                  <w:tcW w:w="1432" w:type="dxa"/>
                  <w:vAlign w:val="center"/>
                </w:tcPr>
                <w:p>
                  <w:pPr>
                    <w:autoSpaceDE w:val="0"/>
                    <w:autoSpaceDN w:val="0"/>
                    <w:adjustRightInd w:val="0"/>
                    <w:jc w:val="center"/>
                    <w:rPr>
                      <w:bCs/>
                    </w:rPr>
                  </w:pPr>
                  <w:r>
                    <w:rPr>
                      <w:bCs/>
                    </w:rPr>
                    <w:t>环保措施</w:t>
                  </w:r>
                </w:p>
              </w:tc>
              <w:tc>
                <w:tcPr>
                  <w:tcW w:w="1197" w:type="dxa"/>
                  <w:vAlign w:val="center"/>
                </w:tcPr>
                <w:p>
                  <w:pPr>
                    <w:autoSpaceDE w:val="0"/>
                    <w:autoSpaceDN w:val="0"/>
                    <w:adjustRightInd w:val="0"/>
                    <w:jc w:val="center"/>
                    <w:rPr>
                      <w:bCs/>
                    </w:rPr>
                  </w:pPr>
                  <w:r>
                    <w:rPr>
                      <w:bCs/>
                    </w:rPr>
                    <w:t>排放浓度（</w:t>
                  </w:r>
                  <w:r>
                    <w:t>mg/m</w:t>
                  </w:r>
                  <w:r>
                    <w:rPr>
                      <w:vertAlign w:val="superscript"/>
                    </w:rPr>
                    <w:t>3</w:t>
                  </w:r>
                  <w:r>
                    <w:rPr>
                      <w:bCs/>
                    </w:rPr>
                    <w:t>）</w:t>
                  </w:r>
                </w:p>
              </w:tc>
              <w:tc>
                <w:tcPr>
                  <w:tcW w:w="846" w:type="dxa"/>
                  <w:gridSpan w:val="2"/>
                  <w:vAlign w:val="center"/>
                </w:tcPr>
                <w:p>
                  <w:pPr>
                    <w:autoSpaceDE w:val="0"/>
                    <w:autoSpaceDN w:val="0"/>
                    <w:adjustRightInd w:val="0"/>
                    <w:jc w:val="center"/>
                    <w:rPr>
                      <w:bCs/>
                    </w:rPr>
                  </w:pPr>
                  <w:r>
                    <w:rPr>
                      <w:bCs/>
                    </w:rPr>
                    <w:t>排放量（</w:t>
                  </w:r>
                  <w:r>
                    <w:t>t/a</w:t>
                  </w:r>
                  <w:r>
                    <w:rPr>
                      <w:bCs/>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restart"/>
                  <w:vAlign w:val="center"/>
                </w:tcPr>
                <w:p>
                  <w:pPr>
                    <w:autoSpaceDE w:val="0"/>
                    <w:autoSpaceDN w:val="0"/>
                    <w:adjustRightInd w:val="0"/>
                    <w:jc w:val="center"/>
                    <w:rPr>
                      <w:bCs/>
                    </w:rPr>
                  </w:pPr>
                  <w:r>
                    <w:rPr>
                      <w:bCs/>
                    </w:rPr>
                    <w:t>废气</w:t>
                  </w:r>
                </w:p>
              </w:tc>
              <w:tc>
                <w:tcPr>
                  <w:tcW w:w="1599" w:type="dxa"/>
                  <w:gridSpan w:val="2"/>
                  <w:vMerge w:val="restart"/>
                  <w:vAlign w:val="center"/>
                </w:tcPr>
                <w:p>
                  <w:pPr>
                    <w:snapToGrid w:val="0"/>
                    <w:jc w:val="center"/>
                    <w:rPr>
                      <w:bCs/>
                    </w:rPr>
                  </w:pPr>
                  <w:r>
                    <w:rPr>
                      <w:bCs/>
                    </w:rPr>
                    <w:t>打磨粉尘</w:t>
                  </w:r>
                </w:p>
              </w:tc>
              <w:tc>
                <w:tcPr>
                  <w:tcW w:w="1069" w:type="dxa"/>
                  <w:vAlign w:val="center"/>
                </w:tcPr>
                <w:p>
                  <w:pPr>
                    <w:snapToGrid w:val="0"/>
                    <w:jc w:val="center"/>
                  </w:pPr>
                  <w:r>
                    <w:t>有组织</w:t>
                  </w:r>
                </w:p>
              </w:tc>
              <w:tc>
                <w:tcPr>
                  <w:tcW w:w="1219" w:type="dxa"/>
                  <w:vAlign w:val="center"/>
                </w:tcPr>
                <w:p>
                  <w:pPr>
                    <w:autoSpaceDE w:val="0"/>
                    <w:autoSpaceDN w:val="0"/>
                    <w:adjustRightInd w:val="0"/>
                    <w:jc w:val="center"/>
                    <w:rPr>
                      <w:bCs/>
                    </w:rPr>
                  </w:pPr>
                  <w:r>
                    <w:rPr>
                      <w:bCs/>
                    </w:rPr>
                    <w:t>316.5</w:t>
                  </w:r>
                </w:p>
              </w:tc>
              <w:tc>
                <w:tcPr>
                  <w:tcW w:w="995" w:type="dxa"/>
                  <w:vAlign w:val="center"/>
                </w:tcPr>
                <w:p>
                  <w:pPr>
                    <w:autoSpaceDE w:val="0"/>
                    <w:autoSpaceDN w:val="0"/>
                    <w:adjustRightInd w:val="0"/>
                    <w:jc w:val="center"/>
                    <w:rPr>
                      <w:bCs/>
                    </w:rPr>
                  </w:pPr>
                  <w:r>
                    <w:rPr>
                      <w:bCs/>
                    </w:rPr>
                    <w:t>1.5192</w:t>
                  </w:r>
                </w:p>
              </w:tc>
              <w:tc>
                <w:tcPr>
                  <w:tcW w:w="1432" w:type="dxa"/>
                  <w:vMerge w:val="restart"/>
                  <w:vAlign w:val="center"/>
                </w:tcPr>
                <w:p>
                  <w:pPr>
                    <w:pStyle w:val="13"/>
                    <w:spacing w:after="0"/>
                    <w:rPr>
                      <w:rFonts w:ascii="Times New Roman" w:hAnsi="Times New Roman" w:cs="Times New Roman"/>
                      <w:bCs/>
                      <w:sz w:val="21"/>
                      <w:szCs w:val="21"/>
                    </w:rPr>
                  </w:pPr>
                  <w:r>
                    <w:rPr>
                      <w:rFonts w:ascii="Times New Roman" w:hAnsi="Times New Roman" w:cs="Times New Roman"/>
                      <w:bCs/>
                      <w:sz w:val="21"/>
                      <w:szCs w:val="21"/>
                    </w:rPr>
                    <w:t>“</w:t>
                  </w:r>
                  <w:r>
                    <w:rPr>
                      <w:rFonts w:hint="eastAsia" w:ascii="Times New Roman" w:hAnsi="Times New Roman" w:cs="Times New Roman"/>
                      <w:bCs/>
                      <w:sz w:val="21"/>
                      <w:szCs w:val="21"/>
                    </w:rPr>
                    <w:t>排风集气箱</w:t>
                  </w:r>
                  <w:r>
                    <w:rPr>
                      <w:rFonts w:ascii="Times New Roman" w:hAnsi="Times New Roman" w:cs="Times New Roman"/>
                      <w:bCs/>
                      <w:sz w:val="21"/>
                      <w:szCs w:val="21"/>
                    </w:rPr>
                    <w:t>+</w:t>
                  </w:r>
                  <w:r>
                    <w:rPr>
                      <w:rFonts w:hint="eastAsia" w:ascii="Times New Roman" w:hAnsi="Times New Roman" w:cs="Times New Roman"/>
                      <w:bCs/>
                      <w:sz w:val="21"/>
                      <w:szCs w:val="21"/>
                    </w:rPr>
                    <w:t>干式</w:t>
                  </w:r>
                  <w:r>
                    <w:rPr>
                      <w:rFonts w:ascii="Times New Roman" w:hAnsi="Times New Roman" w:cs="Times New Roman"/>
                      <w:bCs/>
                      <w:sz w:val="21"/>
                      <w:szCs w:val="21"/>
                    </w:rPr>
                    <w:t>过滤器”</w:t>
                  </w:r>
                  <w:r>
                    <w:rPr>
                      <w:rFonts w:hint="eastAsia" w:ascii="Times New Roman" w:hAnsi="Times New Roman" w:cs="Times New Roman"/>
                      <w:bCs/>
                      <w:sz w:val="21"/>
                      <w:szCs w:val="21"/>
                    </w:rPr>
                    <w:t>（6套）</w:t>
                  </w:r>
                  <w:r>
                    <w:rPr>
                      <w:rFonts w:ascii="Times New Roman" w:hAnsi="Times New Roman" w:cs="Times New Roman"/>
                      <w:bCs/>
                      <w:sz w:val="21"/>
                      <w:szCs w:val="21"/>
                    </w:rPr>
                    <w:t xml:space="preserve"> +15m高排气筒（P1、P2）</w:t>
                  </w:r>
                </w:p>
              </w:tc>
              <w:tc>
                <w:tcPr>
                  <w:tcW w:w="1209" w:type="dxa"/>
                  <w:gridSpan w:val="2"/>
                  <w:vAlign w:val="center"/>
                </w:tcPr>
                <w:p>
                  <w:pPr>
                    <w:autoSpaceDE w:val="0"/>
                    <w:autoSpaceDN w:val="0"/>
                    <w:adjustRightInd w:val="0"/>
                    <w:jc w:val="center"/>
                    <w:rPr>
                      <w:bCs/>
                    </w:rPr>
                  </w:pPr>
                  <w:r>
                    <w:rPr>
                      <w:bCs/>
                    </w:rPr>
                    <w:t>3.4</w:t>
                  </w:r>
                </w:p>
              </w:tc>
              <w:tc>
                <w:tcPr>
                  <w:tcW w:w="834" w:type="dxa"/>
                  <w:vAlign w:val="center"/>
                </w:tcPr>
                <w:p>
                  <w:pPr>
                    <w:autoSpaceDE w:val="0"/>
                    <w:autoSpaceDN w:val="0"/>
                    <w:adjustRightInd w:val="0"/>
                    <w:jc w:val="center"/>
                    <w:rPr>
                      <w:bCs/>
                    </w:rPr>
                  </w:pPr>
                  <w:r>
                    <w:rPr>
                      <w:bCs/>
                    </w:rPr>
                    <w:t>0.016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Merge w:val="continue"/>
                  <w:vAlign w:val="center"/>
                </w:tcPr>
                <w:p>
                  <w:pPr>
                    <w:snapToGrid w:val="0"/>
                    <w:jc w:val="center"/>
                    <w:rPr>
                      <w:bCs/>
                    </w:rPr>
                  </w:pPr>
                </w:p>
              </w:tc>
              <w:tc>
                <w:tcPr>
                  <w:tcW w:w="1069" w:type="dxa"/>
                  <w:vAlign w:val="center"/>
                </w:tcPr>
                <w:p>
                  <w:pPr>
                    <w:snapToGrid w:val="0"/>
                    <w:jc w:val="center"/>
                  </w:pPr>
                  <w:r>
                    <w:t>无组织</w:t>
                  </w: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0.168</w:t>
                  </w:r>
                </w:p>
              </w:tc>
              <w:tc>
                <w:tcPr>
                  <w:tcW w:w="1432" w:type="dxa"/>
                  <w:vMerge w:val="continue"/>
                  <w:vAlign w:val="center"/>
                </w:tcPr>
                <w:p>
                  <w:pPr>
                    <w:pStyle w:val="13"/>
                    <w:spacing w:after="0"/>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0.168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10" w:hRule="atLeast"/>
                <w:jc w:val="center"/>
              </w:trPr>
              <w:tc>
                <w:tcPr>
                  <w:tcW w:w="426" w:type="dxa"/>
                  <w:vMerge w:val="continue"/>
                  <w:vAlign w:val="center"/>
                </w:tcPr>
                <w:p>
                  <w:pPr>
                    <w:autoSpaceDE w:val="0"/>
                    <w:autoSpaceDN w:val="0"/>
                    <w:adjustRightInd w:val="0"/>
                    <w:jc w:val="center"/>
                    <w:rPr>
                      <w:bCs/>
                    </w:rPr>
                  </w:pPr>
                </w:p>
              </w:tc>
              <w:tc>
                <w:tcPr>
                  <w:tcW w:w="742" w:type="dxa"/>
                  <w:vMerge w:val="restart"/>
                  <w:vAlign w:val="center"/>
                </w:tcPr>
                <w:p>
                  <w:pPr>
                    <w:snapToGrid w:val="0"/>
                    <w:jc w:val="center"/>
                  </w:pPr>
                  <w:r>
                    <w:t>喷漆工序</w:t>
                  </w:r>
                </w:p>
              </w:tc>
              <w:tc>
                <w:tcPr>
                  <w:tcW w:w="857" w:type="dxa"/>
                  <w:vMerge w:val="restart"/>
                  <w:vAlign w:val="center"/>
                </w:tcPr>
                <w:p>
                  <w:pPr>
                    <w:snapToGrid w:val="0"/>
                    <w:jc w:val="center"/>
                  </w:pPr>
                  <w:r>
                    <w:t>有组织</w:t>
                  </w:r>
                </w:p>
              </w:tc>
              <w:tc>
                <w:tcPr>
                  <w:tcW w:w="1069" w:type="dxa"/>
                  <w:vAlign w:val="center"/>
                </w:tcPr>
                <w:p>
                  <w:pPr>
                    <w:snapToGrid w:val="0"/>
                    <w:jc w:val="center"/>
                  </w:pPr>
                  <w:r>
                    <w:t>漆雾</w:t>
                  </w:r>
                </w:p>
              </w:tc>
              <w:tc>
                <w:tcPr>
                  <w:tcW w:w="1219" w:type="dxa"/>
                  <w:vAlign w:val="center"/>
                </w:tcPr>
                <w:p>
                  <w:pPr>
                    <w:autoSpaceDE w:val="0"/>
                    <w:autoSpaceDN w:val="0"/>
                    <w:adjustRightInd w:val="0"/>
                    <w:jc w:val="center"/>
                    <w:rPr>
                      <w:bCs/>
                    </w:rPr>
                  </w:pPr>
                  <w:r>
                    <w:rPr>
                      <w:bCs/>
                    </w:rPr>
                    <w:t>19</w:t>
                  </w:r>
                </w:p>
              </w:tc>
              <w:tc>
                <w:tcPr>
                  <w:tcW w:w="995" w:type="dxa"/>
                  <w:vAlign w:val="center"/>
                </w:tcPr>
                <w:p>
                  <w:pPr>
                    <w:autoSpaceDE w:val="0"/>
                    <w:autoSpaceDN w:val="0"/>
                    <w:adjustRightInd w:val="0"/>
                    <w:jc w:val="center"/>
                    <w:rPr>
                      <w:bCs/>
                    </w:rPr>
                  </w:pPr>
                  <w:r>
                    <w:rPr>
                      <w:bCs/>
                    </w:rPr>
                    <w:t>1.368</w:t>
                  </w:r>
                </w:p>
              </w:tc>
              <w:tc>
                <w:tcPr>
                  <w:tcW w:w="1432" w:type="dxa"/>
                  <w:vMerge w:val="restart"/>
                  <w:vAlign w:val="center"/>
                </w:tcPr>
                <w:p>
                  <w:pPr>
                    <w:pStyle w:val="13"/>
                    <w:spacing w:after="0"/>
                    <w:rPr>
                      <w:rFonts w:ascii="Times New Roman" w:hAnsi="Times New Roman" w:cs="Times New Roman"/>
                      <w:bCs/>
                      <w:sz w:val="21"/>
                      <w:szCs w:val="21"/>
                    </w:rPr>
                  </w:pPr>
                  <w:r>
                    <w:rPr>
                      <w:rFonts w:ascii="Times New Roman" w:hAnsi="Times New Roman" w:cs="Times New Roman"/>
                      <w:sz w:val="21"/>
                      <w:szCs w:val="21"/>
                    </w:rPr>
                    <w:t>“</w:t>
                  </w:r>
                  <w:r>
                    <w:rPr>
                      <w:rFonts w:hint="eastAsia" w:ascii="Times New Roman" w:hAnsi="Times New Roman" w:cs="Times New Roman"/>
                      <w:sz w:val="21"/>
                      <w:szCs w:val="21"/>
                    </w:rPr>
                    <w:t>排风集气箱</w:t>
                  </w:r>
                  <w:r>
                    <w:rPr>
                      <w:rFonts w:ascii="Times New Roman" w:hAnsi="Times New Roman" w:cs="Times New Roman"/>
                      <w:sz w:val="21"/>
                      <w:szCs w:val="21"/>
                    </w:rPr>
                    <w:t>+</w:t>
                  </w:r>
                  <w:r>
                    <w:rPr>
                      <w:rFonts w:hint="eastAsia" w:ascii="Times New Roman" w:hAnsi="Times New Roman" w:cs="Times New Roman"/>
                      <w:sz w:val="21"/>
                      <w:szCs w:val="21"/>
                    </w:rPr>
                    <w:t>干式</w:t>
                  </w:r>
                  <w:r>
                    <w:rPr>
                      <w:rFonts w:ascii="Times New Roman" w:hAnsi="Times New Roman" w:cs="Times New Roman"/>
                      <w:sz w:val="21"/>
                      <w:szCs w:val="21"/>
                    </w:rPr>
                    <w:t>过滤器+活性炭吸附箱</w:t>
                  </w:r>
                  <w:r>
                    <w:rPr>
                      <w:rFonts w:hint="eastAsia" w:ascii="Times New Roman" w:hAnsi="Times New Roman" w:cs="Times New Roman"/>
                      <w:sz w:val="21"/>
                      <w:szCs w:val="21"/>
                    </w:rPr>
                    <w:t>”</w:t>
                  </w:r>
                  <w:r>
                    <w:rPr>
                      <w:rFonts w:ascii="Times New Roman" w:hAnsi="Times New Roman" w:cs="Times New Roman"/>
                      <w:sz w:val="21"/>
                      <w:szCs w:val="21"/>
                    </w:rPr>
                    <w:t>（</w:t>
                  </w:r>
                  <w:r>
                    <w:rPr>
                      <w:rFonts w:hint="eastAsia" w:ascii="Times New Roman" w:hAnsi="Times New Roman" w:cs="Times New Roman"/>
                      <w:sz w:val="21"/>
                      <w:szCs w:val="21"/>
                    </w:rPr>
                    <w:t>6套</w:t>
                  </w:r>
                  <w:r>
                    <w:rPr>
                      <w:rFonts w:ascii="Times New Roman" w:hAnsi="Times New Roman" w:cs="Times New Roman"/>
                      <w:sz w:val="21"/>
                      <w:szCs w:val="21"/>
                    </w:rPr>
                    <w:t>）+15m高的排气筒（P1、P2）</w:t>
                  </w:r>
                </w:p>
              </w:tc>
              <w:tc>
                <w:tcPr>
                  <w:tcW w:w="1209" w:type="dxa"/>
                  <w:gridSpan w:val="2"/>
                  <w:vAlign w:val="center"/>
                </w:tcPr>
                <w:p>
                  <w:pPr>
                    <w:autoSpaceDE w:val="0"/>
                    <w:autoSpaceDN w:val="0"/>
                    <w:adjustRightInd w:val="0"/>
                    <w:jc w:val="center"/>
                    <w:rPr>
                      <w:bCs/>
                    </w:rPr>
                  </w:pPr>
                  <w:r>
                    <w:rPr>
                      <w:bCs/>
                    </w:rPr>
                    <w:t>1.9</w:t>
                  </w:r>
                </w:p>
              </w:tc>
              <w:tc>
                <w:tcPr>
                  <w:tcW w:w="834" w:type="dxa"/>
                  <w:vAlign w:val="center"/>
                </w:tcPr>
                <w:p>
                  <w:pPr>
                    <w:autoSpaceDE w:val="0"/>
                    <w:autoSpaceDN w:val="0"/>
                    <w:adjustRightInd w:val="0"/>
                    <w:jc w:val="center"/>
                    <w:rPr>
                      <w:bCs/>
                    </w:rPr>
                  </w:pPr>
                  <w:r>
                    <w:rPr>
                      <w:bCs/>
                    </w:rPr>
                    <w:t>0.1368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非甲烷总烃</w:t>
                  </w:r>
                </w:p>
              </w:tc>
              <w:tc>
                <w:tcPr>
                  <w:tcW w:w="1219" w:type="dxa"/>
                  <w:vAlign w:val="center"/>
                </w:tcPr>
                <w:p>
                  <w:pPr>
                    <w:autoSpaceDE w:val="0"/>
                    <w:autoSpaceDN w:val="0"/>
                    <w:adjustRightInd w:val="0"/>
                    <w:jc w:val="center"/>
                    <w:rPr>
                      <w:bCs/>
                    </w:rPr>
                  </w:pPr>
                  <w:r>
                    <w:rPr>
                      <w:bCs/>
                    </w:rPr>
                    <w:t>60.17</w:t>
                  </w:r>
                </w:p>
              </w:tc>
              <w:tc>
                <w:tcPr>
                  <w:tcW w:w="995" w:type="dxa"/>
                  <w:vAlign w:val="center"/>
                </w:tcPr>
                <w:p>
                  <w:pPr>
                    <w:autoSpaceDE w:val="0"/>
                    <w:autoSpaceDN w:val="0"/>
                    <w:adjustRightInd w:val="0"/>
                    <w:jc w:val="center"/>
                    <w:rPr>
                      <w:bCs/>
                    </w:rPr>
                  </w:pPr>
                  <w:r>
                    <w:rPr>
                      <w:bCs/>
                    </w:rPr>
                    <w:t>4.332</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9.03</w:t>
                  </w:r>
                </w:p>
              </w:tc>
              <w:tc>
                <w:tcPr>
                  <w:tcW w:w="834" w:type="dxa"/>
                  <w:vAlign w:val="center"/>
                </w:tcPr>
                <w:p>
                  <w:pPr>
                    <w:autoSpaceDE w:val="0"/>
                    <w:autoSpaceDN w:val="0"/>
                    <w:adjustRightInd w:val="0"/>
                    <w:jc w:val="center"/>
                    <w:rPr>
                      <w:bCs/>
                    </w:rPr>
                  </w:pPr>
                  <w:r>
                    <w:rPr>
                      <w:bCs/>
                    </w:rPr>
                    <w:t>0.6499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甲苯+乙苯</w:t>
                  </w:r>
                </w:p>
              </w:tc>
              <w:tc>
                <w:tcPr>
                  <w:tcW w:w="1219" w:type="dxa"/>
                  <w:vAlign w:val="center"/>
                </w:tcPr>
                <w:p>
                  <w:pPr>
                    <w:autoSpaceDE w:val="0"/>
                    <w:autoSpaceDN w:val="0"/>
                    <w:adjustRightInd w:val="0"/>
                    <w:jc w:val="center"/>
                    <w:rPr>
                      <w:bCs/>
                    </w:rPr>
                  </w:pPr>
                  <w:r>
                    <w:rPr>
                      <w:bCs/>
                    </w:rPr>
                    <w:t>1.7</w:t>
                  </w:r>
                </w:p>
              </w:tc>
              <w:tc>
                <w:tcPr>
                  <w:tcW w:w="995" w:type="dxa"/>
                  <w:vAlign w:val="center"/>
                </w:tcPr>
                <w:p>
                  <w:pPr>
                    <w:autoSpaceDE w:val="0"/>
                    <w:autoSpaceDN w:val="0"/>
                    <w:adjustRightInd w:val="0"/>
                    <w:jc w:val="center"/>
                    <w:rPr>
                      <w:bCs/>
                    </w:rPr>
                  </w:pPr>
                  <w:r>
                    <w:rPr>
                      <w:bCs/>
                    </w:rPr>
                    <w:t>0.1224</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0.267</w:t>
                  </w:r>
                </w:p>
              </w:tc>
              <w:tc>
                <w:tcPr>
                  <w:tcW w:w="834" w:type="dxa"/>
                  <w:vAlign w:val="center"/>
                </w:tcPr>
                <w:p>
                  <w:pPr>
                    <w:autoSpaceDE w:val="0"/>
                    <w:autoSpaceDN w:val="0"/>
                    <w:adjustRightInd w:val="0"/>
                    <w:jc w:val="center"/>
                    <w:rPr>
                      <w:bCs/>
                    </w:rPr>
                  </w:pPr>
                  <w:r>
                    <w:rPr>
                      <w:bCs/>
                    </w:rPr>
                    <w:t>0.0192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42"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二甲苯</w:t>
                  </w:r>
                </w:p>
              </w:tc>
              <w:tc>
                <w:tcPr>
                  <w:tcW w:w="1219" w:type="dxa"/>
                  <w:vAlign w:val="center"/>
                </w:tcPr>
                <w:p>
                  <w:pPr>
                    <w:autoSpaceDE w:val="0"/>
                    <w:autoSpaceDN w:val="0"/>
                    <w:adjustRightInd w:val="0"/>
                    <w:jc w:val="center"/>
                    <w:rPr>
                      <w:bCs/>
                    </w:rPr>
                  </w:pPr>
                  <w:r>
                    <w:rPr>
                      <w:bCs/>
                    </w:rPr>
                    <w:t>3.42</w:t>
                  </w:r>
                </w:p>
              </w:tc>
              <w:tc>
                <w:tcPr>
                  <w:tcW w:w="995" w:type="dxa"/>
                  <w:vAlign w:val="center"/>
                </w:tcPr>
                <w:p>
                  <w:pPr>
                    <w:autoSpaceDE w:val="0"/>
                    <w:autoSpaceDN w:val="0"/>
                    <w:adjustRightInd w:val="0"/>
                    <w:jc w:val="center"/>
                    <w:rPr>
                      <w:bCs/>
                    </w:rPr>
                  </w:pPr>
                  <w:r>
                    <w:rPr>
                      <w:bCs/>
                    </w:rPr>
                    <w:t>0.246</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0.53</w:t>
                  </w:r>
                </w:p>
              </w:tc>
              <w:tc>
                <w:tcPr>
                  <w:tcW w:w="834" w:type="dxa"/>
                  <w:vAlign w:val="center"/>
                </w:tcPr>
                <w:p>
                  <w:pPr>
                    <w:autoSpaceDE w:val="0"/>
                    <w:autoSpaceDN w:val="0"/>
                    <w:adjustRightInd w:val="0"/>
                    <w:jc w:val="center"/>
                    <w:rPr>
                      <w:bCs/>
                    </w:rPr>
                  </w:pPr>
                  <w:r>
                    <w:rPr>
                      <w:bCs/>
                    </w:rPr>
                    <w:t>0.038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restart"/>
                  <w:vAlign w:val="center"/>
                </w:tcPr>
                <w:p>
                  <w:pPr>
                    <w:snapToGrid w:val="0"/>
                    <w:jc w:val="center"/>
                  </w:pPr>
                  <w:r>
                    <w:t>无组织</w:t>
                  </w:r>
                </w:p>
              </w:tc>
              <w:tc>
                <w:tcPr>
                  <w:tcW w:w="1069" w:type="dxa"/>
                  <w:vAlign w:val="center"/>
                </w:tcPr>
                <w:p>
                  <w:pPr>
                    <w:snapToGrid w:val="0"/>
                    <w:jc w:val="center"/>
                  </w:pPr>
                  <w:r>
                    <w:t>漆雾</w:t>
                  </w: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0.144</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0.144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非甲烷总烃</w:t>
                  </w: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0.228</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0.228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甲苯+乙苯</w:t>
                  </w: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0.0066</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0.0066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69" w:hRule="atLeast"/>
                <w:jc w:val="center"/>
              </w:trPr>
              <w:tc>
                <w:tcPr>
                  <w:tcW w:w="426" w:type="dxa"/>
                  <w:vMerge w:val="continue"/>
                  <w:vAlign w:val="center"/>
                </w:tcPr>
                <w:p>
                  <w:pPr>
                    <w:autoSpaceDE w:val="0"/>
                    <w:autoSpaceDN w:val="0"/>
                    <w:adjustRightInd w:val="0"/>
                    <w:jc w:val="center"/>
                    <w:rPr>
                      <w:bCs/>
                    </w:rPr>
                  </w:pPr>
                </w:p>
              </w:tc>
              <w:tc>
                <w:tcPr>
                  <w:tcW w:w="742" w:type="dxa"/>
                  <w:vMerge w:val="continue"/>
                  <w:vAlign w:val="center"/>
                </w:tcPr>
                <w:p>
                  <w:pPr>
                    <w:snapToGrid w:val="0"/>
                    <w:jc w:val="center"/>
                  </w:pPr>
                </w:p>
              </w:tc>
              <w:tc>
                <w:tcPr>
                  <w:tcW w:w="857" w:type="dxa"/>
                  <w:vMerge w:val="continue"/>
                  <w:vAlign w:val="center"/>
                </w:tcPr>
                <w:p>
                  <w:pPr>
                    <w:snapToGrid w:val="0"/>
                    <w:jc w:val="center"/>
                  </w:pPr>
                </w:p>
              </w:tc>
              <w:tc>
                <w:tcPr>
                  <w:tcW w:w="1069" w:type="dxa"/>
                  <w:vAlign w:val="center"/>
                </w:tcPr>
                <w:p>
                  <w:pPr>
                    <w:snapToGrid w:val="0"/>
                    <w:jc w:val="center"/>
                  </w:pPr>
                  <w:r>
                    <w:t>二甲苯</w:t>
                  </w: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0.013</w:t>
                  </w:r>
                </w:p>
              </w:tc>
              <w:tc>
                <w:tcPr>
                  <w:tcW w:w="1432" w:type="dxa"/>
                  <w:vMerge w:val="continue"/>
                  <w:vAlign w:val="center"/>
                </w:tcPr>
                <w:p>
                  <w:pPr>
                    <w:pStyle w:val="13"/>
                    <w:spacing w:after="0"/>
                    <w:jc w:val="center"/>
                    <w:rPr>
                      <w:rFonts w:ascii="Times New Roman" w:hAnsi="Times New Roman" w:cs="Times New Roman"/>
                      <w:bCs/>
                      <w:sz w:val="21"/>
                      <w:szCs w:val="21"/>
                    </w:rPr>
                  </w:pP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0.013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restart"/>
                  <w:vAlign w:val="center"/>
                </w:tcPr>
                <w:p>
                  <w:pPr>
                    <w:autoSpaceDE w:val="0"/>
                    <w:autoSpaceDN w:val="0"/>
                    <w:adjustRightInd w:val="0"/>
                    <w:jc w:val="center"/>
                    <w:rPr>
                      <w:bCs/>
                    </w:rPr>
                  </w:pPr>
                  <w:r>
                    <w:rPr>
                      <w:bCs/>
                    </w:rPr>
                    <w:t>废水</w:t>
                  </w:r>
                </w:p>
              </w:tc>
              <w:tc>
                <w:tcPr>
                  <w:tcW w:w="1599" w:type="dxa"/>
                  <w:gridSpan w:val="2"/>
                  <w:vAlign w:val="center"/>
                </w:tcPr>
                <w:p>
                  <w:pPr>
                    <w:snapToGrid w:val="0"/>
                    <w:jc w:val="center"/>
                  </w:pPr>
                  <w:r>
                    <w:t>生活污水（537.78m</w:t>
                  </w:r>
                  <w:r>
                    <w:rPr>
                      <w:vertAlign w:val="superscript"/>
                    </w:rPr>
                    <w:t>3</w:t>
                  </w:r>
                  <w:r>
                    <w:t>/a）</w:t>
                  </w:r>
                </w:p>
              </w:tc>
              <w:tc>
                <w:tcPr>
                  <w:tcW w:w="6758" w:type="dxa"/>
                  <w:gridSpan w:val="7"/>
                  <w:vAlign w:val="center"/>
                </w:tcPr>
                <w:p>
                  <w:pPr>
                    <w:autoSpaceDE w:val="0"/>
                    <w:autoSpaceDN w:val="0"/>
                    <w:adjustRightInd w:val="0"/>
                    <w:jc w:val="center"/>
                    <w:rPr>
                      <w:bCs/>
                    </w:rPr>
                  </w:pPr>
                  <w:r>
                    <w:t>经现有化粪池预处理后，进入咸阳机场污水处理厂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t>清洗废水（</w:t>
                  </w:r>
                  <w:r>
                    <w:rPr>
                      <w:rFonts w:hint="eastAsia"/>
                    </w:rPr>
                    <w:t>3</w:t>
                  </w:r>
                  <w:r>
                    <w:t>2.4m</w:t>
                  </w:r>
                  <w:r>
                    <w:rPr>
                      <w:vertAlign w:val="superscript"/>
                    </w:rPr>
                    <w:t>3</w:t>
                  </w:r>
                  <w:r>
                    <w:t>/a）</w:t>
                  </w:r>
                </w:p>
              </w:tc>
              <w:tc>
                <w:tcPr>
                  <w:tcW w:w="6758" w:type="dxa"/>
                  <w:gridSpan w:val="7"/>
                  <w:vAlign w:val="center"/>
                </w:tcPr>
                <w:p>
                  <w:pPr>
                    <w:autoSpaceDE w:val="0"/>
                    <w:autoSpaceDN w:val="0"/>
                    <w:adjustRightInd w:val="0"/>
                    <w:jc w:val="center"/>
                  </w:pPr>
                  <w:r>
                    <w:rPr>
                      <w:bCs/>
                    </w:rPr>
                    <w:t>经水泵抽至过滤桶，过滤桶内设过滤网，将过滤棉放置过滤网上，废水经过滤棉过滤后通过管网排至咸阳机场污水处理厂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restart"/>
                  <w:vAlign w:val="center"/>
                </w:tcPr>
                <w:p>
                  <w:pPr>
                    <w:autoSpaceDE w:val="0"/>
                    <w:autoSpaceDN w:val="0"/>
                    <w:adjustRightInd w:val="0"/>
                    <w:jc w:val="center"/>
                    <w:rPr>
                      <w:bCs/>
                    </w:rPr>
                  </w:pPr>
                  <w:r>
                    <w:rPr>
                      <w:bCs/>
                    </w:rPr>
                    <w:t>固废</w:t>
                  </w:r>
                </w:p>
              </w:tc>
              <w:tc>
                <w:tcPr>
                  <w:tcW w:w="1599" w:type="dxa"/>
                  <w:gridSpan w:val="2"/>
                  <w:vAlign w:val="center"/>
                </w:tcPr>
                <w:p>
                  <w:pPr>
                    <w:snapToGrid w:val="0"/>
                    <w:jc w:val="center"/>
                    <w:rPr>
                      <w:color w:val="FF0000"/>
                      <w:spacing w:val="-20"/>
                    </w:rPr>
                  </w:pPr>
                  <w:r>
                    <w:rPr>
                      <w:color w:val="000000"/>
                    </w:rPr>
                    <w:t>维修工序</w:t>
                  </w:r>
                </w:p>
              </w:tc>
              <w:tc>
                <w:tcPr>
                  <w:tcW w:w="1069" w:type="dxa"/>
                  <w:vAlign w:val="center"/>
                </w:tcPr>
                <w:p>
                  <w:pPr>
                    <w:snapToGrid w:val="0"/>
                    <w:jc w:val="center"/>
                    <w:rPr>
                      <w:color w:val="FF0000"/>
                    </w:rPr>
                  </w:pPr>
                  <w:r>
                    <w:rPr>
                      <w:color w:val="000000" w:themeColor="text1"/>
                      <w14:textFill>
                        <w14:solidFill>
                          <w14:schemeClr w14:val="tx1"/>
                        </w14:solidFill>
                      </w14:textFill>
                    </w:rPr>
                    <w:t>废旧零部件</w:t>
                  </w:r>
                </w:p>
              </w:tc>
              <w:tc>
                <w:tcPr>
                  <w:tcW w:w="1219" w:type="dxa"/>
                  <w:vAlign w:val="center"/>
                </w:tcPr>
                <w:p>
                  <w:pPr>
                    <w:jc w:val="center"/>
                    <w:rPr>
                      <w:color w:val="FF0000"/>
                    </w:rPr>
                  </w:pPr>
                  <w:r>
                    <w:rPr>
                      <w:bCs/>
                    </w:rPr>
                    <w:t>/</w:t>
                  </w:r>
                </w:p>
              </w:tc>
              <w:tc>
                <w:tcPr>
                  <w:tcW w:w="995" w:type="dxa"/>
                  <w:vAlign w:val="center"/>
                </w:tcPr>
                <w:p>
                  <w:pPr>
                    <w:snapToGrid w:val="0"/>
                    <w:spacing w:line="0" w:lineRule="atLeast"/>
                    <w:jc w:val="center"/>
                    <w:rPr>
                      <w:color w:val="FF0000"/>
                    </w:rPr>
                  </w:pPr>
                  <w:r>
                    <w:rPr>
                      <w:color w:val="000000" w:themeColor="text1"/>
                      <w14:textFill>
                        <w14:solidFill>
                          <w14:schemeClr w14:val="tx1"/>
                        </w14:solidFill>
                      </w14:textFill>
                    </w:rPr>
                    <w:t>1</w:t>
                  </w:r>
                </w:p>
              </w:tc>
              <w:tc>
                <w:tcPr>
                  <w:tcW w:w="1432" w:type="dxa"/>
                  <w:vMerge w:val="restart"/>
                  <w:vAlign w:val="center"/>
                </w:tcPr>
                <w:p>
                  <w:pPr>
                    <w:pStyle w:val="13"/>
                    <w:spacing w:after="0"/>
                    <w:jc w:val="center"/>
                    <w:rPr>
                      <w:rFonts w:ascii="Times New Roman" w:hAnsi="Times New Roman" w:cs="Times New Roman"/>
                      <w:bCs/>
                      <w:color w:val="FF0000"/>
                      <w:sz w:val="21"/>
                      <w:szCs w:val="21"/>
                    </w:rPr>
                  </w:pPr>
                  <w:r>
                    <w:rPr>
                      <w:rFonts w:ascii="Times New Roman" w:hAnsi="Times New Roman" w:cs="Times New Roman"/>
                      <w:bCs/>
                      <w:color w:val="000000" w:themeColor="text1"/>
                      <w:sz w:val="21"/>
                      <w:szCs w:val="21"/>
                      <w14:textFill>
                        <w14:solidFill>
                          <w14:schemeClr w14:val="tx1"/>
                        </w14:solidFill>
                      </w14:textFill>
                    </w:rPr>
                    <w:t>收集后统一外售</w:t>
                  </w:r>
                </w:p>
              </w:tc>
              <w:tc>
                <w:tcPr>
                  <w:tcW w:w="1209" w:type="dxa"/>
                  <w:gridSpan w:val="2"/>
                  <w:vAlign w:val="center"/>
                </w:tcPr>
                <w:p>
                  <w:pPr>
                    <w:jc w:val="center"/>
                  </w:pPr>
                  <w:r>
                    <w:rPr>
                      <w:bCs/>
                    </w:rPr>
                    <w:t>/</w:t>
                  </w:r>
                </w:p>
              </w:tc>
              <w:tc>
                <w:tcPr>
                  <w:tcW w:w="834" w:type="dxa"/>
                  <w:vAlign w:val="center"/>
                </w:tcPr>
                <w:p>
                  <w:pPr>
                    <w:jc w:val="cente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维修工序</w:t>
                  </w:r>
                </w:p>
              </w:tc>
              <w:tc>
                <w:tcPr>
                  <w:tcW w:w="1069" w:type="dxa"/>
                  <w:vAlign w:val="center"/>
                </w:tcPr>
                <w:p>
                  <w:pPr>
                    <w:snapToGrid w:val="0"/>
                    <w:jc w:val="center"/>
                  </w:pPr>
                  <w:r>
                    <w:rPr>
                      <w:color w:val="000000" w:themeColor="text1"/>
                      <w14:textFill>
                        <w14:solidFill>
                          <w14:schemeClr w14:val="tx1"/>
                        </w14:solidFill>
                      </w14:textFill>
                    </w:rPr>
                    <w:t>废旧包装盒</w:t>
                  </w:r>
                </w:p>
              </w:tc>
              <w:tc>
                <w:tcPr>
                  <w:tcW w:w="1219" w:type="dxa"/>
                  <w:vAlign w:val="center"/>
                </w:tcPr>
                <w:p>
                  <w:pPr>
                    <w:jc w:val="center"/>
                  </w:pPr>
                  <w:r>
                    <w:rPr>
                      <w:bCs/>
                    </w:rPr>
                    <w:t>/</w:t>
                  </w:r>
                </w:p>
              </w:tc>
              <w:tc>
                <w:tcPr>
                  <w:tcW w:w="995" w:type="dxa"/>
                  <w:vAlign w:val="center"/>
                </w:tcPr>
                <w:p>
                  <w:pPr>
                    <w:snapToGrid w:val="0"/>
                    <w:spacing w:line="0" w:lineRule="atLeast"/>
                    <w:jc w:val="center"/>
                  </w:pPr>
                  <w:r>
                    <w:rPr>
                      <w:color w:val="000000" w:themeColor="text1"/>
                      <w14:textFill>
                        <w14:solidFill>
                          <w14:schemeClr w14:val="tx1"/>
                        </w14:solidFill>
                      </w14:textFill>
                    </w:rPr>
                    <w:t>0.2</w:t>
                  </w:r>
                </w:p>
              </w:tc>
              <w:tc>
                <w:tcPr>
                  <w:tcW w:w="1432" w:type="dxa"/>
                  <w:vMerge w:val="continue"/>
                  <w:vAlign w:val="center"/>
                </w:tcPr>
                <w:p>
                  <w:pPr>
                    <w:snapToGrid w:val="0"/>
                    <w:jc w:val="center"/>
                    <w:rPr>
                      <w:bCs/>
                    </w:rPr>
                  </w:pPr>
                </w:p>
              </w:tc>
              <w:tc>
                <w:tcPr>
                  <w:tcW w:w="1209" w:type="dxa"/>
                  <w:gridSpan w:val="2"/>
                  <w:vAlign w:val="center"/>
                </w:tcPr>
                <w:p>
                  <w:pPr>
                    <w:jc w:val="center"/>
                  </w:pPr>
                  <w:r>
                    <w:rPr>
                      <w:bCs/>
                    </w:rPr>
                    <w:t>/</w:t>
                  </w:r>
                </w:p>
              </w:tc>
              <w:tc>
                <w:tcPr>
                  <w:tcW w:w="834" w:type="dxa"/>
                  <w:vAlign w:val="center"/>
                </w:tcPr>
                <w:p>
                  <w:pPr>
                    <w:jc w:val="cente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日常办公</w:t>
                  </w:r>
                </w:p>
              </w:tc>
              <w:tc>
                <w:tcPr>
                  <w:tcW w:w="1069" w:type="dxa"/>
                  <w:vAlign w:val="center"/>
                </w:tcPr>
                <w:p>
                  <w:pPr>
                    <w:snapToGrid w:val="0"/>
                    <w:jc w:val="center"/>
                  </w:pPr>
                  <w:r>
                    <w:rPr>
                      <w:color w:val="000000"/>
                    </w:rPr>
                    <w:t>生活垃圾</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rPr>
                      <w:color w:val="000000"/>
                    </w:rPr>
                    <w:t>9.855</w:t>
                  </w:r>
                </w:p>
              </w:tc>
              <w:tc>
                <w:tcPr>
                  <w:tcW w:w="1432" w:type="dxa"/>
                  <w:vAlign w:val="center"/>
                </w:tcPr>
                <w:p>
                  <w:pPr>
                    <w:snapToGrid w:val="0"/>
                    <w:jc w:val="center"/>
                    <w:rPr>
                      <w:bCs/>
                    </w:rPr>
                  </w:pPr>
                  <w:r>
                    <w:rPr>
                      <w:color w:val="000000"/>
                    </w:rPr>
                    <w:t>统一交由环卫部门处置</w:t>
                  </w: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喷漆工序</w:t>
                  </w:r>
                </w:p>
              </w:tc>
              <w:tc>
                <w:tcPr>
                  <w:tcW w:w="1069" w:type="dxa"/>
                  <w:vAlign w:val="center"/>
                </w:tcPr>
                <w:p>
                  <w:pPr>
                    <w:snapToGrid w:val="0"/>
                    <w:jc w:val="center"/>
                  </w:pPr>
                  <w:r>
                    <w:rPr>
                      <w:color w:val="000000"/>
                    </w:rPr>
                    <w:t>废有机溶剂桶</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rPr>
                      <w:color w:val="000000"/>
                    </w:rPr>
                    <w:t>2</w:t>
                  </w:r>
                </w:p>
              </w:tc>
              <w:tc>
                <w:tcPr>
                  <w:tcW w:w="1432" w:type="dxa"/>
                  <w:vMerge w:val="restart"/>
                  <w:vAlign w:val="center"/>
                </w:tcPr>
                <w:p>
                  <w:pPr>
                    <w:snapToGrid w:val="0"/>
                    <w:jc w:val="center"/>
                    <w:rPr>
                      <w:bCs/>
                    </w:rPr>
                  </w:pPr>
                  <w:r>
                    <w:rPr>
                      <w:color w:val="000000"/>
                    </w:rPr>
                    <w:t>由维修基地危废暂存间暂存后，交由有资质单位处理</w:t>
                  </w: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维修工序</w:t>
                  </w:r>
                </w:p>
              </w:tc>
              <w:tc>
                <w:tcPr>
                  <w:tcW w:w="1069" w:type="dxa"/>
                  <w:vAlign w:val="center"/>
                </w:tcPr>
                <w:p>
                  <w:pPr>
                    <w:snapToGrid w:val="0"/>
                    <w:jc w:val="center"/>
                  </w:pPr>
                  <w:r>
                    <w:rPr>
                      <w:color w:val="000000"/>
                    </w:rPr>
                    <w:t>废机油、含有手套、抹布</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t>0.5</w:t>
                  </w:r>
                </w:p>
              </w:tc>
              <w:tc>
                <w:tcPr>
                  <w:tcW w:w="1432" w:type="dxa"/>
                  <w:vMerge w:val="continue"/>
                  <w:vAlign w:val="center"/>
                </w:tcPr>
                <w:p>
                  <w:pPr>
                    <w:snapToGrid w:val="0"/>
                    <w:jc w:val="center"/>
                    <w:rPr>
                      <w:bCs/>
                    </w:rPr>
                  </w:pP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废水过滤</w:t>
                  </w:r>
                </w:p>
              </w:tc>
              <w:tc>
                <w:tcPr>
                  <w:tcW w:w="1069" w:type="dxa"/>
                  <w:vAlign w:val="center"/>
                </w:tcPr>
                <w:p>
                  <w:pPr>
                    <w:snapToGrid w:val="0"/>
                    <w:jc w:val="center"/>
                  </w:pPr>
                  <w:r>
                    <w:rPr>
                      <w:color w:val="000000"/>
                    </w:rPr>
                    <w:t>废过滤棉（含杂质）</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t>0.8</w:t>
                  </w:r>
                </w:p>
              </w:tc>
              <w:tc>
                <w:tcPr>
                  <w:tcW w:w="1432" w:type="dxa"/>
                  <w:vMerge w:val="continue"/>
                  <w:vAlign w:val="center"/>
                </w:tcPr>
                <w:p>
                  <w:pPr>
                    <w:snapToGrid w:val="0"/>
                    <w:jc w:val="center"/>
                    <w:rPr>
                      <w:bCs/>
                    </w:rPr>
                  </w:pP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环保设备</w:t>
                  </w:r>
                </w:p>
              </w:tc>
              <w:tc>
                <w:tcPr>
                  <w:tcW w:w="1069" w:type="dxa"/>
                  <w:vAlign w:val="center"/>
                </w:tcPr>
                <w:p>
                  <w:pPr>
                    <w:snapToGrid w:val="0"/>
                    <w:jc w:val="center"/>
                  </w:pPr>
                  <w:r>
                    <w:rPr>
                      <w:color w:val="000000"/>
                    </w:rPr>
                    <w:t>废</w:t>
                  </w:r>
                  <w:r>
                    <w:rPr>
                      <w:rFonts w:hint="eastAsia"/>
                      <w:color w:val="000000"/>
                    </w:rPr>
                    <w:t>滤芯</w:t>
                  </w:r>
                  <w:r>
                    <w:rPr>
                      <w:color w:val="000000"/>
                    </w:rPr>
                    <w:t>（含</w:t>
                  </w:r>
                  <w:r>
                    <w:rPr>
                      <w:color w:val="000000"/>
                      <w:highlight w:val="none"/>
                    </w:rPr>
                    <w:t>漆雾</w:t>
                  </w:r>
                  <w:r>
                    <w:rPr>
                      <w:color w:val="000000"/>
                    </w:rPr>
                    <w:t>）</w:t>
                  </w:r>
                  <w:r>
                    <w:rPr>
                      <w:rFonts w:hint="eastAsia"/>
                      <w:color w:val="000000"/>
                    </w:rPr>
                    <w:t>、废滤芯（含漆粉尘）</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rPr>
                      <w:rFonts w:hint="eastAsia"/>
                    </w:rPr>
                    <w:t>5.8</w:t>
                  </w:r>
                  <w:r>
                    <w:t>04</w:t>
                  </w:r>
                </w:p>
              </w:tc>
              <w:tc>
                <w:tcPr>
                  <w:tcW w:w="1432" w:type="dxa"/>
                  <w:vMerge w:val="continue"/>
                  <w:vAlign w:val="center"/>
                </w:tcPr>
                <w:p>
                  <w:pPr>
                    <w:snapToGrid w:val="0"/>
                    <w:jc w:val="center"/>
                    <w:rPr>
                      <w:bCs/>
                    </w:rPr>
                  </w:pP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Merge w:val="continue"/>
                  <w:vAlign w:val="center"/>
                </w:tcPr>
                <w:p>
                  <w:pPr>
                    <w:autoSpaceDE w:val="0"/>
                    <w:autoSpaceDN w:val="0"/>
                    <w:adjustRightInd w:val="0"/>
                    <w:jc w:val="center"/>
                    <w:rPr>
                      <w:bCs/>
                    </w:rPr>
                  </w:pPr>
                </w:p>
              </w:tc>
              <w:tc>
                <w:tcPr>
                  <w:tcW w:w="1599" w:type="dxa"/>
                  <w:gridSpan w:val="2"/>
                  <w:vAlign w:val="center"/>
                </w:tcPr>
                <w:p>
                  <w:pPr>
                    <w:snapToGrid w:val="0"/>
                    <w:jc w:val="center"/>
                  </w:pPr>
                  <w:r>
                    <w:rPr>
                      <w:color w:val="000000"/>
                    </w:rPr>
                    <w:t>环保设备</w:t>
                  </w:r>
                </w:p>
              </w:tc>
              <w:tc>
                <w:tcPr>
                  <w:tcW w:w="1069" w:type="dxa"/>
                  <w:vAlign w:val="center"/>
                </w:tcPr>
                <w:p>
                  <w:pPr>
                    <w:snapToGrid w:val="0"/>
                    <w:jc w:val="center"/>
                  </w:pPr>
                  <w:r>
                    <w:rPr>
                      <w:color w:val="000000"/>
                    </w:rPr>
                    <w:t>废活性炭</w:t>
                  </w:r>
                </w:p>
              </w:tc>
              <w:tc>
                <w:tcPr>
                  <w:tcW w:w="1219" w:type="dxa"/>
                  <w:vAlign w:val="center"/>
                </w:tcPr>
                <w:p>
                  <w:pPr>
                    <w:jc w:val="center"/>
                    <w:rPr>
                      <w:bCs/>
                    </w:rPr>
                  </w:pPr>
                  <w:r>
                    <w:rPr>
                      <w:bCs/>
                    </w:rPr>
                    <w:t>/</w:t>
                  </w:r>
                </w:p>
              </w:tc>
              <w:tc>
                <w:tcPr>
                  <w:tcW w:w="995" w:type="dxa"/>
                  <w:vAlign w:val="center"/>
                </w:tcPr>
                <w:p>
                  <w:pPr>
                    <w:snapToGrid w:val="0"/>
                    <w:spacing w:line="0" w:lineRule="atLeast"/>
                    <w:jc w:val="center"/>
                  </w:pPr>
                  <w:r>
                    <w:t>15.96</w:t>
                  </w:r>
                </w:p>
              </w:tc>
              <w:tc>
                <w:tcPr>
                  <w:tcW w:w="1432" w:type="dxa"/>
                  <w:vMerge w:val="continue"/>
                  <w:vAlign w:val="center"/>
                </w:tcPr>
                <w:p>
                  <w:pPr>
                    <w:snapToGrid w:val="0"/>
                    <w:jc w:val="center"/>
                    <w:rPr>
                      <w:bCs/>
                    </w:rPr>
                  </w:pPr>
                </w:p>
              </w:tc>
              <w:tc>
                <w:tcPr>
                  <w:tcW w:w="1209" w:type="dxa"/>
                  <w:gridSpan w:val="2"/>
                  <w:vAlign w:val="center"/>
                </w:tcPr>
                <w:p>
                  <w:pPr>
                    <w:jc w:val="center"/>
                    <w:rPr>
                      <w:bCs/>
                    </w:rPr>
                  </w:pPr>
                  <w:r>
                    <w:rPr>
                      <w:bCs/>
                    </w:rPr>
                    <w:t>/</w:t>
                  </w:r>
                </w:p>
              </w:tc>
              <w:tc>
                <w:tcPr>
                  <w:tcW w:w="834" w:type="dxa"/>
                  <w:vAlign w:val="center"/>
                </w:tcPr>
                <w:p>
                  <w:pPr>
                    <w:jc w:val="center"/>
                    <w:rPr>
                      <w:bCs/>
                    </w:rPr>
                  </w:pPr>
                  <w:r>
                    <w:rPr>
                      <w:bCs/>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426" w:type="dxa"/>
                  <w:vAlign w:val="center"/>
                </w:tcPr>
                <w:p>
                  <w:pPr>
                    <w:autoSpaceDE w:val="0"/>
                    <w:autoSpaceDN w:val="0"/>
                    <w:adjustRightInd w:val="0"/>
                    <w:jc w:val="center"/>
                    <w:rPr>
                      <w:bCs/>
                    </w:rPr>
                  </w:pPr>
                  <w:r>
                    <w:rPr>
                      <w:bCs/>
                    </w:rPr>
                    <w:t>噪声</w:t>
                  </w:r>
                </w:p>
              </w:tc>
              <w:tc>
                <w:tcPr>
                  <w:tcW w:w="1599" w:type="dxa"/>
                  <w:gridSpan w:val="2"/>
                  <w:vAlign w:val="center"/>
                </w:tcPr>
                <w:p>
                  <w:pPr>
                    <w:autoSpaceDE w:val="0"/>
                    <w:autoSpaceDN w:val="0"/>
                    <w:adjustRightInd w:val="0"/>
                    <w:jc w:val="center"/>
                    <w:rPr>
                      <w:bCs/>
                    </w:rPr>
                  </w:pPr>
                  <w:r>
                    <w:rPr>
                      <w:bCs/>
                    </w:rPr>
                    <w:t>设备运行</w:t>
                  </w:r>
                </w:p>
              </w:tc>
              <w:tc>
                <w:tcPr>
                  <w:tcW w:w="1069" w:type="dxa"/>
                  <w:vAlign w:val="center"/>
                </w:tcPr>
                <w:p>
                  <w:pPr>
                    <w:jc w:val="center"/>
                    <w:rPr>
                      <w:bCs/>
                    </w:rPr>
                  </w:pPr>
                </w:p>
              </w:tc>
              <w:tc>
                <w:tcPr>
                  <w:tcW w:w="1219" w:type="dxa"/>
                  <w:vAlign w:val="center"/>
                </w:tcPr>
                <w:p>
                  <w:pPr>
                    <w:autoSpaceDE w:val="0"/>
                    <w:autoSpaceDN w:val="0"/>
                    <w:adjustRightInd w:val="0"/>
                    <w:jc w:val="center"/>
                    <w:rPr>
                      <w:bCs/>
                    </w:rPr>
                  </w:pPr>
                  <w:r>
                    <w:rPr>
                      <w:bCs/>
                    </w:rPr>
                    <w:t>/</w:t>
                  </w:r>
                </w:p>
              </w:tc>
              <w:tc>
                <w:tcPr>
                  <w:tcW w:w="995" w:type="dxa"/>
                  <w:vAlign w:val="center"/>
                </w:tcPr>
                <w:p>
                  <w:pPr>
                    <w:autoSpaceDE w:val="0"/>
                    <w:autoSpaceDN w:val="0"/>
                    <w:adjustRightInd w:val="0"/>
                    <w:jc w:val="center"/>
                    <w:rPr>
                      <w:bCs/>
                    </w:rPr>
                  </w:pPr>
                  <w:r>
                    <w:rPr>
                      <w:bCs/>
                    </w:rPr>
                    <w:t>70~90dB（A）</w:t>
                  </w:r>
                </w:p>
              </w:tc>
              <w:tc>
                <w:tcPr>
                  <w:tcW w:w="1432" w:type="dxa"/>
                  <w:vAlign w:val="center"/>
                </w:tcPr>
                <w:p>
                  <w:pPr>
                    <w:autoSpaceDE w:val="0"/>
                    <w:autoSpaceDN w:val="0"/>
                    <w:adjustRightInd w:val="0"/>
                    <w:jc w:val="center"/>
                    <w:rPr>
                      <w:bCs/>
                    </w:rPr>
                  </w:pPr>
                  <w:r>
                    <w:rPr>
                      <w:bCs/>
                    </w:rPr>
                    <w:t>隔声、基础减振等</w:t>
                  </w:r>
                </w:p>
              </w:tc>
              <w:tc>
                <w:tcPr>
                  <w:tcW w:w="1209" w:type="dxa"/>
                  <w:gridSpan w:val="2"/>
                  <w:vAlign w:val="center"/>
                </w:tcPr>
                <w:p>
                  <w:pPr>
                    <w:autoSpaceDE w:val="0"/>
                    <w:autoSpaceDN w:val="0"/>
                    <w:adjustRightInd w:val="0"/>
                    <w:jc w:val="center"/>
                    <w:rPr>
                      <w:bCs/>
                    </w:rPr>
                  </w:pPr>
                  <w:r>
                    <w:rPr>
                      <w:bCs/>
                    </w:rPr>
                    <w:t>/</w:t>
                  </w:r>
                </w:p>
              </w:tc>
              <w:tc>
                <w:tcPr>
                  <w:tcW w:w="834" w:type="dxa"/>
                  <w:vAlign w:val="center"/>
                </w:tcPr>
                <w:p>
                  <w:pPr>
                    <w:autoSpaceDE w:val="0"/>
                    <w:autoSpaceDN w:val="0"/>
                    <w:adjustRightInd w:val="0"/>
                    <w:jc w:val="center"/>
                    <w:rPr>
                      <w:bCs/>
                    </w:rPr>
                  </w:pPr>
                  <w:r>
                    <w:rPr>
                      <w:bCs/>
                    </w:rPr>
                    <w:t>昼间≤60</w:t>
                  </w:r>
                </w:p>
                <w:p>
                  <w:pPr>
                    <w:autoSpaceDE w:val="0"/>
                    <w:autoSpaceDN w:val="0"/>
                    <w:adjustRightInd w:val="0"/>
                    <w:jc w:val="center"/>
                    <w:rPr>
                      <w:bCs/>
                    </w:rPr>
                  </w:pPr>
                  <w:r>
                    <w:rPr>
                      <w:bCs/>
                    </w:rPr>
                    <w:t>夜间≤50</w:t>
                  </w:r>
                </w:p>
              </w:tc>
            </w:tr>
          </w:tbl>
          <w:p>
            <w:pPr>
              <w:adjustRightInd w:val="0"/>
              <w:snapToGrid w:val="0"/>
              <w:jc w:val="center"/>
              <w:rPr>
                <w:rFonts w:eastAsia="黑体"/>
                <w:sz w:val="24"/>
              </w:rPr>
            </w:pPr>
          </w:p>
          <w:p>
            <w:pPr>
              <w:adjustRightInd w:val="0"/>
              <w:snapToGrid w:val="0"/>
              <w:jc w:val="center"/>
              <w:rPr>
                <w:rFonts w:eastAsia="黑体"/>
                <w:sz w:val="24"/>
              </w:rPr>
            </w:pPr>
          </w:p>
          <w:p>
            <w:pPr>
              <w:adjustRightInd w:val="0"/>
              <w:snapToGrid w:val="0"/>
              <w:jc w:val="center"/>
              <w:rPr>
                <w:rFonts w:eastAsia="黑体"/>
                <w:sz w:val="24"/>
              </w:rPr>
            </w:pPr>
          </w:p>
          <w:p>
            <w:pPr>
              <w:adjustRightInd w:val="0"/>
              <w:snapToGrid w:val="0"/>
              <w:jc w:val="center"/>
              <w:rPr>
                <w:rFonts w:eastAsia="黑体"/>
                <w:sz w:val="24"/>
              </w:rPr>
            </w:pPr>
          </w:p>
          <w:p>
            <w:pPr>
              <w:adjustRightInd w:val="0"/>
              <w:snapToGrid w:val="0"/>
              <w:jc w:val="center"/>
              <w:rPr>
                <w:rFonts w:eastAsia="黑体"/>
                <w:sz w:val="24"/>
              </w:rPr>
            </w:pPr>
          </w:p>
          <w:p>
            <w:pPr>
              <w:adjustRightInd w:val="0"/>
              <w:snapToGrid w:val="0"/>
              <w:jc w:val="center"/>
              <w:rPr>
                <w:rFonts w:eastAsia="黑体"/>
                <w:sz w:val="24"/>
              </w:rPr>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tc>
      </w:tr>
    </w:tbl>
    <w:p>
      <w:pPr>
        <w:tabs>
          <w:tab w:val="left" w:pos="5760"/>
        </w:tabs>
        <w:adjustRightInd w:val="0"/>
        <w:snapToGrid w:val="0"/>
        <w:spacing w:line="0" w:lineRule="atLeast"/>
        <w:rPr>
          <w:b/>
          <w:sz w:val="30"/>
          <w:szCs w:val="30"/>
        </w:rPr>
      </w:pPr>
      <w:bookmarkStart w:id="98" w:name="_Toc193872740"/>
      <w:bookmarkStart w:id="99" w:name="_Toc171761620"/>
      <w:bookmarkStart w:id="100" w:name="_Toc178817703"/>
    </w:p>
    <w:p>
      <w:pPr>
        <w:tabs>
          <w:tab w:val="left" w:pos="5760"/>
        </w:tabs>
        <w:adjustRightInd w:val="0"/>
        <w:snapToGrid w:val="0"/>
        <w:spacing w:line="0" w:lineRule="atLeast"/>
        <w:rPr>
          <w:b/>
          <w:sz w:val="30"/>
          <w:szCs w:val="30"/>
        </w:rPr>
      </w:pPr>
    </w:p>
    <w:p>
      <w:pPr>
        <w:tabs>
          <w:tab w:val="left" w:pos="5760"/>
        </w:tabs>
        <w:adjustRightInd w:val="0"/>
        <w:snapToGrid w:val="0"/>
        <w:spacing w:line="0" w:lineRule="atLeast"/>
        <w:rPr>
          <w:b/>
          <w:sz w:val="30"/>
          <w:szCs w:val="30"/>
        </w:rPr>
      </w:pPr>
    </w:p>
    <w:p>
      <w:pPr>
        <w:tabs>
          <w:tab w:val="left" w:pos="5760"/>
        </w:tabs>
        <w:adjustRightInd w:val="0"/>
        <w:snapToGrid w:val="0"/>
        <w:spacing w:line="0" w:lineRule="atLeast"/>
        <w:rPr>
          <w:b/>
          <w:sz w:val="30"/>
          <w:szCs w:val="30"/>
        </w:rPr>
      </w:pPr>
    </w:p>
    <w:p>
      <w:pPr>
        <w:tabs>
          <w:tab w:val="left" w:pos="5760"/>
        </w:tabs>
        <w:adjustRightInd w:val="0"/>
        <w:snapToGrid w:val="0"/>
        <w:spacing w:line="0" w:lineRule="atLeast"/>
        <w:rPr>
          <w:b/>
          <w:sz w:val="30"/>
          <w:szCs w:val="30"/>
        </w:rPr>
      </w:pPr>
      <w:r>
        <w:rPr>
          <w:b/>
          <w:sz w:val="30"/>
          <w:szCs w:val="30"/>
        </w:rPr>
        <w:t>建设项目拟采取的防治措施及预期治理效果</w:t>
      </w:r>
    </w:p>
    <w:tbl>
      <w:tblPr>
        <w:tblStyle w:val="38"/>
        <w:tblW w:w="906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247"/>
        <w:gridCol w:w="1050"/>
        <w:gridCol w:w="1240"/>
        <w:gridCol w:w="2258"/>
        <w:gridCol w:w="32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806" w:hRule="atLeast"/>
          <w:jc w:val="center"/>
        </w:trPr>
        <w:tc>
          <w:tcPr>
            <w:tcW w:w="1247" w:type="dxa"/>
            <w:tcBorders>
              <w:bottom w:val="single" w:color="auto" w:sz="4" w:space="0"/>
            </w:tcBorders>
            <w:vAlign w:val="center"/>
          </w:tcPr>
          <w:p>
            <w:pPr>
              <w:jc w:val="center"/>
              <w:rPr>
                <w:rFonts w:eastAsia="黑体"/>
                <w:sz w:val="24"/>
              </w:rPr>
            </w:pPr>
            <w:r>
              <w:rPr>
                <w:sz w:val="24"/>
              </w:rPr>
              <mc:AlternateContent>
                <mc:Choice Requires="wps">
                  <w:drawing>
                    <wp:anchor distT="0" distB="0" distL="114300" distR="114300" simplePos="0" relativeHeight="251657216" behindDoc="0" locked="0" layoutInCell="1" allowOverlap="1">
                      <wp:simplePos x="0" y="0"/>
                      <wp:positionH relativeFrom="column">
                        <wp:posOffset>-20955</wp:posOffset>
                      </wp:positionH>
                      <wp:positionV relativeFrom="paragraph">
                        <wp:posOffset>-12065</wp:posOffset>
                      </wp:positionV>
                      <wp:extent cx="771525" cy="504825"/>
                      <wp:effectExtent l="17145" t="13335" r="24130" b="27940"/>
                      <wp:wrapNone/>
                      <wp:docPr id="66" name="直线 424"/>
                      <wp:cNvGraphicFramePr/>
                      <a:graphic xmlns:a="http://schemas.openxmlformats.org/drawingml/2006/main">
                        <a:graphicData uri="http://schemas.microsoft.com/office/word/2010/wordprocessingShape">
                          <wps:wsp>
                            <wps:cNvCnPr>
                              <a:cxnSpLocks noChangeShapeType="1"/>
                            </wps:cNvCnPr>
                            <wps:spPr bwMode="auto">
                              <a:xfrm>
                                <a:off x="0" y="0"/>
                                <a:ext cx="771525" cy="504825"/>
                              </a:xfrm>
                              <a:prstGeom prst="line">
                                <a:avLst/>
                              </a:prstGeom>
                              <a:noFill/>
                              <a:ln w="9525">
                                <a:solidFill>
                                  <a:srgbClr val="000000"/>
                                </a:solidFill>
                                <a:round/>
                              </a:ln>
                            </wps:spPr>
                            <wps:bodyPr/>
                          </wps:wsp>
                        </a:graphicData>
                      </a:graphic>
                    </wp:anchor>
                  </w:drawing>
                </mc:Choice>
                <mc:Fallback>
                  <w:pict>
                    <v:line id="直线 424" o:spid="_x0000_s1026" o:spt="20" style="position:absolute;left:0pt;margin-left:-1.65pt;margin-top:-0.95pt;height:39.75pt;width:60.75pt;z-index:251657216;mso-width-relative:page;mso-height-relative:page;" filled="f" stroked="t" coordsize="21600,21600" o:gfxdata="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3wMCk2AAAAAgBAAAPAAAAAAAAAAEAIAAAACIAAABkcnMvZG93bnJldi54&#10;bWxQSwECFAAUAAAACACHTuJAd/CDqsEBAABaAwAADgAAAAAAAAABACAAAAAnAQAAZHJzL2Uyb0Rv&#10;Yy54bWxQSwUGAAAAAAYABgBZAQAAWgUAAAAA&#10;">
                      <v:fill on="f" focussize="0,0"/>
                      <v:stroke color="#000000" joinstyle="round"/>
                      <v:imagedata o:title=""/>
                      <o:lock v:ext="edit" aspectratio="f"/>
                    </v:line>
                  </w:pict>
                </mc:Fallback>
              </mc:AlternateContent>
            </w:r>
            <w:r>
              <w:rPr>
                <w:rFonts w:eastAsia="黑体"/>
                <w:sz w:val="24"/>
              </w:rPr>
              <w:t>内容</w:t>
            </w:r>
          </w:p>
          <w:p>
            <w:pPr>
              <w:jc w:val="center"/>
              <w:rPr>
                <w:rFonts w:eastAsia="黑体"/>
                <w:sz w:val="24"/>
              </w:rPr>
            </w:pPr>
            <w:r>
              <w:rPr>
                <w:rFonts w:eastAsia="黑体"/>
                <w:sz w:val="24"/>
              </w:rPr>
              <w:t>类型</w:t>
            </w:r>
          </w:p>
        </w:tc>
        <w:tc>
          <w:tcPr>
            <w:tcW w:w="1050" w:type="dxa"/>
            <w:vAlign w:val="center"/>
          </w:tcPr>
          <w:p>
            <w:pPr>
              <w:jc w:val="center"/>
              <w:rPr>
                <w:rFonts w:eastAsia="黑体"/>
                <w:sz w:val="24"/>
              </w:rPr>
            </w:pPr>
            <w:r>
              <w:rPr>
                <w:rFonts w:eastAsia="黑体"/>
                <w:sz w:val="24"/>
              </w:rPr>
              <w:t>排放源</w:t>
            </w:r>
          </w:p>
          <w:p>
            <w:pPr>
              <w:jc w:val="center"/>
              <w:rPr>
                <w:rFonts w:eastAsia="黑体"/>
                <w:sz w:val="24"/>
              </w:rPr>
            </w:pPr>
            <w:r>
              <w:rPr>
                <w:rFonts w:eastAsia="黑体"/>
                <w:sz w:val="24"/>
              </w:rPr>
              <w:t>（编号）</w:t>
            </w:r>
          </w:p>
        </w:tc>
        <w:tc>
          <w:tcPr>
            <w:tcW w:w="1240" w:type="dxa"/>
            <w:vAlign w:val="center"/>
          </w:tcPr>
          <w:p>
            <w:pPr>
              <w:jc w:val="center"/>
              <w:rPr>
                <w:rFonts w:eastAsia="黑体"/>
                <w:sz w:val="24"/>
              </w:rPr>
            </w:pPr>
            <w:r>
              <w:rPr>
                <w:rFonts w:eastAsia="黑体"/>
                <w:sz w:val="24"/>
              </w:rPr>
              <w:t>污染物</w:t>
            </w:r>
          </w:p>
          <w:p>
            <w:pPr>
              <w:jc w:val="center"/>
              <w:rPr>
                <w:rFonts w:eastAsia="黑体"/>
                <w:sz w:val="24"/>
              </w:rPr>
            </w:pPr>
            <w:r>
              <w:rPr>
                <w:rFonts w:eastAsia="黑体"/>
                <w:sz w:val="24"/>
              </w:rPr>
              <w:t>名称</w:t>
            </w:r>
          </w:p>
        </w:tc>
        <w:tc>
          <w:tcPr>
            <w:tcW w:w="2258" w:type="dxa"/>
            <w:vAlign w:val="center"/>
          </w:tcPr>
          <w:p>
            <w:pPr>
              <w:jc w:val="center"/>
              <w:rPr>
                <w:rFonts w:eastAsia="黑体"/>
                <w:sz w:val="24"/>
              </w:rPr>
            </w:pPr>
            <w:r>
              <w:rPr>
                <w:rFonts w:eastAsia="黑体"/>
                <w:sz w:val="24"/>
              </w:rPr>
              <w:t>防 治 措 施</w:t>
            </w:r>
          </w:p>
        </w:tc>
        <w:tc>
          <w:tcPr>
            <w:tcW w:w="3270" w:type="dxa"/>
            <w:vAlign w:val="center"/>
          </w:tcPr>
          <w:p>
            <w:pPr>
              <w:jc w:val="center"/>
              <w:rPr>
                <w:rFonts w:eastAsia="黑体"/>
                <w:sz w:val="24"/>
              </w:rPr>
            </w:pPr>
            <w:r>
              <w:rPr>
                <w:rFonts w:eastAsia="黑体"/>
                <w:sz w:val="24"/>
              </w:rPr>
              <w:t>预期治理效果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429" w:hRule="atLeast"/>
          <w:jc w:val="center"/>
        </w:trPr>
        <w:tc>
          <w:tcPr>
            <w:tcW w:w="1247" w:type="dxa"/>
            <w:vMerge w:val="restart"/>
            <w:tcBorders>
              <w:top w:val="single" w:color="auto" w:sz="4" w:space="0"/>
            </w:tcBorders>
            <w:vAlign w:val="center"/>
          </w:tcPr>
          <w:p>
            <w:pPr>
              <w:jc w:val="center"/>
              <w:rPr>
                <w:rFonts w:eastAsia="黑体"/>
                <w:sz w:val="24"/>
              </w:rPr>
            </w:pPr>
            <w:r>
              <w:rPr>
                <w:rFonts w:eastAsia="黑体"/>
                <w:sz w:val="24"/>
              </w:rPr>
              <w:t>大气</w:t>
            </w:r>
          </w:p>
          <w:p>
            <w:pPr>
              <w:jc w:val="center"/>
            </w:pPr>
            <w:r>
              <w:rPr>
                <w:rFonts w:eastAsia="黑体"/>
                <w:sz w:val="24"/>
              </w:rPr>
              <w:t>污染物</w:t>
            </w:r>
          </w:p>
        </w:tc>
        <w:tc>
          <w:tcPr>
            <w:tcW w:w="1050" w:type="dxa"/>
            <w:tcBorders>
              <w:top w:val="single" w:color="auto" w:sz="4" w:space="0"/>
              <w:bottom w:val="single" w:color="000000" w:sz="12" w:space="0"/>
            </w:tcBorders>
            <w:vAlign w:val="center"/>
          </w:tcPr>
          <w:p>
            <w:pPr>
              <w:jc w:val="center"/>
              <w:rPr>
                <w:sz w:val="24"/>
                <w:szCs w:val="24"/>
              </w:rPr>
            </w:pPr>
            <w:r>
              <w:rPr>
                <w:bCs/>
                <w:sz w:val="24"/>
                <w:szCs w:val="24"/>
              </w:rPr>
              <w:t>打磨工序</w:t>
            </w:r>
          </w:p>
        </w:tc>
        <w:tc>
          <w:tcPr>
            <w:tcW w:w="1240" w:type="dxa"/>
            <w:tcBorders>
              <w:bottom w:val="single" w:color="000000" w:sz="12" w:space="0"/>
            </w:tcBorders>
            <w:vAlign w:val="center"/>
          </w:tcPr>
          <w:p>
            <w:pPr>
              <w:autoSpaceDN w:val="0"/>
              <w:spacing w:line="0" w:lineRule="atLeast"/>
              <w:jc w:val="center"/>
              <w:rPr>
                <w:sz w:val="24"/>
                <w:szCs w:val="24"/>
              </w:rPr>
            </w:pPr>
            <w:r>
              <w:rPr>
                <w:sz w:val="24"/>
                <w:szCs w:val="24"/>
              </w:rPr>
              <w:t>粉尘</w:t>
            </w:r>
          </w:p>
        </w:tc>
        <w:tc>
          <w:tcPr>
            <w:tcW w:w="2258" w:type="dxa"/>
            <w:tcBorders>
              <w:bottom w:val="single" w:color="000000" w:sz="12" w:space="0"/>
            </w:tcBorders>
            <w:vAlign w:val="center"/>
          </w:tcPr>
          <w:p>
            <w:pPr>
              <w:autoSpaceDN w:val="0"/>
              <w:jc w:val="center"/>
              <w:rPr>
                <w:sz w:val="24"/>
                <w:szCs w:val="24"/>
              </w:rPr>
            </w:pPr>
            <w:bookmarkStart w:id="101" w:name="OLE_LINK2"/>
            <w:bookmarkStart w:id="102" w:name="OLE_LINK1"/>
            <w:r>
              <w:rPr>
                <w:rFonts w:hint="eastAsia"/>
                <w:bCs/>
                <w:snapToGrid w:val="0"/>
                <w:kern w:val="0"/>
                <w:sz w:val="24"/>
                <w:szCs w:val="24"/>
              </w:rPr>
              <w:t>“排风集气箱</w:t>
            </w:r>
            <w:bookmarkEnd w:id="101"/>
            <w:bookmarkEnd w:id="102"/>
            <w:r>
              <w:rPr>
                <w:bCs/>
                <w:snapToGrid w:val="0"/>
                <w:kern w:val="0"/>
                <w:sz w:val="24"/>
                <w:szCs w:val="24"/>
              </w:rPr>
              <w:t>+</w:t>
            </w:r>
            <w:r>
              <w:rPr>
                <w:rFonts w:hint="eastAsia"/>
                <w:bCs/>
                <w:snapToGrid w:val="0"/>
                <w:kern w:val="0"/>
                <w:sz w:val="24"/>
                <w:szCs w:val="24"/>
              </w:rPr>
              <w:t>干</w:t>
            </w:r>
            <w:r>
              <w:rPr>
                <w:bCs/>
                <w:snapToGrid w:val="0"/>
                <w:kern w:val="0"/>
                <w:sz w:val="24"/>
                <w:szCs w:val="24"/>
              </w:rPr>
              <w:t>式过滤器</w:t>
            </w:r>
            <w:r>
              <w:rPr>
                <w:rFonts w:hint="eastAsia"/>
                <w:bCs/>
                <w:snapToGrid w:val="0"/>
                <w:kern w:val="0"/>
                <w:sz w:val="24"/>
                <w:szCs w:val="24"/>
              </w:rPr>
              <w:t>”</w:t>
            </w:r>
            <w:r>
              <w:rPr>
                <w:rFonts w:hint="eastAsia"/>
              </w:rPr>
              <w:t xml:space="preserve"> </w:t>
            </w:r>
            <w:r>
              <w:rPr>
                <w:rFonts w:hint="eastAsia"/>
                <w:bCs/>
                <w:snapToGrid w:val="0"/>
                <w:kern w:val="0"/>
                <w:sz w:val="24"/>
                <w:szCs w:val="24"/>
              </w:rPr>
              <w:t>（6套）</w:t>
            </w:r>
            <w:r>
              <w:rPr>
                <w:bCs/>
                <w:snapToGrid w:val="0"/>
                <w:kern w:val="0"/>
                <w:sz w:val="24"/>
                <w:szCs w:val="24"/>
              </w:rPr>
              <w:t>+</w:t>
            </w:r>
            <w:r>
              <w:rPr>
                <w:color w:val="000000" w:themeColor="text1"/>
                <w:sz w:val="24"/>
                <w:szCs w:val="24"/>
                <w14:textFill>
                  <w14:solidFill>
                    <w14:schemeClr w14:val="tx1"/>
                  </w14:solidFill>
                </w14:textFill>
              </w:rPr>
              <w:t>15m高的排气筒（</w:t>
            </w:r>
            <w:r>
              <w:rPr>
                <w:bCs/>
                <w:snapToGrid w:val="0"/>
                <w:color w:val="000000" w:themeColor="text1"/>
                <w:kern w:val="0"/>
                <w:sz w:val="24"/>
                <w:szCs w:val="24"/>
                <w14:textFill>
                  <w14:solidFill>
                    <w14:schemeClr w14:val="tx1"/>
                  </w14:solidFill>
                </w14:textFill>
              </w:rPr>
              <w:t>P1、P2</w:t>
            </w:r>
            <w:r>
              <w:rPr>
                <w:color w:val="000000" w:themeColor="text1"/>
                <w:sz w:val="24"/>
                <w:szCs w:val="24"/>
                <w14:textFill>
                  <w14:solidFill>
                    <w14:schemeClr w14:val="tx1"/>
                  </w14:solidFill>
                </w14:textFill>
              </w:rPr>
              <w:t>）</w:t>
            </w:r>
          </w:p>
        </w:tc>
        <w:tc>
          <w:tcPr>
            <w:tcW w:w="3270" w:type="dxa"/>
            <w:tcBorders>
              <w:bottom w:val="single" w:color="000000" w:sz="12" w:space="0"/>
            </w:tcBorders>
            <w:vAlign w:val="center"/>
          </w:tcPr>
          <w:p>
            <w:pPr>
              <w:jc w:val="center"/>
              <w:rPr>
                <w:sz w:val="24"/>
                <w:szCs w:val="24"/>
              </w:rPr>
            </w:pPr>
            <w:r>
              <w:rPr>
                <w:sz w:val="24"/>
                <w:szCs w:val="24"/>
              </w:rPr>
              <w:t>满足《大气污染综合排放标准》(GB16297-1996)中二级标准要求。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377" w:hRule="atLeast"/>
          <w:jc w:val="center"/>
        </w:trPr>
        <w:tc>
          <w:tcPr>
            <w:tcW w:w="1247" w:type="dxa"/>
            <w:vMerge w:val="continue"/>
            <w:vAlign w:val="center"/>
          </w:tcPr>
          <w:p>
            <w:pPr>
              <w:jc w:val="center"/>
              <w:rPr>
                <w:rFonts w:eastAsia="黑体"/>
                <w:sz w:val="24"/>
              </w:rPr>
            </w:pPr>
          </w:p>
        </w:tc>
        <w:tc>
          <w:tcPr>
            <w:tcW w:w="1050" w:type="dxa"/>
            <w:vMerge w:val="restart"/>
            <w:tcBorders>
              <w:top w:val="single" w:color="000000" w:sz="12" w:space="0"/>
            </w:tcBorders>
            <w:vAlign w:val="center"/>
          </w:tcPr>
          <w:p>
            <w:pPr>
              <w:jc w:val="center"/>
              <w:rPr>
                <w:bCs/>
                <w:sz w:val="24"/>
                <w:szCs w:val="24"/>
              </w:rPr>
            </w:pPr>
            <w:r>
              <w:rPr>
                <w:bCs/>
                <w:sz w:val="24"/>
                <w:szCs w:val="24"/>
              </w:rPr>
              <w:t>喷漆及晾干工序</w:t>
            </w:r>
          </w:p>
        </w:tc>
        <w:tc>
          <w:tcPr>
            <w:tcW w:w="1240" w:type="dxa"/>
            <w:tcBorders>
              <w:top w:val="single" w:color="000000" w:sz="12" w:space="0"/>
              <w:bottom w:val="single" w:color="000000" w:sz="12" w:space="0"/>
            </w:tcBorders>
            <w:vAlign w:val="center"/>
          </w:tcPr>
          <w:p>
            <w:pPr>
              <w:autoSpaceDN w:val="0"/>
              <w:spacing w:line="0" w:lineRule="atLeast"/>
              <w:jc w:val="center"/>
              <w:rPr>
                <w:sz w:val="24"/>
                <w:szCs w:val="24"/>
              </w:rPr>
            </w:pPr>
            <w:r>
              <w:rPr>
                <w:sz w:val="24"/>
                <w:szCs w:val="24"/>
              </w:rPr>
              <w:t>漆雾</w:t>
            </w:r>
          </w:p>
        </w:tc>
        <w:tc>
          <w:tcPr>
            <w:tcW w:w="2258" w:type="dxa"/>
            <w:vMerge w:val="restart"/>
            <w:tcBorders>
              <w:top w:val="single" w:color="000000" w:sz="12" w:space="0"/>
            </w:tcBorders>
            <w:vAlign w:val="center"/>
          </w:tcPr>
          <w:p>
            <w:pPr>
              <w:autoSpaceDN w:val="0"/>
              <w:jc w:val="center"/>
              <w:rPr>
                <w:bCs/>
                <w:sz w:val="24"/>
                <w:szCs w:val="24"/>
              </w:rPr>
            </w:pPr>
            <w:r>
              <w:rPr>
                <w:rFonts w:hint="eastAsia"/>
                <w:bCs/>
                <w:snapToGrid w:val="0"/>
                <w:kern w:val="0"/>
                <w:sz w:val="24"/>
                <w:szCs w:val="24"/>
              </w:rPr>
              <w:t>“排风集气箱</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干式</w:t>
            </w:r>
            <w:r>
              <w:rPr>
                <w:color w:val="000000" w:themeColor="text1"/>
                <w:sz w:val="24"/>
                <w:szCs w:val="24"/>
                <w14:textFill>
                  <w14:solidFill>
                    <w14:schemeClr w14:val="tx1"/>
                  </w14:solidFill>
                </w14:textFill>
              </w:rPr>
              <w:t>过滤器+活性炭吸附箱</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6套</w:t>
            </w:r>
            <w:r>
              <w:rPr>
                <w:color w:val="000000" w:themeColor="text1"/>
                <w:sz w:val="24"/>
                <w:szCs w:val="24"/>
                <w14:textFill>
                  <w14:solidFill>
                    <w14:schemeClr w14:val="tx1"/>
                  </w14:solidFill>
                </w14:textFill>
              </w:rPr>
              <w:t>）+15m高的排气筒（P1、P2）</w:t>
            </w:r>
          </w:p>
        </w:tc>
        <w:tc>
          <w:tcPr>
            <w:tcW w:w="3270" w:type="dxa"/>
            <w:vMerge w:val="restart"/>
            <w:tcBorders>
              <w:top w:val="single" w:color="000000" w:sz="12" w:space="0"/>
            </w:tcBorders>
            <w:vAlign w:val="center"/>
          </w:tcPr>
          <w:p>
            <w:pPr>
              <w:adjustRightInd w:val="0"/>
              <w:snapToGrid w:val="0"/>
              <w:spacing w:line="520" w:lineRule="exact"/>
              <w:rPr>
                <w:color w:val="000000" w:themeColor="text1"/>
                <w:sz w:val="24"/>
                <w:szCs w:val="24"/>
                <w14:textFill>
                  <w14:solidFill>
                    <w14:schemeClr w14:val="tx1"/>
                  </w14:solidFill>
                </w14:textFill>
              </w:rPr>
            </w:pPr>
            <w:r>
              <w:rPr>
                <w:bCs/>
                <w:snapToGrid w:val="0"/>
                <w:color w:val="000000" w:themeColor="text1"/>
                <w:kern w:val="0"/>
                <w:sz w:val="24"/>
                <w:szCs w:val="24"/>
                <w:lang w:bidi="ar"/>
                <w14:textFill>
                  <w14:solidFill>
                    <w14:schemeClr w14:val="tx1"/>
                  </w14:solidFill>
                </w14:textFill>
              </w:rPr>
              <w:t>漆雾</w:t>
            </w:r>
            <w:r>
              <w:rPr>
                <w:color w:val="000000" w:themeColor="text1"/>
                <w:sz w:val="24"/>
                <w:szCs w:val="24"/>
                <w14:textFill>
                  <w14:solidFill>
                    <w14:schemeClr w14:val="tx1"/>
                  </w14:solidFill>
                </w14:textFill>
              </w:rPr>
              <w:t>满足《大气污染物排放标准》（GB16297-1996）中二级标准。</w:t>
            </w:r>
            <w:r>
              <w:rPr>
                <w:bCs/>
                <w:snapToGrid w:val="0"/>
                <w:color w:val="000000" w:themeColor="text1"/>
                <w:kern w:val="0"/>
                <w:sz w:val="24"/>
                <w:szCs w:val="24"/>
                <w:lang w:bidi="ar"/>
                <w14:textFill>
                  <w14:solidFill>
                    <w14:schemeClr w14:val="tx1"/>
                  </w14:solidFill>
                </w14:textFill>
              </w:rPr>
              <w:t>非甲烷总烃、甲苯+乙苯、二甲苯最高排放浓度均满足《挥发性有机物排放控制标准》(DB 61/T1061-2017)中最高允许排放浓度限值要求</w:t>
            </w:r>
            <w:r>
              <w:rPr>
                <w:color w:val="000000" w:themeColor="text1"/>
                <w:sz w:val="24"/>
                <w:szCs w:val="24"/>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326" w:hRule="atLeast"/>
          <w:jc w:val="center"/>
        </w:trPr>
        <w:tc>
          <w:tcPr>
            <w:tcW w:w="1247" w:type="dxa"/>
            <w:vMerge w:val="continue"/>
            <w:vAlign w:val="center"/>
          </w:tcPr>
          <w:p>
            <w:pPr>
              <w:jc w:val="center"/>
              <w:rPr>
                <w:rFonts w:eastAsia="黑体"/>
                <w:sz w:val="24"/>
              </w:rPr>
            </w:pPr>
          </w:p>
        </w:tc>
        <w:tc>
          <w:tcPr>
            <w:tcW w:w="1050" w:type="dxa"/>
            <w:vMerge w:val="continue"/>
            <w:vAlign w:val="center"/>
          </w:tcPr>
          <w:p>
            <w:pPr>
              <w:jc w:val="center"/>
              <w:rPr>
                <w:bCs/>
                <w:sz w:val="24"/>
                <w:szCs w:val="24"/>
              </w:rPr>
            </w:pPr>
          </w:p>
        </w:tc>
        <w:tc>
          <w:tcPr>
            <w:tcW w:w="1240" w:type="dxa"/>
            <w:tcBorders>
              <w:top w:val="single" w:color="000000" w:sz="12" w:space="0"/>
              <w:bottom w:val="single" w:color="000000" w:sz="12" w:space="0"/>
            </w:tcBorders>
            <w:vAlign w:val="center"/>
          </w:tcPr>
          <w:p>
            <w:pPr>
              <w:autoSpaceDN w:val="0"/>
              <w:spacing w:line="0" w:lineRule="atLeast"/>
              <w:jc w:val="center"/>
              <w:rPr>
                <w:sz w:val="24"/>
                <w:szCs w:val="24"/>
              </w:rPr>
            </w:pPr>
            <w:r>
              <w:rPr>
                <w:sz w:val="24"/>
                <w:szCs w:val="24"/>
              </w:rPr>
              <w:t>非甲烷总烃</w:t>
            </w:r>
          </w:p>
        </w:tc>
        <w:tc>
          <w:tcPr>
            <w:tcW w:w="2258" w:type="dxa"/>
            <w:vMerge w:val="continue"/>
            <w:vAlign w:val="center"/>
          </w:tcPr>
          <w:p>
            <w:pPr>
              <w:autoSpaceDN w:val="0"/>
              <w:jc w:val="center"/>
              <w:rPr>
                <w:bCs/>
                <w:sz w:val="24"/>
                <w:szCs w:val="24"/>
              </w:rPr>
            </w:pPr>
          </w:p>
        </w:tc>
        <w:tc>
          <w:tcPr>
            <w:tcW w:w="3270" w:type="dxa"/>
            <w:vMerge w:val="continue"/>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429" w:hRule="atLeast"/>
          <w:jc w:val="center"/>
        </w:trPr>
        <w:tc>
          <w:tcPr>
            <w:tcW w:w="1247" w:type="dxa"/>
            <w:vMerge w:val="continue"/>
            <w:vAlign w:val="center"/>
          </w:tcPr>
          <w:p>
            <w:pPr>
              <w:jc w:val="center"/>
              <w:rPr>
                <w:rFonts w:eastAsia="黑体"/>
                <w:sz w:val="24"/>
              </w:rPr>
            </w:pPr>
          </w:p>
        </w:tc>
        <w:tc>
          <w:tcPr>
            <w:tcW w:w="1050" w:type="dxa"/>
            <w:vMerge w:val="continue"/>
            <w:vAlign w:val="center"/>
          </w:tcPr>
          <w:p>
            <w:pPr>
              <w:jc w:val="center"/>
              <w:rPr>
                <w:bCs/>
                <w:sz w:val="24"/>
                <w:szCs w:val="24"/>
              </w:rPr>
            </w:pPr>
          </w:p>
        </w:tc>
        <w:tc>
          <w:tcPr>
            <w:tcW w:w="1240" w:type="dxa"/>
            <w:tcBorders>
              <w:top w:val="single" w:color="000000" w:sz="12" w:space="0"/>
            </w:tcBorders>
            <w:vAlign w:val="center"/>
          </w:tcPr>
          <w:p>
            <w:pPr>
              <w:autoSpaceDN w:val="0"/>
              <w:spacing w:line="0" w:lineRule="atLeast"/>
              <w:jc w:val="center"/>
              <w:rPr>
                <w:sz w:val="24"/>
                <w:szCs w:val="24"/>
              </w:rPr>
            </w:pPr>
            <w:r>
              <w:rPr>
                <w:sz w:val="24"/>
                <w:szCs w:val="24"/>
              </w:rPr>
              <w:t>甲苯+乙苯</w:t>
            </w:r>
          </w:p>
        </w:tc>
        <w:tc>
          <w:tcPr>
            <w:tcW w:w="2258" w:type="dxa"/>
            <w:vMerge w:val="continue"/>
            <w:vAlign w:val="center"/>
          </w:tcPr>
          <w:p>
            <w:pPr>
              <w:autoSpaceDN w:val="0"/>
              <w:jc w:val="center"/>
              <w:rPr>
                <w:rFonts w:eastAsia=".Apple Color Emoji UI"/>
                <w:bCs/>
                <w:sz w:val="24"/>
                <w:szCs w:val="24"/>
              </w:rPr>
            </w:pPr>
          </w:p>
        </w:tc>
        <w:tc>
          <w:tcPr>
            <w:tcW w:w="3270" w:type="dxa"/>
            <w:vMerge w:val="continue"/>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2094" w:hRule="atLeast"/>
          <w:jc w:val="center"/>
        </w:trPr>
        <w:tc>
          <w:tcPr>
            <w:tcW w:w="1247" w:type="dxa"/>
            <w:vMerge w:val="continue"/>
            <w:vAlign w:val="center"/>
          </w:tcPr>
          <w:p>
            <w:pPr>
              <w:jc w:val="center"/>
              <w:rPr>
                <w:rFonts w:eastAsia="黑体"/>
                <w:sz w:val="24"/>
              </w:rPr>
            </w:pPr>
          </w:p>
        </w:tc>
        <w:tc>
          <w:tcPr>
            <w:tcW w:w="1050" w:type="dxa"/>
            <w:vMerge w:val="continue"/>
            <w:vAlign w:val="center"/>
          </w:tcPr>
          <w:p>
            <w:pPr>
              <w:jc w:val="center"/>
              <w:rPr>
                <w:bCs/>
                <w:sz w:val="24"/>
                <w:szCs w:val="24"/>
              </w:rPr>
            </w:pPr>
          </w:p>
        </w:tc>
        <w:tc>
          <w:tcPr>
            <w:tcW w:w="1240" w:type="dxa"/>
            <w:tcBorders>
              <w:top w:val="single" w:color="000000" w:sz="12" w:space="0"/>
            </w:tcBorders>
            <w:vAlign w:val="center"/>
          </w:tcPr>
          <w:p>
            <w:pPr>
              <w:autoSpaceDN w:val="0"/>
              <w:spacing w:line="0" w:lineRule="atLeast"/>
              <w:jc w:val="center"/>
              <w:rPr>
                <w:sz w:val="24"/>
                <w:szCs w:val="24"/>
              </w:rPr>
            </w:pPr>
            <w:r>
              <w:rPr>
                <w:sz w:val="24"/>
                <w:szCs w:val="24"/>
              </w:rPr>
              <w:t>二甲苯</w:t>
            </w:r>
          </w:p>
        </w:tc>
        <w:tc>
          <w:tcPr>
            <w:tcW w:w="2258" w:type="dxa"/>
            <w:vMerge w:val="continue"/>
            <w:vAlign w:val="center"/>
          </w:tcPr>
          <w:p>
            <w:pPr>
              <w:autoSpaceDN w:val="0"/>
              <w:jc w:val="center"/>
              <w:rPr>
                <w:rFonts w:eastAsia=".Apple Color Emoji UI"/>
                <w:bCs/>
                <w:sz w:val="24"/>
                <w:szCs w:val="24"/>
              </w:rPr>
            </w:pPr>
          </w:p>
        </w:tc>
        <w:tc>
          <w:tcPr>
            <w:tcW w:w="3270" w:type="dxa"/>
            <w:vMerge w:val="continue"/>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1306" w:hRule="atLeast"/>
          <w:jc w:val="center"/>
        </w:trPr>
        <w:tc>
          <w:tcPr>
            <w:tcW w:w="1247" w:type="dxa"/>
            <w:vMerge w:val="restart"/>
            <w:tcBorders>
              <w:top w:val="single" w:color="auto" w:sz="4" w:space="0"/>
              <w:bottom w:val="single" w:color="auto" w:sz="4" w:space="0"/>
            </w:tcBorders>
            <w:vAlign w:val="center"/>
          </w:tcPr>
          <w:p>
            <w:pPr>
              <w:jc w:val="center"/>
              <w:rPr>
                <w:rFonts w:eastAsia="黑体"/>
                <w:sz w:val="24"/>
              </w:rPr>
            </w:pPr>
            <w:r>
              <w:rPr>
                <w:rFonts w:eastAsia="黑体"/>
                <w:sz w:val="24"/>
              </w:rPr>
              <w:t>水污</w:t>
            </w:r>
          </w:p>
          <w:p>
            <w:pPr>
              <w:jc w:val="center"/>
              <w:rPr>
                <w:rFonts w:eastAsia="黑体"/>
                <w:sz w:val="24"/>
              </w:rPr>
            </w:pPr>
            <w:r>
              <w:rPr>
                <w:rFonts w:eastAsia="黑体"/>
                <w:sz w:val="24"/>
              </w:rPr>
              <w:t>染物</w:t>
            </w:r>
          </w:p>
        </w:tc>
        <w:tc>
          <w:tcPr>
            <w:tcW w:w="1050" w:type="dxa"/>
            <w:tcBorders>
              <w:top w:val="single" w:color="auto" w:sz="4" w:space="0"/>
              <w:bottom w:val="single" w:color="auto" w:sz="4" w:space="0"/>
            </w:tcBorders>
            <w:vAlign w:val="center"/>
          </w:tcPr>
          <w:p>
            <w:pPr>
              <w:jc w:val="center"/>
              <w:rPr>
                <w:sz w:val="24"/>
                <w:szCs w:val="24"/>
              </w:rPr>
            </w:pPr>
            <w:r>
              <w:rPr>
                <w:sz w:val="24"/>
                <w:szCs w:val="24"/>
              </w:rPr>
              <w:t>生产废水</w:t>
            </w:r>
          </w:p>
        </w:tc>
        <w:tc>
          <w:tcPr>
            <w:tcW w:w="1240" w:type="dxa"/>
            <w:tcBorders>
              <w:bottom w:val="single" w:color="auto" w:sz="4" w:space="0"/>
            </w:tcBorders>
            <w:vAlign w:val="center"/>
          </w:tcPr>
          <w:p>
            <w:pPr>
              <w:snapToGrid w:val="0"/>
              <w:jc w:val="center"/>
              <w:rPr>
                <w:kern w:val="0"/>
                <w:sz w:val="24"/>
                <w:szCs w:val="24"/>
              </w:rPr>
            </w:pPr>
            <w:r>
              <w:rPr>
                <w:kern w:val="0"/>
                <w:sz w:val="24"/>
                <w:szCs w:val="24"/>
              </w:rPr>
              <w:t>COD、BOD</w:t>
            </w:r>
            <w:r>
              <w:rPr>
                <w:kern w:val="0"/>
                <w:sz w:val="24"/>
                <w:szCs w:val="24"/>
                <w:vertAlign w:val="subscript"/>
              </w:rPr>
              <w:t>5</w:t>
            </w:r>
          </w:p>
          <w:p>
            <w:pPr>
              <w:snapToGrid w:val="0"/>
              <w:jc w:val="center"/>
              <w:rPr>
                <w:kern w:val="0"/>
                <w:sz w:val="24"/>
                <w:szCs w:val="24"/>
              </w:rPr>
            </w:pPr>
            <w:r>
              <w:rPr>
                <w:kern w:val="0"/>
                <w:sz w:val="24"/>
                <w:szCs w:val="24"/>
              </w:rPr>
              <w:t>NH</w:t>
            </w:r>
            <w:r>
              <w:rPr>
                <w:kern w:val="0"/>
                <w:sz w:val="24"/>
                <w:szCs w:val="24"/>
                <w:vertAlign w:val="subscript"/>
              </w:rPr>
              <w:t>3</w:t>
            </w:r>
            <w:r>
              <w:rPr>
                <w:kern w:val="0"/>
                <w:sz w:val="24"/>
                <w:szCs w:val="24"/>
              </w:rPr>
              <w:t>-N、SS、TN、TP、LAS、石油烃等</w:t>
            </w:r>
          </w:p>
        </w:tc>
        <w:tc>
          <w:tcPr>
            <w:tcW w:w="2258" w:type="dxa"/>
            <w:vAlign w:val="center"/>
          </w:tcPr>
          <w:p>
            <w:pPr>
              <w:jc w:val="center"/>
              <w:rPr>
                <w:bCs/>
                <w:sz w:val="24"/>
                <w:szCs w:val="24"/>
              </w:rPr>
            </w:pPr>
            <w:r>
              <w:rPr>
                <w:bCs/>
                <w:sz w:val="24"/>
                <w:szCs w:val="24"/>
              </w:rPr>
              <w:t>过滤桶（内设过滤棉）</w:t>
            </w:r>
          </w:p>
        </w:tc>
        <w:tc>
          <w:tcPr>
            <w:tcW w:w="3270" w:type="dxa"/>
            <w:vMerge w:val="restart"/>
            <w:vAlign w:val="center"/>
          </w:tcPr>
          <w:p>
            <w:pPr>
              <w:spacing w:line="0" w:lineRule="atLeast"/>
              <w:jc w:val="center"/>
              <w:rPr>
                <w:sz w:val="24"/>
                <w:szCs w:val="24"/>
              </w:rPr>
            </w:pPr>
            <w:r>
              <w:rPr>
                <w:sz w:val="24"/>
                <w:szCs w:val="24"/>
              </w:rPr>
              <w:t>满足《污水综合排放标准》(GB68978-1996)表4中三级标准和《污水排入城镇下水道水质标准》（GB/T31962-2015）表1中A级标准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978" w:hRule="atLeast"/>
          <w:jc w:val="center"/>
        </w:trPr>
        <w:tc>
          <w:tcPr>
            <w:tcW w:w="1247" w:type="dxa"/>
            <w:vMerge w:val="continue"/>
            <w:tcBorders>
              <w:bottom w:val="single" w:color="auto" w:sz="4" w:space="0"/>
            </w:tcBorders>
            <w:vAlign w:val="center"/>
          </w:tcPr>
          <w:p>
            <w:pPr>
              <w:jc w:val="center"/>
              <w:rPr>
                <w:rFonts w:eastAsia="黑体"/>
                <w:sz w:val="24"/>
              </w:rPr>
            </w:pPr>
          </w:p>
        </w:tc>
        <w:tc>
          <w:tcPr>
            <w:tcW w:w="1050" w:type="dxa"/>
            <w:tcBorders>
              <w:top w:val="single" w:color="auto" w:sz="4" w:space="0"/>
              <w:bottom w:val="single" w:color="auto" w:sz="4" w:space="0"/>
            </w:tcBorders>
            <w:vAlign w:val="center"/>
          </w:tcPr>
          <w:p>
            <w:pPr>
              <w:jc w:val="center"/>
              <w:rPr>
                <w:sz w:val="24"/>
                <w:szCs w:val="24"/>
              </w:rPr>
            </w:pPr>
            <w:r>
              <w:rPr>
                <w:sz w:val="24"/>
                <w:szCs w:val="24"/>
              </w:rPr>
              <w:t>生活污水</w:t>
            </w:r>
          </w:p>
        </w:tc>
        <w:tc>
          <w:tcPr>
            <w:tcW w:w="1240" w:type="dxa"/>
            <w:vAlign w:val="center"/>
          </w:tcPr>
          <w:p>
            <w:pPr>
              <w:snapToGrid w:val="0"/>
              <w:jc w:val="center"/>
              <w:rPr>
                <w:kern w:val="0"/>
                <w:sz w:val="24"/>
                <w:szCs w:val="24"/>
              </w:rPr>
            </w:pPr>
            <w:r>
              <w:rPr>
                <w:kern w:val="0"/>
                <w:sz w:val="24"/>
                <w:szCs w:val="24"/>
              </w:rPr>
              <w:t>COD、BOD</w:t>
            </w:r>
            <w:r>
              <w:rPr>
                <w:kern w:val="0"/>
                <w:sz w:val="24"/>
                <w:szCs w:val="24"/>
                <w:vertAlign w:val="subscript"/>
              </w:rPr>
              <w:t>5</w:t>
            </w:r>
          </w:p>
          <w:p>
            <w:pPr>
              <w:snapToGrid w:val="0"/>
              <w:jc w:val="center"/>
              <w:rPr>
                <w:kern w:val="0"/>
                <w:sz w:val="24"/>
                <w:szCs w:val="24"/>
              </w:rPr>
            </w:pPr>
            <w:r>
              <w:rPr>
                <w:kern w:val="0"/>
                <w:sz w:val="24"/>
                <w:szCs w:val="24"/>
              </w:rPr>
              <w:t>NH</w:t>
            </w:r>
            <w:r>
              <w:rPr>
                <w:kern w:val="0"/>
                <w:sz w:val="24"/>
                <w:szCs w:val="24"/>
                <w:vertAlign w:val="subscript"/>
              </w:rPr>
              <w:t>3</w:t>
            </w:r>
            <w:r>
              <w:rPr>
                <w:kern w:val="0"/>
                <w:sz w:val="24"/>
                <w:szCs w:val="24"/>
              </w:rPr>
              <w:t>-N、SS、TN、TP等</w:t>
            </w:r>
          </w:p>
        </w:tc>
        <w:tc>
          <w:tcPr>
            <w:tcW w:w="2258" w:type="dxa"/>
            <w:vAlign w:val="center"/>
          </w:tcPr>
          <w:p>
            <w:pPr>
              <w:jc w:val="center"/>
              <w:rPr>
                <w:sz w:val="24"/>
                <w:szCs w:val="24"/>
              </w:rPr>
            </w:pPr>
            <w:r>
              <w:rPr>
                <w:sz w:val="24"/>
                <w:szCs w:val="24"/>
              </w:rPr>
              <w:t>化粪池</w:t>
            </w:r>
            <w:r>
              <w:rPr>
                <w:rFonts w:hint="eastAsia"/>
                <w:sz w:val="24"/>
                <w:szCs w:val="24"/>
              </w:rPr>
              <w:t>（依托）</w:t>
            </w:r>
          </w:p>
        </w:tc>
        <w:tc>
          <w:tcPr>
            <w:tcW w:w="3270" w:type="dxa"/>
            <w:vMerge w:val="continue"/>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786" w:hRule="atLeast"/>
          <w:jc w:val="center"/>
        </w:trPr>
        <w:tc>
          <w:tcPr>
            <w:tcW w:w="1247" w:type="dxa"/>
            <w:vMerge w:val="restart"/>
            <w:tcBorders>
              <w:top w:val="single" w:color="auto" w:sz="4" w:space="0"/>
            </w:tcBorders>
            <w:vAlign w:val="center"/>
          </w:tcPr>
          <w:p>
            <w:pPr>
              <w:jc w:val="center"/>
              <w:rPr>
                <w:rFonts w:eastAsia="黑体"/>
                <w:sz w:val="24"/>
              </w:rPr>
            </w:pPr>
            <w:r>
              <w:rPr>
                <w:rFonts w:eastAsia="黑体"/>
                <w:sz w:val="24"/>
              </w:rPr>
              <w:t>固体</w:t>
            </w:r>
          </w:p>
          <w:p>
            <w:pPr>
              <w:jc w:val="center"/>
            </w:pPr>
            <w:r>
              <w:rPr>
                <w:rFonts w:eastAsia="黑体"/>
                <w:sz w:val="24"/>
              </w:rPr>
              <w:t>废物</w:t>
            </w:r>
          </w:p>
        </w:tc>
        <w:tc>
          <w:tcPr>
            <w:tcW w:w="1050" w:type="dxa"/>
            <w:tcBorders>
              <w:top w:val="single" w:color="auto" w:sz="4" w:space="0"/>
            </w:tcBorders>
            <w:vAlign w:val="center"/>
          </w:tcPr>
          <w:p>
            <w:pPr>
              <w:snapToGrid w:val="0"/>
              <w:jc w:val="center"/>
              <w:rPr>
                <w:color w:val="000000" w:themeColor="text1"/>
                <w:spacing w:val="-20"/>
                <w:sz w:val="24"/>
                <w:szCs w:val="24"/>
                <w14:textFill>
                  <w14:solidFill>
                    <w14:schemeClr w14:val="tx1"/>
                  </w14:solidFill>
                </w14:textFill>
              </w:rPr>
            </w:pPr>
            <w:r>
              <w:rPr>
                <w:color w:val="000000" w:themeColor="text1"/>
                <w:spacing w:val="-20"/>
                <w:sz w:val="24"/>
                <w:szCs w:val="24"/>
                <w14:textFill>
                  <w14:solidFill>
                    <w14:schemeClr w14:val="tx1"/>
                  </w14:solidFill>
                </w14:textFill>
              </w:rPr>
              <w:t>维修工序、打磨工序</w:t>
            </w:r>
          </w:p>
        </w:tc>
        <w:tc>
          <w:tcPr>
            <w:tcW w:w="1240" w:type="dxa"/>
            <w:tcBorders>
              <w:top w:val="single" w:color="auto" w:sz="4" w:space="0"/>
            </w:tcBorders>
            <w:vAlign w:val="center"/>
          </w:tcPr>
          <w:p>
            <w:pPr>
              <w:snapToGrid w:val="0"/>
              <w:jc w:val="center"/>
              <w:rPr>
                <w:color w:val="000000" w:themeColor="text1"/>
                <w:sz w:val="24"/>
                <w:szCs w:val="24"/>
                <w14:textFill>
                  <w14:solidFill>
                    <w14:schemeClr w14:val="tx1"/>
                  </w14:solidFill>
                </w14:textFill>
              </w:rPr>
            </w:pPr>
            <w:r>
              <w:rPr>
                <w:color w:val="000000" w:themeColor="text1"/>
                <w:spacing w:val="-20"/>
                <w:sz w:val="24"/>
                <w:szCs w:val="24"/>
                <w14:textFill>
                  <w14:solidFill>
                    <w14:schemeClr w14:val="tx1"/>
                  </w14:solidFill>
                </w14:textFill>
              </w:rPr>
              <w:t>废旧零部件、废旧包装盒</w:t>
            </w:r>
          </w:p>
        </w:tc>
        <w:tc>
          <w:tcPr>
            <w:tcW w:w="2258" w:type="dxa"/>
            <w:tcBorders>
              <w:top w:val="single" w:color="auto" w:sz="4" w:space="0"/>
            </w:tcBorders>
            <w:vAlign w:val="center"/>
          </w:tcPr>
          <w:p>
            <w:pPr>
              <w:pStyle w:val="13"/>
              <w:spacing w:after="0"/>
              <w:jc w:val="center"/>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收集后外售</w:t>
            </w:r>
          </w:p>
        </w:tc>
        <w:tc>
          <w:tcPr>
            <w:tcW w:w="3270" w:type="dxa"/>
            <w:vAlign w:val="center"/>
          </w:tcPr>
          <w:p>
            <w:pPr>
              <w:jc w:val="center"/>
              <w:rPr>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满足《一般工业固体废物贮存、处置场污染控制标准》(GB18599—2001)及修改单中相关规定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328" w:hRule="atLeast"/>
          <w:jc w:val="center"/>
        </w:trPr>
        <w:tc>
          <w:tcPr>
            <w:tcW w:w="1247" w:type="dxa"/>
            <w:vMerge w:val="continue"/>
            <w:vAlign w:val="center"/>
          </w:tcPr>
          <w:p>
            <w:pPr>
              <w:jc w:val="center"/>
            </w:pPr>
          </w:p>
        </w:tc>
        <w:tc>
          <w:tcPr>
            <w:tcW w:w="1050" w:type="dxa"/>
            <w:vAlign w:val="center"/>
          </w:tcPr>
          <w:p>
            <w:pPr>
              <w:snapToGrid w:val="0"/>
              <w:jc w:val="center"/>
              <w:rPr>
                <w:sz w:val="24"/>
                <w:szCs w:val="24"/>
              </w:rPr>
            </w:pPr>
            <w:r>
              <w:rPr>
                <w:sz w:val="24"/>
                <w:szCs w:val="24"/>
              </w:rPr>
              <w:t>办公区</w:t>
            </w:r>
          </w:p>
        </w:tc>
        <w:tc>
          <w:tcPr>
            <w:tcW w:w="1240" w:type="dxa"/>
            <w:vAlign w:val="center"/>
          </w:tcPr>
          <w:p>
            <w:pPr>
              <w:snapToGrid w:val="0"/>
              <w:jc w:val="center"/>
              <w:rPr>
                <w:sz w:val="24"/>
                <w:szCs w:val="24"/>
              </w:rPr>
            </w:pPr>
            <w:r>
              <w:rPr>
                <w:sz w:val="24"/>
                <w:szCs w:val="24"/>
              </w:rPr>
              <w:t>生活垃圾</w:t>
            </w:r>
          </w:p>
        </w:tc>
        <w:tc>
          <w:tcPr>
            <w:tcW w:w="2258" w:type="dxa"/>
            <w:tcBorders>
              <w:top w:val="single" w:color="auto" w:sz="4" w:space="0"/>
            </w:tcBorders>
            <w:vAlign w:val="center"/>
          </w:tcPr>
          <w:p>
            <w:pPr>
              <w:snapToGrid w:val="0"/>
              <w:jc w:val="center"/>
              <w:rPr>
                <w:bCs/>
                <w:sz w:val="24"/>
                <w:szCs w:val="24"/>
              </w:rPr>
            </w:pPr>
            <w:r>
              <w:rPr>
                <w:bCs/>
                <w:sz w:val="24"/>
                <w:szCs w:val="24"/>
              </w:rPr>
              <w:t>交由环卫部门统一清运</w:t>
            </w:r>
          </w:p>
        </w:tc>
        <w:tc>
          <w:tcPr>
            <w:tcW w:w="3270" w:type="dxa"/>
            <w:tcBorders>
              <w:top w:val="single" w:color="auto" w:sz="4" w:space="0"/>
            </w:tcBorders>
            <w:vAlign w:val="center"/>
          </w:tcPr>
          <w:p>
            <w:pPr>
              <w:jc w:val="center"/>
              <w:rPr>
                <w:sz w:val="24"/>
                <w:szCs w:val="24"/>
              </w:rPr>
            </w:pPr>
            <w:r>
              <w:rPr>
                <w:sz w:val="24"/>
                <w:szCs w:val="24"/>
              </w:rPr>
              <w:t>处理率100%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605" w:hRule="atLeast"/>
          <w:jc w:val="center"/>
        </w:trPr>
        <w:tc>
          <w:tcPr>
            <w:tcW w:w="1247" w:type="dxa"/>
            <w:vMerge w:val="continue"/>
            <w:vAlign w:val="center"/>
          </w:tcPr>
          <w:p>
            <w:pPr>
              <w:jc w:val="center"/>
            </w:pPr>
          </w:p>
        </w:tc>
        <w:tc>
          <w:tcPr>
            <w:tcW w:w="1050" w:type="dxa"/>
            <w:vAlign w:val="center"/>
          </w:tcPr>
          <w:p>
            <w:pPr>
              <w:snapToGrid w:val="0"/>
              <w:jc w:val="center"/>
              <w:rPr>
                <w:sz w:val="24"/>
                <w:szCs w:val="24"/>
              </w:rPr>
            </w:pPr>
            <w:r>
              <w:rPr>
                <w:sz w:val="24"/>
                <w:szCs w:val="24"/>
              </w:rPr>
              <w:t>喷漆工序</w:t>
            </w:r>
          </w:p>
        </w:tc>
        <w:tc>
          <w:tcPr>
            <w:tcW w:w="1240" w:type="dxa"/>
            <w:vAlign w:val="center"/>
          </w:tcPr>
          <w:p>
            <w:pPr>
              <w:snapToGrid w:val="0"/>
              <w:jc w:val="center"/>
              <w:rPr>
                <w:sz w:val="24"/>
                <w:szCs w:val="24"/>
              </w:rPr>
            </w:pPr>
            <w:r>
              <w:rPr>
                <w:sz w:val="24"/>
                <w:szCs w:val="24"/>
              </w:rPr>
              <w:t>废有机溶剂桶</w:t>
            </w:r>
          </w:p>
        </w:tc>
        <w:tc>
          <w:tcPr>
            <w:tcW w:w="2258" w:type="dxa"/>
            <w:vMerge w:val="restart"/>
            <w:tcBorders>
              <w:top w:val="single" w:color="auto" w:sz="4" w:space="0"/>
            </w:tcBorders>
            <w:vAlign w:val="center"/>
          </w:tcPr>
          <w:p>
            <w:pPr>
              <w:snapToGrid w:val="0"/>
              <w:jc w:val="center"/>
              <w:rPr>
                <w:bCs/>
                <w:sz w:val="24"/>
                <w:szCs w:val="24"/>
              </w:rPr>
            </w:pPr>
            <w:r>
              <w:rPr>
                <w:color w:val="000000"/>
                <w:sz w:val="24"/>
                <w:szCs w:val="24"/>
              </w:rPr>
              <w:t>由维修基地危废暂存间暂存后，交由有资质单位处理</w:t>
            </w:r>
          </w:p>
        </w:tc>
        <w:tc>
          <w:tcPr>
            <w:tcW w:w="3270" w:type="dxa"/>
            <w:vMerge w:val="restart"/>
            <w:tcBorders>
              <w:top w:val="single" w:color="auto" w:sz="4" w:space="0"/>
            </w:tcBorders>
            <w:vAlign w:val="center"/>
          </w:tcPr>
          <w:p>
            <w:pPr>
              <w:jc w:val="center"/>
              <w:rPr>
                <w:sz w:val="24"/>
                <w:szCs w:val="24"/>
              </w:rPr>
            </w:pPr>
            <w:r>
              <w:rPr>
                <w:bCs/>
                <w:color w:val="000000" w:themeColor="text1"/>
                <w:sz w:val="24"/>
                <w:szCs w:val="24"/>
                <w14:textFill>
                  <w14:solidFill>
                    <w14:schemeClr w14:val="tx1"/>
                  </w14:solidFill>
                </w14:textFill>
              </w:rPr>
              <w:t>满足《危险废物贮存污染控制标准》（GB18597-2001）及其修改单中相关规定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767" w:hRule="atLeast"/>
          <w:jc w:val="center"/>
        </w:trPr>
        <w:tc>
          <w:tcPr>
            <w:tcW w:w="1247" w:type="dxa"/>
            <w:vMerge w:val="continue"/>
            <w:vAlign w:val="center"/>
          </w:tcPr>
          <w:p>
            <w:pPr>
              <w:jc w:val="center"/>
            </w:pPr>
          </w:p>
        </w:tc>
        <w:tc>
          <w:tcPr>
            <w:tcW w:w="1050" w:type="dxa"/>
            <w:vAlign w:val="center"/>
          </w:tcPr>
          <w:p>
            <w:pPr>
              <w:snapToGrid w:val="0"/>
              <w:jc w:val="center"/>
              <w:rPr>
                <w:sz w:val="24"/>
                <w:szCs w:val="24"/>
              </w:rPr>
            </w:pPr>
            <w:r>
              <w:rPr>
                <w:sz w:val="24"/>
                <w:szCs w:val="24"/>
              </w:rPr>
              <w:t>维修工序</w:t>
            </w:r>
          </w:p>
        </w:tc>
        <w:tc>
          <w:tcPr>
            <w:tcW w:w="1240" w:type="dxa"/>
            <w:vAlign w:val="center"/>
          </w:tcPr>
          <w:p>
            <w:pPr>
              <w:snapToGrid w:val="0"/>
              <w:jc w:val="center"/>
              <w:rPr>
                <w:sz w:val="24"/>
                <w:szCs w:val="24"/>
              </w:rPr>
            </w:pPr>
            <w:r>
              <w:rPr>
                <w:sz w:val="24"/>
                <w:szCs w:val="24"/>
              </w:rPr>
              <w:t>废机油以及废抹布、手套</w:t>
            </w:r>
          </w:p>
        </w:tc>
        <w:tc>
          <w:tcPr>
            <w:tcW w:w="2258" w:type="dxa"/>
            <w:vMerge w:val="continue"/>
            <w:vAlign w:val="center"/>
          </w:tcPr>
          <w:p>
            <w:pPr>
              <w:snapToGrid w:val="0"/>
              <w:jc w:val="center"/>
              <w:rPr>
                <w:bCs/>
                <w:sz w:val="24"/>
                <w:szCs w:val="24"/>
              </w:rPr>
            </w:pPr>
          </w:p>
        </w:tc>
        <w:tc>
          <w:tcPr>
            <w:tcW w:w="3270" w:type="dxa"/>
            <w:vMerge w:val="continue"/>
            <w:vAlign w:val="center"/>
          </w:tcPr>
          <w:p>
            <w:pPr>
              <w:jc w:val="center"/>
              <w:rPr>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256" w:hRule="atLeast"/>
          <w:jc w:val="center"/>
        </w:trPr>
        <w:tc>
          <w:tcPr>
            <w:tcW w:w="1247" w:type="dxa"/>
            <w:vMerge w:val="continue"/>
            <w:vAlign w:val="center"/>
          </w:tcPr>
          <w:p>
            <w:pPr>
              <w:jc w:val="center"/>
            </w:pPr>
          </w:p>
        </w:tc>
        <w:tc>
          <w:tcPr>
            <w:tcW w:w="1050" w:type="dxa"/>
            <w:vAlign w:val="center"/>
          </w:tcPr>
          <w:p>
            <w:pPr>
              <w:snapToGrid w:val="0"/>
              <w:jc w:val="center"/>
              <w:rPr>
                <w:sz w:val="24"/>
                <w:szCs w:val="24"/>
              </w:rPr>
            </w:pPr>
            <w:r>
              <w:rPr>
                <w:sz w:val="24"/>
                <w:szCs w:val="24"/>
              </w:rPr>
              <w:t>废水过滤</w:t>
            </w:r>
          </w:p>
        </w:tc>
        <w:tc>
          <w:tcPr>
            <w:tcW w:w="1240" w:type="dxa"/>
            <w:vAlign w:val="center"/>
          </w:tcPr>
          <w:p>
            <w:pPr>
              <w:snapToGrid w:val="0"/>
              <w:jc w:val="center"/>
              <w:rPr>
                <w:sz w:val="24"/>
                <w:szCs w:val="24"/>
              </w:rPr>
            </w:pPr>
            <w:r>
              <w:rPr>
                <w:sz w:val="24"/>
                <w:szCs w:val="24"/>
              </w:rPr>
              <w:t>废棉纱（含杂质）</w:t>
            </w:r>
          </w:p>
        </w:tc>
        <w:tc>
          <w:tcPr>
            <w:tcW w:w="2258" w:type="dxa"/>
            <w:vMerge w:val="continue"/>
            <w:vAlign w:val="center"/>
          </w:tcPr>
          <w:p>
            <w:pPr>
              <w:snapToGrid w:val="0"/>
              <w:jc w:val="center"/>
              <w:rPr>
                <w:bCs/>
                <w:sz w:val="24"/>
                <w:szCs w:val="24"/>
              </w:rPr>
            </w:pPr>
          </w:p>
        </w:tc>
        <w:tc>
          <w:tcPr>
            <w:tcW w:w="3270" w:type="dxa"/>
            <w:vMerge w:val="continue"/>
            <w:vAlign w:val="center"/>
          </w:tcPr>
          <w:p>
            <w:pPr>
              <w:jc w:val="center"/>
              <w:rPr>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cantSplit/>
          <w:trHeight w:val="1823" w:hRule="atLeast"/>
          <w:jc w:val="center"/>
        </w:trPr>
        <w:tc>
          <w:tcPr>
            <w:tcW w:w="1247" w:type="dxa"/>
            <w:vMerge w:val="continue"/>
            <w:vAlign w:val="center"/>
          </w:tcPr>
          <w:p>
            <w:pPr>
              <w:jc w:val="center"/>
            </w:pPr>
          </w:p>
        </w:tc>
        <w:tc>
          <w:tcPr>
            <w:tcW w:w="1050" w:type="dxa"/>
            <w:vAlign w:val="center"/>
          </w:tcPr>
          <w:p>
            <w:pPr>
              <w:snapToGrid w:val="0"/>
              <w:jc w:val="center"/>
              <w:rPr>
                <w:sz w:val="24"/>
                <w:szCs w:val="24"/>
              </w:rPr>
            </w:pPr>
            <w:r>
              <w:rPr>
                <w:sz w:val="24"/>
                <w:szCs w:val="24"/>
              </w:rPr>
              <w:t>废气处理</w:t>
            </w:r>
          </w:p>
        </w:tc>
        <w:tc>
          <w:tcPr>
            <w:tcW w:w="1240" w:type="dxa"/>
            <w:vAlign w:val="center"/>
          </w:tcPr>
          <w:p>
            <w:pPr>
              <w:snapToGrid w:val="0"/>
              <w:jc w:val="center"/>
              <w:rPr>
                <w:sz w:val="24"/>
                <w:szCs w:val="24"/>
              </w:rPr>
            </w:pPr>
            <w:r>
              <w:rPr>
                <w:sz w:val="24"/>
                <w:szCs w:val="24"/>
              </w:rPr>
              <w:t>废</w:t>
            </w:r>
            <w:r>
              <w:rPr>
                <w:rFonts w:hint="eastAsia"/>
                <w:sz w:val="24"/>
                <w:szCs w:val="24"/>
              </w:rPr>
              <w:t>滤芯</w:t>
            </w:r>
            <w:r>
              <w:rPr>
                <w:sz w:val="24"/>
                <w:szCs w:val="24"/>
              </w:rPr>
              <w:t>（含</w:t>
            </w:r>
            <w:r>
              <w:rPr>
                <w:sz w:val="24"/>
                <w:szCs w:val="24"/>
                <w:highlight w:val="none"/>
              </w:rPr>
              <w:t>漆雾</w:t>
            </w:r>
            <w:r>
              <w:rPr>
                <w:sz w:val="24"/>
                <w:szCs w:val="24"/>
              </w:rPr>
              <w:t>）、</w:t>
            </w:r>
            <w:r>
              <w:rPr>
                <w:rFonts w:hint="eastAsia"/>
                <w:sz w:val="24"/>
                <w:szCs w:val="24"/>
              </w:rPr>
              <w:t>废滤芯（含漆粉尘）、</w:t>
            </w:r>
            <w:r>
              <w:rPr>
                <w:sz w:val="24"/>
                <w:szCs w:val="24"/>
              </w:rPr>
              <w:t>废活性炭</w:t>
            </w:r>
          </w:p>
        </w:tc>
        <w:tc>
          <w:tcPr>
            <w:tcW w:w="2258" w:type="dxa"/>
            <w:vMerge w:val="continue"/>
            <w:vAlign w:val="center"/>
          </w:tcPr>
          <w:p>
            <w:pPr>
              <w:snapToGrid w:val="0"/>
              <w:jc w:val="center"/>
              <w:rPr>
                <w:bCs/>
                <w:sz w:val="24"/>
                <w:szCs w:val="24"/>
              </w:rPr>
            </w:pPr>
          </w:p>
        </w:tc>
        <w:tc>
          <w:tcPr>
            <w:tcW w:w="3270" w:type="dxa"/>
            <w:vMerge w:val="continue"/>
            <w:vAlign w:val="center"/>
          </w:tcPr>
          <w:p>
            <w:pPr>
              <w:jc w:val="center"/>
              <w:rPr>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1296" w:hRule="atLeast"/>
          <w:jc w:val="center"/>
        </w:trPr>
        <w:tc>
          <w:tcPr>
            <w:tcW w:w="1247" w:type="dxa"/>
            <w:vAlign w:val="center"/>
          </w:tcPr>
          <w:p>
            <w:pPr>
              <w:jc w:val="center"/>
              <w:rPr>
                <w:rFonts w:eastAsia="黑体"/>
                <w:sz w:val="24"/>
              </w:rPr>
            </w:pPr>
            <w:r>
              <w:rPr>
                <w:rFonts w:eastAsia="黑体"/>
                <w:sz w:val="24"/>
              </w:rPr>
              <w:t>噪声</w:t>
            </w:r>
          </w:p>
        </w:tc>
        <w:tc>
          <w:tcPr>
            <w:tcW w:w="7818" w:type="dxa"/>
            <w:gridSpan w:val="4"/>
            <w:vAlign w:val="center"/>
          </w:tcPr>
          <w:p>
            <w:pPr>
              <w:jc w:val="center"/>
              <w:rPr>
                <w:sz w:val="24"/>
                <w:szCs w:val="24"/>
              </w:rPr>
            </w:pPr>
            <w:r>
              <w:rPr>
                <w:sz w:val="24"/>
                <w:szCs w:val="24"/>
              </w:rPr>
              <w:t>本项目主要噪声源为泵及风机等运行产生的噪声，</w:t>
            </w:r>
            <w:r>
              <w:rPr>
                <w:kern w:val="0"/>
                <w:sz w:val="24"/>
                <w:szCs w:val="24"/>
              </w:rPr>
              <w:t>噪声值范围在70～90dB(A)之间</w:t>
            </w:r>
            <w:r>
              <w:rPr>
                <w:sz w:val="24"/>
                <w:szCs w:val="24"/>
              </w:rPr>
              <w:t>。在采取选取机库密闭、隔声减振等措施，经距离衰减后，对外界声环境影响较小。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2352" w:hRule="atLeast"/>
          <w:jc w:val="center"/>
        </w:trPr>
        <w:tc>
          <w:tcPr>
            <w:tcW w:w="9065" w:type="dxa"/>
            <w:gridSpan w:val="5"/>
            <w:vAlign w:val="center"/>
          </w:tcPr>
          <w:p>
            <w:pPr>
              <w:spacing w:line="276" w:lineRule="auto"/>
              <w:jc w:val="left"/>
              <w:rPr>
                <w:b/>
                <w:sz w:val="30"/>
                <w:szCs w:val="30"/>
              </w:rPr>
            </w:pPr>
            <w:r>
              <w:rPr>
                <w:b/>
                <w:sz w:val="30"/>
                <w:szCs w:val="30"/>
              </w:rPr>
              <w:t>生态保护措施及预期效果</w:t>
            </w:r>
          </w:p>
          <w:p>
            <w:pPr>
              <w:ind w:firstLine="480" w:firstLineChars="200"/>
              <w:jc w:val="left"/>
              <w:rPr>
                <w:sz w:val="24"/>
                <w:szCs w:val="24"/>
              </w:rPr>
            </w:pPr>
            <w:r>
              <w:rPr>
                <w:sz w:val="24"/>
                <w:szCs w:val="24"/>
              </w:rPr>
              <w:t>项目位于</w:t>
            </w:r>
            <w:r>
              <w:rPr>
                <w:sz w:val="24"/>
              </w:rPr>
              <w:t>陕西省西咸新区空港新城西安咸阳机场空港东二路东航技术公司西北分公司1号机库内</w:t>
            </w:r>
            <w:r>
              <w:rPr>
                <w:bCs/>
                <w:sz w:val="24"/>
                <w:szCs w:val="24"/>
              </w:rPr>
              <w:t>。</w:t>
            </w:r>
            <w:r>
              <w:rPr>
                <w:sz w:val="24"/>
                <w:szCs w:val="24"/>
              </w:rPr>
              <w:t>植被主要为农田作物和人工植被，生物多样性较为简单。</w:t>
            </w:r>
          </w:p>
          <w:p>
            <w:pPr>
              <w:jc w:val="left"/>
              <w:rPr>
                <w:sz w:val="24"/>
                <w:szCs w:val="24"/>
              </w:rPr>
            </w:pPr>
          </w:p>
          <w:p>
            <w:pPr>
              <w:jc w:val="left"/>
              <w:rPr>
                <w:sz w:val="24"/>
                <w:szCs w:val="24"/>
              </w:rPr>
            </w:pPr>
          </w:p>
          <w:p>
            <w:pPr>
              <w:jc w:val="left"/>
              <w:rPr>
                <w:sz w:val="24"/>
                <w:szCs w:val="24"/>
              </w:rPr>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jc w:val="left"/>
              <w:rPr>
                <w:sz w:val="24"/>
                <w:szCs w:val="24"/>
              </w:rPr>
            </w:pPr>
          </w:p>
          <w:p>
            <w:pPr>
              <w:pStyle w:val="2"/>
              <w:ind w:firstLine="560"/>
            </w:pPr>
          </w:p>
          <w:p>
            <w:pPr>
              <w:pStyle w:val="2"/>
              <w:ind w:firstLine="560"/>
            </w:pPr>
          </w:p>
          <w:p>
            <w:pPr>
              <w:pStyle w:val="2"/>
              <w:ind w:firstLine="560"/>
            </w:pPr>
          </w:p>
        </w:tc>
      </w:tr>
      <w:bookmarkEnd w:id="98"/>
    </w:tbl>
    <w:p>
      <w:pPr>
        <w:rPr>
          <w:rStyle w:val="78"/>
        </w:rPr>
      </w:pPr>
      <w:bookmarkStart w:id="103" w:name="_Toc183088183"/>
      <w:bookmarkStart w:id="104" w:name="_Toc183006406"/>
      <w:bookmarkStart w:id="105" w:name="_Toc183170412"/>
      <w:bookmarkStart w:id="106" w:name="_Toc193872741"/>
      <w:bookmarkStart w:id="107" w:name="_Toc182888697"/>
      <w:bookmarkStart w:id="108" w:name="_Toc182830659"/>
      <w:bookmarkStart w:id="109" w:name="_Toc182819247"/>
    </w:p>
    <w:p>
      <w:pPr>
        <w:rPr>
          <w:rStyle w:val="78"/>
        </w:rPr>
      </w:pPr>
    </w:p>
    <w:p>
      <w:pPr>
        <w:rPr>
          <w:rStyle w:val="78"/>
        </w:rPr>
      </w:pPr>
      <w:r>
        <w:rPr>
          <w:rStyle w:val="78"/>
        </w:rPr>
        <w:t>结论与建议</w:t>
      </w:r>
      <w:bookmarkEnd w:id="99"/>
      <w:bookmarkEnd w:id="100"/>
      <w:bookmarkEnd w:id="103"/>
      <w:bookmarkEnd w:id="104"/>
      <w:bookmarkEnd w:id="105"/>
      <w:bookmarkEnd w:id="106"/>
      <w:bookmarkEnd w:id="107"/>
      <w:bookmarkEnd w:id="108"/>
      <w:bookmarkEnd w:id="109"/>
    </w:p>
    <w:tbl>
      <w:tblPr>
        <w:tblStyle w:val="38"/>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0" w:hRule="atLeast"/>
        </w:trPr>
        <w:tc>
          <w:tcPr>
            <w:tcW w:w="9000" w:type="dxa"/>
          </w:tcPr>
          <w:p>
            <w:pPr>
              <w:spacing w:line="520" w:lineRule="exact"/>
              <w:rPr>
                <w:rFonts w:eastAsia="黑体"/>
                <w:sz w:val="30"/>
                <w:szCs w:val="30"/>
              </w:rPr>
            </w:pPr>
            <w:r>
              <w:rPr>
                <w:rFonts w:eastAsia="黑体"/>
                <w:sz w:val="30"/>
                <w:szCs w:val="30"/>
              </w:rPr>
              <w:t>环境影响评价结论</w:t>
            </w:r>
          </w:p>
          <w:p>
            <w:pPr>
              <w:widowControl/>
              <w:tabs>
                <w:tab w:val="center" w:pos="4538"/>
              </w:tabs>
              <w:spacing w:line="520" w:lineRule="exact"/>
              <w:ind w:firstLine="480"/>
              <w:jc w:val="left"/>
              <w:rPr>
                <w:b/>
                <w:sz w:val="24"/>
                <w:szCs w:val="24"/>
              </w:rPr>
            </w:pPr>
            <w:r>
              <w:rPr>
                <w:b/>
                <w:sz w:val="24"/>
                <w:szCs w:val="24"/>
              </w:rPr>
              <w:t xml:space="preserve"> 1、项目概况</w:t>
            </w:r>
          </w:p>
          <w:p>
            <w:pPr>
              <w:spacing w:before="50" w:line="520" w:lineRule="exact"/>
              <w:ind w:firstLine="480"/>
              <w:rPr>
                <w:color w:val="000000"/>
                <w:sz w:val="24"/>
              </w:rPr>
            </w:pPr>
            <w:r>
              <w:rPr>
                <w:color w:val="000000"/>
                <w:kern w:val="0"/>
                <w:sz w:val="24"/>
                <w:szCs w:val="24"/>
                <w:lang w:val="zh-CN"/>
              </w:rPr>
              <w:t>东方航空技术有限公司西北分公司1号机库始建于1991年，主要用于飞机的整体维修，因建成时间较早，未办理环评手续。</w:t>
            </w:r>
            <w:r>
              <w:rPr>
                <w:sz w:val="24"/>
              </w:rPr>
              <w:t>2013年对原有项目进行第一次改造，并于2013年10月16日取得陕西省西咸新区空港新城生态环保局文件关于东航西安维修基地新机库及配套建设项目环境影响报告表的批复（陕空港环批复</w:t>
            </w:r>
            <w:r>
              <w:rPr>
                <w:sz w:val="24"/>
                <w:highlight w:val="none"/>
              </w:rPr>
              <w:t>[</w:t>
            </w:r>
            <w:r>
              <w:rPr>
                <w:sz w:val="24"/>
              </w:rPr>
              <w:t>2013</w:t>
            </w:r>
            <w:r>
              <w:rPr>
                <w:sz w:val="24"/>
                <w:highlight w:val="none"/>
              </w:rPr>
              <w:t>]</w:t>
            </w:r>
            <w:r>
              <w:rPr>
                <w:sz w:val="24"/>
              </w:rPr>
              <w:t>10号）</w:t>
            </w:r>
            <w:r>
              <w:rPr>
                <w:rFonts w:hint="eastAsia"/>
                <w:sz w:val="24"/>
              </w:rPr>
              <w:t>，2016年7月21日取得陕西省西咸新区空港新城规划建设环保局关于东航西安维修基地新机库及配套建设项目竣工环保验收的批复（空港规建环[2016]23号）</w:t>
            </w:r>
            <w:r>
              <w:rPr>
                <w:sz w:val="24"/>
              </w:rPr>
              <w:t>。2019年，为响应国家环保政策，并规范机库维修工艺及环保治理措施，</w:t>
            </w:r>
            <w:r>
              <w:rPr>
                <w:rFonts w:hint="eastAsia"/>
                <w:color w:val="000000"/>
                <w:sz w:val="24"/>
              </w:rPr>
              <w:t>东方航空技术有限公司</w:t>
            </w:r>
            <w:r>
              <w:rPr>
                <w:color w:val="000000"/>
                <w:sz w:val="24"/>
              </w:rPr>
              <w:t>投资750万元建设</w:t>
            </w:r>
            <w:r>
              <w:rPr>
                <w:color w:val="000000"/>
                <w:kern w:val="0"/>
                <w:sz w:val="24"/>
                <w:szCs w:val="24"/>
                <w:lang w:val="zh-CN"/>
              </w:rPr>
              <w:t>东方航空技术有限公司西北分公司1号机库改造项目</w:t>
            </w:r>
            <w:r>
              <w:rPr>
                <w:color w:val="000000"/>
                <w:sz w:val="24"/>
                <w:szCs w:val="24"/>
              </w:rPr>
              <w:t>，</w:t>
            </w:r>
            <w:r>
              <w:rPr>
                <w:color w:val="000000"/>
                <w:sz w:val="24"/>
              </w:rPr>
              <w:t>对1号机库生产线及环保设备设施和消防系统进行改造，安装废气通排风一体深度处理设备、气体检测报警系统，并进行消防设备设施及防爆电气、照明改造。</w:t>
            </w:r>
          </w:p>
          <w:p>
            <w:pPr>
              <w:spacing w:before="50" w:line="520" w:lineRule="exact"/>
              <w:ind w:firstLine="480"/>
              <w:rPr>
                <w:sz w:val="24"/>
              </w:rPr>
            </w:pPr>
            <w:r>
              <w:rPr>
                <w:b/>
                <w:sz w:val="24"/>
                <w:szCs w:val="24"/>
              </w:rPr>
              <w:t xml:space="preserve"> 2、区域环境质量现状</w:t>
            </w:r>
          </w:p>
          <w:p>
            <w:pPr>
              <w:adjustRightInd w:val="0"/>
              <w:snapToGrid w:val="0"/>
              <w:spacing w:line="520" w:lineRule="exact"/>
              <w:ind w:firstLine="480" w:firstLineChars="200"/>
              <w:rPr>
                <w:sz w:val="24"/>
                <w:szCs w:val="24"/>
              </w:rPr>
            </w:pPr>
            <w:r>
              <w:rPr>
                <w:sz w:val="24"/>
                <w:szCs w:val="24"/>
              </w:rPr>
              <w:t>（1）环境空气质量现状</w:t>
            </w:r>
          </w:p>
          <w:p>
            <w:pPr>
              <w:pStyle w:val="92"/>
              <w:spacing w:line="520" w:lineRule="exact"/>
              <w:ind w:firstLine="480" w:firstLineChars="200"/>
              <w:jc w:val="both"/>
              <w:outlineLvl w:val="0"/>
              <w:rPr>
                <w:rFonts w:ascii="Times New Roman" w:hAnsi="Times New Roman" w:cs="Times New Roman"/>
                <w:color w:val="auto"/>
              </w:rPr>
            </w:pPr>
            <w:r>
              <w:rPr>
                <w:rFonts w:ascii="Times New Roman" w:hAnsi="Times New Roman" w:cs="Times New Roman"/>
                <w:color w:val="auto"/>
              </w:rPr>
              <w:t>本项目大气环境质量现状引用西咸新区2018年环境状况公报，环境空气基本污染物监测项目中，</w:t>
            </w:r>
            <w:r>
              <w:rPr>
                <w:rFonts w:ascii="Times New Roman" w:hAnsi="Times New Roman" w:cs="Times New Roman"/>
                <w:bCs/>
                <w:color w:val="auto"/>
              </w:rPr>
              <w:t>SO</w:t>
            </w:r>
            <w:r>
              <w:rPr>
                <w:rFonts w:ascii="Times New Roman" w:hAnsi="Times New Roman" w:cs="Times New Roman"/>
                <w:bCs/>
                <w:color w:val="auto"/>
                <w:vertAlign w:val="subscript"/>
              </w:rPr>
              <w:t>2</w:t>
            </w:r>
            <w:r>
              <w:rPr>
                <w:rFonts w:ascii="Times New Roman" w:hAnsi="Times New Roman" w:cs="Times New Roman"/>
                <w:bCs/>
                <w:color w:val="auto"/>
              </w:rPr>
              <w:t>年平均浓度值和CO24小时平均第95百分位数的浓度低于《环境空气质量标准》（GB3095-2012）中的二级标准要求； PM</w:t>
            </w:r>
            <w:r>
              <w:rPr>
                <w:rFonts w:ascii="Times New Roman" w:hAnsi="Times New Roman" w:cs="Times New Roman"/>
                <w:bCs/>
                <w:color w:val="auto"/>
                <w:vertAlign w:val="subscript"/>
              </w:rPr>
              <w:t>10</w:t>
            </w:r>
            <w:r>
              <w:rPr>
                <w:rFonts w:ascii="Times New Roman" w:hAnsi="Times New Roman" w:cs="Times New Roman"/>
                <w:bCs/>
                <w:color w:val="auto"/>
              </w:rPr>
              <w:t>、PM</w:t>
            </w:r>
            <w:r>
              <w:rPr>
                <w:rFonts w:ascii="Times New Roman" w:hAnsi="Times New Roman" w:cs="Times New Roman"/>
                <w:bCs/>
                <w:color w:val="auto"/>
                <w:vertAlign w:val="subscript"/>
              </w:rPr>
              <w:t>2.5</w:t>
            </w:r>
            <w:r>
              <w:rPr>
                <w:rFonts w:ascii="Times New Roman" w:hAnsi="Times New Roman" w:cs="Times New Roman"/>
                <w:bCs/>
                <w:color w:val="auto"/>
              </w:rPr>
              <w:t>、NO</w:t>
            </w:r>
            <w:r>
              <w:rPr>
                <w:rFonts w:ascii="Times New Roman" w:hAnsi="Times New Roman" w:cs="Times New Roman"/>
                <w:bCs/>
                <w:color w:val="auto"/>
                <w:vertAlign w:val="subscript"/>
              </w:rPr>
              <w:t>2</w:t>
            </w:r>
            <w:r>
              <w:rPr>
                <w:rFonts w:ascii="Times New Roman" w:hAnsi="Times New Roman" w:cs="Times New Roman"/>
                <w:bCs/>
                <w:color w:val="auto"/>
              </w:rPr>
              <w:t>年均浓度值、O</w:t>
            </w:r>
            <w:r>
              <w:rPr>
                <w:rFonts w:ascii="Times New Roman" w:hAnsi="Times New Roman" w:cs="Times New Roman"/>
                <w:bCs/>
                <w:color w:val="auto"/>
                <w:vertAlign w:val="subscript"/>
              </w:rPr>
              <w:t>3</w:t>
            </w:r>
            <w:r>
              <w:rPr>
                <w:rFonts w:ascii="Times New Roman" w:hAnsi="Times New Roman" w:cs="Times New Roman"/>
                <w:bCs/>
                <w:color w:val="auto"/>
              </w:rPr>
              <w:t>日最大8小时平均第90百分位浓度值均高于《环境空气质量标准》（GB3095-2012）中的二级标准要求。</w:t>
            </w:r>
            <w:r>
              <w:rPr>
                <w:rFonts w:ascii="Times New Roman" w:hAnsi="Times New Roman" w:cs="Times New Roman"/>
              </w:rPr>
              <w:t>项目所在地为大气环境质量</w:t>
            </w:r>
            <w:r>
              <w:rPr>
                <w:rFonts w:hint="eastAsia" w:ascii="Times New Roman" w:hAnsi="Times New Roman" w:cs="Times New Roman"/>
              </w:rPr>
              <w:t>不</w:t>
            </w:r>
            <w:r>
              <w:rPr>
                <w:rFonts w:ascii="Times New Roman" w:hAnsi="Times New Roman" w:cs="Times New Roman"/>
              </w:rPr>
              <w:t>达标区。</w:t>
            </w:r>
          </w:p>
          <w:p>
            <w:pPr>
              <w:autoSpaceDN w:val="0"/>
              <w:spacing w:line="520" w:lineRule="exact"/>
              <w:ind w:firstLine="480" w:firstLineChars="200"/>
              <w:rPr>
                <w:sz w:val="24"/>
              </w:rPr>
            </w:pPr>
            <w:r>
              <w:rPr>
                <w:sz w:val="24"/>
              </w:rPr>
              <w:t>由</w:t>
            </w:r>
            <w:r>
              <w:rPr>
                <w:bCs/>
                <w:sz w:val="24"/>
              </w:rPr>
              <w:t>监测结果表明，评价区</w:t>
            </w:r>
            <w:r>
              <w:rPr>
                <w:sz w:val="24"/>
              </w:rPr>
              <w:t>环境空气中非甲烷总烃满足《大气污染物综合排放标准详解》中限值；甲苯、二甲苯满足《环境影响评价技术导则 大气环境》（HJ2.2-2018）附录D限值；乙苯满足《前苏联居民大气有害物质的最大允许浓度》中浓度限值。</w:t>
            </w:r>
          </w:p>
          <w:p>
            <w:pPr>
              <w:adjustRightInd w:val="0"/>
              <w:snapToGrid w:val="0"/>
              <w:spacing w:line="520" w:lineRule="exact"/>
              <w:ind w:firstLine="480" w:firstLineChars="200"/>
              <w:rPr>
                <w:sz w:val="24"/>
                <w:szCs w:val="24"/>
              </w:rPr>
            </w:pPr>
            <w:r>
              <w:rPr>
                <w:sz w:val="24"/>
                <w:szCs w:val="24"/>
              </w:rPr>
              <w:t>（2）声环境质量现状</w:t>
            </w:r>
          </w:p>
          <w:p>
            <w:pPr>
              <w:adjustRightInd w:val="0"/>
              <w:snapToGrid w:val="0"/>
              <w:spacing w:line="520" w:lineRule="exact"/>
              <w:ind w:firstLine="480" w:firstLineChars="200"/>
              <w:rPr>
                <w:sz w:val="24"/>
              </w:rPr>
            </w:pPr>
            <w:r>
              <w:rPr>
                <w:sz w:val="24"/>
                <w:szCs w:val="24"/>
              </w:rPr>
              <w:t>监测结果表明，</w:t>
            </w:r>
            <w:r>
              <w:rPr>
                <w:sz w:val="24"/>
              </w:rPr>
              <w:t>项目所在区域声环境质量现状监测值均不符合《声环境质量标准》（GB3096-2008）2类区标准要求，原因是本项目机库位置靠近机场停机坪，飞机运行噪声较大引起的。</w:t>
            </w:r>
          </w:p>
          <w:p>
            <w:pPr>
              <w:adjustRightInd w:val="0"/>
              <w:snapToGrid w:val="0"/>
              <w:spacing w:line="520" w:lineRule="exact"/>
              <w:ind w:firstLine="480" w:firstLineChars="200"/>
              <w:rPr>
                <w:sz w:val="24"/>
                <w:szCs w:val="24"/>
              </w:rPr>
            </w:pPr>
            <w:r>
              <w:rPr>
                <w:rFonts w:hint="eastAsia"/>
                <w:sz w:val="24"/>
                <w:szCs w:val="24"/>
              </w:rPr>
              <w:t>（3）土壤环境质量现状</w:t>
            </w:r>
          </w:p>
          <w:p>
            <w:pPr>
              <w:pStyle w:val="2"/>
              <w:spacing w:after="0" w:line="520" w:lineRule="exact"/>
              <w:ind w:left="0" w:leftChars="0" w:firstLine="480"/>
              <w:rPr>
                <w:rFonts w:ascii="Times New Roman" w:hAnsi="Times New Roman"/>
                <w:kern w:val="0"/>
                <w:sz w:val="24"/>
                <w:szCs w:val="20"/>
              </w:rPr>
            </w:pPr>
            <w:r>
              <w:rPr>
                <w:rFonts w:ascii="Times New Roman" w:hAnsi="Times New Roman"/>
                <w:kern w:val="0"/>
                <w:sz w:val="24"/>
                <w:szCs w:val="20"/>
              </w:rPr>
              <w:t>由监测数据统计结果可以看出，项目区周边各个监测点位的监测结果均满足《土壤环境质量 建设用地土壤污染风险管控标准》（GB36600-2018）中第二类用地筛选值标准要求。</w:t>
            </w:r>
          </w:p>
          <w:p>
            <w:pPr>
              <w:widowControl/>
              <w:tabs>
                <w:tab w:val="center" w:pos="4538"/>
              </w:tabs>
              <w:spacing w:line="520" w:lineRule="exact"/>
              <w:ind w:firstLine="480"/>
              <w:jc w:val="left"/>
              <w:rPr>
                <w:b/>
                <w:sz w:val="24"/>
                <w:szCs w:val="24"/>
              </w:rPr>
            </w:pPr>
            <w:r>
              <w:rPr>
                <w:b/>
                <w:sz w:val="24"/>
                <w:szCs w:val="24"/>
              </w:rPr>
              <w:t>3、污染物排放情况</w:t>
            </w:r>
          </w:p>
          <w:p>
            <w:pPr>
              <w:spacing w:line="520" w:lineRule="exact"/>
              <w:ind w:firstLine="480"/>
              <w:rPr>
                <w:sz w:val="24"/>
                <w:szCs w:val="24"/>
              </w:rPr>
            </w:pPr>
            <w:r>
              <w:rPr>
                <w:sz w:val="24"/>
                <w:szCs w:val="24"/>
              </w:rPr>
              <w:t>（1）废气</w:t>
            </w:r>
          </w:p>
          <w:p>
            <w:pPr>
              <w:autoSpaceDE w:val="0"/>
              <w:autoSpaceDN w:val="0"/>
              <w:adjustRightInd w:val="0"/>
              <w:snapToGrid w:val="0"/>
              <w:spacing w:line="560" w:lineRule="exact"/>
              <w:ind w:firstLine="480" w:firstLineChars="200"/>
              <w:rPr>
                <w:color w:val="000000"/>
                <w:sz w:val="24"/>
              </w:rPr>
            </w:pPr>
            <w:r>
              <w:rPr>
                <w:sz w:val="24"/>
                <w:szCs w:val="24"/>
              </w:rPr>
              <w:t>项目运营期产生的废气主要为打磨粉尘和喷漆废气。</w:t>
            </w:r>
            <w:r>
              <w:rPr>
                <w:color w:val="000000"/>
                <w:sz w:val="24"/>
              </w:rPr>
              <w:t>打磨粉尘产生量约为1.68t/a，</w:t>
            </w:r>
            <w:r>
              <w:rPr>
                <w:bCs/>
                <w:sz w:val="24"/>
              </w:rPr>
              <w:t>经</w:t>
            </w:r>
            <w:r>
              <w:rPr>
                <w:rFonts w:hint="eastAsia"/>
                <w:bCs/>
                <w:sz w:val="24"/>
              </w:rPr>
              <w:t>排风集气箱</w:t>
            </w:r>
            <w:r>
              <w:rPr>
                <w:bCs/>
                <w:sz w:val="24"/>
              </w:rPr>
              <w:t>的</w:t>
            </w:r>
            <w:r>
              <w:rPr>
                <w:rFonts w:hint="eastAsia"/>
                <w:bCs/>
                <w:sz w:val="24"/>
              </w:rPr>
              <w:t>干式</w:t>
            </w:r>
            <w:r>
              <w:rPr>
                <w:bCs/>
                <w:sz w:val="24"/>
              </w:rPr>
              <w:t>过滤器收集过滤后由</w:t>
            </w:r>
            <w:r>
              <w:rPr>
                <w:color w:val="000000" w:themeColor="text1"/>
                <w:sz w:val="24"/>
                <w14:textFill>
                  <w14:solidFill>
                    <w14:schemeClr w14:val="tx1"/>
                  </w14:solidFill>
                </w14:textFill>
              </w:rPr>
              <w:t>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w:t>
            </w:r>
            <w:r>
              <w:rPr>
                <w:bCs/>
                <w:sz w:val="24"/>
              </w:rPr>
              <w:t>。经处理后</w:t>
            </w:r>
            <w:r>
              <w:rPr>
                <w:color w:val="000000"/>
                <w:sz w:val="24"/>
              </w:rPr>
              <w:t>排放量为0.016t/a，排放速率为0.027kg/h，排放浓度为3.4mg/m</w:t>
            </w:r>
            <w:r>
              <w:rPr>
                <w:color w:val="000000"/>
                <w:sz w:val="24"/>
                <w:vertAlign w:val="superscript"/>
              </w:rPr>
              <w:t>3</w:t>
            </w:r>
            <w:r>
              <w:rPr>
                <w:color w:val="000000"/>
                <w:sz w:val="24"/>
              </w:rPr>
              <w:t>，无组织排放量为0.168t/a。</w:t>
            </w:r>
          </w:p>
          <w:p>
            <w:pPr>
              <w:spacing w:line="520" w:lineRule="exact"/>
              <w:ind w:firstLine="480" w:firstLineChars="200"/>
              <w:rPr>
                <w:color w:val="000000" w:themeColor="text1"/>
                <w:sz w:val="24"/>
                <w14:textFill>
                  <w14:solidFill>
                    <w14:schemeClr w14:val="tx1"/>
                  </w14:solidFill>
                </w14:textFill>
              </w:rPr>
            </w:pPr>
            <w:r>
              <w:rPr>
                <w:color w:val="000000"/>
                <w:sz w:val="24"/>
                <w:lang w:bidi="ar"/>
              </w:rPr>
              <w:t>项目喷漆工序产生的废气包括漆雾、喷漆废气和晾干废气。</w:t>
            </w:r>
            <w:r>
              <w:rPr>
                <w:color w:val="000000" w:themeColor="text1"/>
                <w:sz w:val="24"/>
                <w14:textFill>
                  <w14:solidFill>
                    <w14:schemeClr w14:val="tx1"/>
                  </w14:solidFill>
                </w14:textFill>
              </w:rPr>
              <w:t>项目</w:t>
            </w:r>
            <w:r>
              <w:rPr>
                <w:color w:val="000000" w:themeColor="text1"/>
                <w:sz w:val="24"/>
                <w:lang w:bidi="ar"/>
                <w14:textFill>
                  <w14:solidFill>
                    <w14:schemeClr w14:val="tx1"/>
                  </w14:solidFill>
                </w14:textFill>
              </w:rPr>
              <w:t>一年飞机喷漆架次为18架，喷漆及晾干产生的废气经</w:t>
            </w:r>
            <w:r>
              <w:rPr>
                <w:rFonts w:hint="eastAsia"/>
                <w:color w:val="000000" w:themeColor="text1"/>
                <w:sz w:val="24"/>
                <w:lang w:bidi="ar"/>
                <w14:textFill>
                  <w14:solidFill>
                    <w14:schemeClr w14:val="tx1"/>
                  </w14:solidFill>
                </w14:textFill>
              </w:rPr>
              <w:t>排风集气箱</w:t>
            </w:r>
            <w:r>
              <w:rPr>
                <w:color w:val="000000" w:themeColor="text1"/>
                <w:sz w:val="24"/>
                <w:lang w:bidi="ar"/>
                <w14:textFill>
                  <w14:solidFill>
                    <w14:schemeClr w14:val="tx1"/>
                  </w14:solidFill>
                </w14:textFill>
              </w:rPr>
              <w:t>收集后，采用</w:t>
            </w:r>
            <w:r>
              <w:rPr>
                <w:rFonts w:hint="eastAsia"/>
                <w:color w:val="000000" w:themeColor="text1"/>
                <w:sz w:val="24"/>
                <w14:textFill>
                  <w14:solidFill>
                    <w14:schemeClr w14:val="tx1"/>
                  </w14:solidFill>
                </w14:textFill>
              </w:rPr>
              <w:t>干式</w:t>
            </w:r>
            <w:r>
              <w:rPr>
                <w:color w:val="000000" w:themeColor="text1"/>
                <w:sz w:val="24"/>
                <w14:textFill>
                  <w14:solidFill>
                    <w14:schemeClr w14:val="tx1"/>
                  </w14:solidFill>
                </w14:textFill>
              </w:rPr>
              <w:t>过滤器+活性炭吸附</w:t>
            </w:r>
            <w:r>
              <w:rPr>
                <w:rFonts w:hint="eastAsia"/>
                <w:color w:val="000000" w:themeColor="text1"/>
                <w:sz w:val="24"/>
                <w14:textFill>
                  <w14:solidFill>
                    <w14:schemeClr w14:val="tx1"/>
                  </w14:solidFill>
                </w14:textFill>
              </w:rPr>
              <w:t>箱（内设蜂窝活性炭）</w:t>
            </w:r>
            <w:r>
              <w:rPr>
                <w:color w:val="000000" w:themeColor="text1"/>
                <w:sz w:val="24"/>
                <w14:textFill>
                  <w14:solidFill>
                    <w14:schemeClr w14:val="tx1"/>
                  </w14:solidFill>
                </w14:textFill>
              </w:rPr>
              <w:t>处理，处理后的废气通过机库东西两侧辅房顶部15m高的排气筒（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）排放。项目喷漆工序形成的漆雾量为1.44t/a，经处理后有组织排放量为0.1368t/a，排放速率为0.228kg/h，排放浓度为0.95mg/m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 根据工程分析可知，项目非甲烷总烃的产生总量为4.56t/a，甲苯+乙苯的产生量为0.129t/a，二甲苯产生量为0.259t/a。经</w:t>
            </w:r>
            <w:r>
              <w:rPr>
                <w:rFonts w:hint="eastAsia"/>
                <w:color w:val="000000" w:themeColor="text1"/>
                <w:sz w:val="24"/>
                <w14:textFill>
                  <w14:solidFill>
                    <w14:schemeClr w14:val="tx1"/>
                  </w14:solidFill>
                </w14:textFill>
              </w:rPr>
              <w:t>排风集气箱</w:t>
            </w:r>
            <w:r>
              <w:rPr>
                <w:color w:val="000000" w:themeColor="text1"/>
                <w:sz w:val="24"/>
                <w14:textFill>
                  <w14:solidFill>
                    <w14:schemeClr w14:val="tx1"/>
                  </w14:solidFill>
                </w14:textFill>
              </w:rPr>
              <w:t>收集后</w:t>
            </w:r>
            <w:r>
              <w:rPr>
                <w:color w:val="000000" w:themeColor="text1"/>
                <w:sz w:val="24"/>
                <w:lang w:bidi="ar"/>
                <w14:textFill>
                  <w14:solidFill>
                    <w14:schemeClr w14:val="tx1"/>
                  </w14:solidFill>
                </w14:textFill>
              </w:rPr>
              <w:t>通过</w:t>
            </w:r>
            <w:r>
              <w:rPr>
                <w:rFonts w:hint="eastAsia"/>
                <w:color w:val="000000" w:themeColor="text1"/>
                <w:sz w:val="24"/>
                <w:lang w:bidi="ar"/>
                <w14:textFill>
                  <w14:solidFill>
                    <w14:schemeClr w14:val="tx1"/>
                  </w14:solidFill>
                </w14:textFill>
              </w:rPr>
              <w:t>干式过滤器+</w:t>
            </w:r>
            <w:r>
              <w:rPr>
                <w:color w:val="000000" w:themeColor="text1"/>
                <w:sz w:val="24"/>
                <w:lang w:bidi="ar"/>
                <w14:textFill>
                  <w14:solidFill>
                    <w14:schemeClr w14:val="tx1"/>
                  </w14:solidFill>
                </w14:textFill>
              </w:rPr>
              <w:t>活性炭吸附箱（</w:t>
            </w:r>
            <w:r>
              <w:rPr>
                <w:rFonts w:hint="eastAsia"/>
                <w:color w:val="000000" w:themeColor="text1"/>
                <w:sz w:val="24"/>
                <w:lang w:bidi="ar"/>
                <w14:textFill>
                  <w14:solidFill>
                    <w14:schemeClr w14:val="tx1"/>
                  </w14:solidFill>
                </w14:textFill>
              </w:rPr>
              <w:t>内设蜂窝活性炭</w:t>
            </w:r>
            <w:r>
              <w:rPr>
                <w:color w:val="000000" w:themeColor="text1"/>
                <w:sz w:val="24"/>
                <w:lang w:bidi="ar"/>
                <w14:textFill>
                  <w14:solidFill>
                    <w14:schemeClr w14:val="tx1"/>
                  </w14:solidFill>
                </w14:textFill>
              </w:rPr>
              <w:t>）处理，</w:t>
            </w:r>
            <w:r>
              <w:rPr>
                <w:color w:val="000000" w:themeColor="text1"/>
                <w:sz w:val="24"/>
                <w14:textFill>
                  <w14:solidFill>
                    <w14:schemeClr w14:val="tx1"/>
                  </w14:solidFill>
                </w14:textFill>
              </w:rPr>
              <w:t>非甲烷总烃有组织排放量为0.6499t/a，排放浓度为9.03mg/m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，排放速率为2.1664kg/h，无组织排放量为0.228t/a；甲苯+乙苯有组织排放量为0.0192t/a，排放浓度为0.267mg/m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，排放速率0.0628kg/h，无组织排放量为0.0066t/a；二甲苯有组织排放总量为0.038t/a，排放浓度为0.53mg/m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，排放速率0.125kg/h，无组织排放总量为0.013t/a。</w:t>
            </w:r>
          </w:p>
          <w:p>
            <w:pPr>
              <w:spacing w:line="520" w:lineRule="exact"/>
              <w:ind w:firstLine="480"/>
              <w:rPr>
                <w:sz w:val="24"/>
                <w:szCs w:val="24"/>
              </w:rPr>
            </w:pPr>
            <w:r>
              <w:rPr>
                <w:sz w:val="24"/>
                <w:szCs w:val="24"/>
              </w:rPr>
              <w:t>（2）废水</w:t>
            </w:r>
          </w:p>
          <w:p>
            <w:pPr>
              <w:spacing w:line="520" w:lineRule="exact"/>
              <w:ind w:firstLine="480" w:firstLineChars="200"/>
              <w:rPr>
                <w:sz w:val="24"/>
              </w:rPr>
            </w:pPr>
            <w:r>
              <w:rPr>
                <w:sz w:val="24"/>
              </w:rPr>
              <w:t>项目定员54人。依据《陕西省行业用水定额》，生活用水按每人每天35L计，设值班人员1人，用水按每人每天110L计，全年生产365天，则生活用水量为717.225m</w:t>
            </w:r>
            <w:r>
              <w:rPr>
                <w:sz w:val="24"/>
                <w:vertAlign w:val="superscript"/>
              </w:rPr>
              <w:t>3</w:t>
            </w:r>
            <w:r>
              <w:rPr>
                <w:sz w:val="24"/>
              </w:rPr>
              <w:t>/a（1.965m</w:t>
            </w:r>
            <w:r>
              <w:rPr>
                <w:sz w:val="24"/>
                <w:vertAlign w:val="superscript"/>
              </w:rPr>
              <w:t>3</w:t>
            </w:r>
            <w:r>
              <w:rPr>
                <w:sz w:val="24"/>
              </w:rPr>
              <w:t>/d），产污系数按0.8计，废水产生量为573.78m</w:t>
            </w:r>
            <w:r>
              <w:rPr>
                <w:sz w:val="24"/>
                <w:vertAlign w:val="superscript"/>
              </w:rPr>
              <w:t>3</w:t>
            </w:r>
            <w:r>
              <w:rPr>
                <w:sz w:val="24"/>
              </w:rPr>
              <w:t>/a（1.572m</w:t>
            </w:r>
            <w:r>
              <w:rPr>
                <w:sz w:val="24"/>
                <w:vertAlign w:val="superscript"/>
              </w:rPr>
              <w:t>3</w:t>
            </w:r>
            <w:r>
              <w:rPr>
                <w:sz w:val="24"/>
              </w:rPr>
              <w:t>/d），生活污水经现有化粪池预处理后，进入咸阳机场污水处理厂。</w:t>
            </w:r>
          </w:p>
          <w:p>
            <w:pPr>
              <w:spacing w:line="520" w:lineRule="exact"/>
              <w:ind w:firstLine="480" w:firstLineChars="200"/>
              <w:rPr>
                <w:color w:val="000000" w:themeColor="text1"/>
                <w:sz w:val="24"/>
                <w14:textFill>
                  <w14:solidFill>
                    <w14:schemeClr w14:val="tx1"/>
                  </w14:solidFill>
                </w14:textFill>
              </w:rPr>
            </w:pPr>
            <w:r>
              <w:rPr>
                <w:sz w:val="24"/>
              </w:rPr>
              <w:t>飞机维修过程产生清洗废水，主要污染因子为石油类、LAS、COD、SS。根据生产经验，产生的污水约为1.8m</w:t>
            </w:r>
            <w:r>
              <w:rPr>
                <w:sz w:val="24"/>
                <w:vertAlign w:val="superscript"/>
              </w:rPr>
              <w:t>3</w:t>
            </w:r>
            <w:r>
              <w:rPr>
                <w:sz w:val="24"/>
              </w:rPr>
              <w:t>/架次，项目</w:t>
            </w:r>
            <w:r>
              <w:rPr>
                <w:rFonts w:hint="eastAsia"/>
                <w:sz w:val="24"/>
              </w:rPr>
              <w:t>飞机清洗量</w:t>
            </w:r>
            <w:r>
              <w:rPr>
                <w:sz w:val="24"/>
              </w:rPr>
              <w:t>为18架次/年，则清洗废水产生量为</w:t>
            </w:r>
            <w:r>
              <w:rPr>
                <w:rFonts w:hint="eastAsia"/>
                <w:sz w:val="24"/>
              </w:rPr>
              <w:t>3</w:t>
            </w:r>
            <w:r>
              <w:rPr>
                <w:sz w:val="24"/>
              </w:rPr>
              <w:t>2.4m</w:t>
            </w:r>
            <w:r>
              <w:rPr>
                <w:sz w:val="24"/>
                <w:vertAlign w:val="superscript"/>
              </w:rPr>
              <w:t>3</w:t>
            </w:r>
            <w:r>
              <w:rPr>
                <w:sz w:val="24"/>
              </w:rPr>
              <w:t>/a，</w:t>
            </w:r>
            <w:r>
              <w:rPr>
                <w:rFonts w:hint="eastAsia"/>
                <w:sz w:val="24"/>
              </w:rPr>
              <w:t>0.089</w:t>
            </w:r>
            <w:r>
              <w:rPr>
                <w:sz w:val="24"/>
              </w:rPr>
              <w:t>m</w:t>
            </w:r>
            <w:r>
              <w:rPr>
                <w:sz w:val="24"/>
                <w:vertAlign w:val="superscript"/>
              </w:rPr>
              <w:t>3</w:t>
            </w:r>
            <w:r>
              <w:rPr>
                <w:sz w:val="24"/>
              </w:rPr>
              <w:t>/d。清洗废水经水泵抽至过滤桶，过滤桶内设过滤网，将过滤棉放置过滤网上，废水经过滤棉过滤后通过管网排至咸阳机场污水处理厂。</w:t>
            </w:r>
          </w:p>
          <w:p>
            <w:pPr>
              <w:spacing w:line="520" w:lineRule="exact"/>
              <w:ind w:firstLine="480"/>
              <w:rPr>
                <w:sz w:val="24"/>
                <w:szCs w:val="24"/>
              </w:rPr>
            </w:pPr>
            <w:r>
              <w:rPr>
                <w:sz w:val="24"/>
                <w:szCs w:val="24"/>
              </w:rPr>
              <w:t>（3）噪声</w:t>
            </w:r>
          </w:p>
          <w:p>
            <w:pPr>
              <w:spacing w:line="520" w:lineRule="exact"/>
              <w:ind w:firstLine="480"/>
            </w:pPr>
            <w:r>
              <w:rPr>
                <w:sz w:val="24"/>
              </w:rPr>
              <w:t>本项目主要噪声源为泵类、风机等设备运行时产生的噪声，噪声值范围在70～90dB(A)之间</w:t>
            </w:r>
            <w:r>
              <w:t>。</w:t>
            </w:r>
          </w:p>
          <w:p>
            <w:pPr>
              <w:spacing w:line="520" w:lineRule="exact"/>
              <w:ind w:firstLine="480"/>
              <w:rPr>
                <w:sz w:val="24"/>
                <w:szCs w:val="24"/>
              </w:rPr>
            </w:pPr>
            <w:r>
              <w:rPr>
                <w:sz w:val="24"/>
                <w:szCs w:val="24"/>
              </w:rPr>
              <w:t>（4）固废</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color w:val="000000"/>
                <w:sz w:val="24"/>
              </w:rPr>
              <w:t>项目维修过程中的废旧零部件产生量约为1t/a，项目维修工序产生的废旧包装盒量为0.2t/a，</w:t>
            </w:r>
            <w:r>
              <w:rPr>
                <w:sz w:val="24"/>
              </w:rPr>
              <w:t>所有一般固废收集后统一外售。</w:t>
            </w:r>
            <w:r>
              <w:rPr>
                <w:spacing w:val="4"/>
                <w:sz w:val="24"/>
              </w:rPr>
              <w:t>厂区共定员54人，</w:t>
            </w:r>
            <w:r>
              <w:rPr>
                <w:sz w:val="24"/>
              </w:rPr>
              <w:t>则生活垃圾产生量为9.855t/a，统一交由环卫部门处置。项目废有机溶剂桶产生量为2t/a，属于危险废物HW49，代码为900-041-49；飞机维修时产生的废机油以及沾染机油的废抹布、手套等，年产生量约为0.5t/a，属于危险废物HW08，代码为900-214-08；项目清洗废水经过滤棉预处理后排入机场污水处理厂，废过滤棉（含杂质）产生量为0.8t/a，属于危险废物HW08，代码为900-210-08；项目喷漆产生的漆雾采用干式过滤器进行处理，废</w:t>
            </w:r>
            <w:r>
              <w:rPr>
                <w:rFonts w:hint="eastAsia"/>
                <w:sz w:val="24"/>
              </w:rPr>
              <w:t>滤芯</w:t>
            </w:r>
            <w:r>
              <w:rPr>
                <w:sz w:val="24"/>
              </w:rPr>
              <w:t>（含</w:t>
            </w:r>
            <w:r>
              <w:rPr>
                <w:sz w:val="24"/>
                <w:highlight w:val="none"/>
              </w:rPr>
              <w:t>漆渣</w:t>
            </w:r>
            <w:r>
              <w:rPr>
                <w:sz w:val="24"/>
              </w:rPr>
              <w:t>）产生量为4.104t/a；项目打磨过程采用</w:t>
            </w:r>
            <w:r>
              <w:rPr>
                <w:rFonts w:hint="eastAsia"/>
                <w:sz w:val="24"/>
              </w:rPr>
              <w:t>干式</w:t>
            </w:r>
            <w:r>
              <w:rPr>
                <w:sz w:val="24"/>
              </w:rPr>
              <w:t>过滤器进行过滤，废滤芯产生量（含</w:t>
            </w:r>
            <w:r>
              <w:rPr>
                <w:rFonts w:hint="eastAsia"/>
                <w:sz w:val="24"/>
              </w:rPr>
              <w:t>漆</w:t>
            </w:r>
            <w:r>
              <w:rPr>
                <w:sz w:val="24"/>
              </w:rPr>
              <w:t>粉尘）为1.7t/a，属于危险废物HW12，代码为900-251-12</w:t>
            </w:r>
            <w:r>
              <w:rPr>
                <w:rFonts w:hint="eastAsia"/>
                <w:sz w:val="24"/>
              </w:rPr>
              <w:t>；</w:t>
            </w:r>
            <w:r>
              <w:rPr>
                <w:sz w:val="24"/>
              </w:rPr>
              <w:t>项目废活性炭产生量约15.96t/a，属于危险废物HW49，代码为900-041-49。所有危险废物</w:t>
            </w:r>
            <w:r>
              <w:rPr>
                <w:color w:val="000000" w:themeColor="text1"/>
                <w:sz w:val="24"/>
                <w14:textFill>
                  <w14:solidFill>
                    <w14:schemeClr w14:val="tx1"/>
                  </w14:solidFill>
                </w14:textFill>
              </w:rPr>
              <w:t>要求按照《危险废物贮存污染控制标准》（GB18597-2001）及其修改单中相关规定进行临时储存，本项目</w:t>
            </w:r>
            <w:r>
              <w:rPr>
                <w:sz w:val="24"/>
              </w:rPr>
              <w:t>依托维修基地危废暂存设施暂存后，统一交由有资质单位处理。</w:t>
            </w:r>
          </w:p>
          <w:p>
            <w:pPr>
              <w:widowControl/>
              <w:tabs>
                <w:tab w:val="center" w:pos="4538"/>
              </w:tabs>
              <w:spacing w:line="460" w:lineRule="exact"/>
              <w:ind w:firstLine="482" w:firstLineChars="200"/>
              <w:jc w:val="left"/>
              <w:rPr>
                <w:b/>
                <w:sz w:val="24"/>
                <w:szCs w:val="24"/>
              </w:rPr>
            </w:pPr>
            <w:r>
              <w:rPr>
                <w:b/>
                <w:sz w:val="24"/>
                <w:szCs w:val="24"/>
              </w:rPr>
              <w:t>4、环境影响分析及保护措施</w:t>
            </w:r>
          </w:p>
          <w:p>
            <w:pPr>
              <w:spacing w:line="520" w:lineRule="exact"/>
              <w:ind w:firstLine="480" w:firstLineChars="200"/>
              <w:rPr>
                <w:sz w:val="24"/>
                <w:szCs w:val="24"/>
              </w:rPr>
            </w:pPr>
            <w:r>
              <w:rPr>
                <w:sz w:val="24"/>
                <w:szCs w:val="24"/>
              </w:rPr>
              <w:t>（1）废气</w:t>
            </w:r>
          </w:p>
          <w:p>
            <w:pPr>
              <w:adjustRightInd w:val="0"/>
              <w:snapToGrid w:val="0"/>
              <w:spacing w:line="520" w:lineRule="exact"/>
              <w:ind w:firstLine="480" w:firstLineChars="200"/>
              <w:rPr>
                <w:color w:val="000000" w:themeColor="text1"/>
                <w14:textFill>
                  <w14:solidFill>
                    <w14:schemeClr w14:val="tx1"/>
                  </w14:solidFill>
                </w14:textFill>
              </w:rPr>
            </w:pPr>
            <w:r>
              <w:rPr>
                <w:sz w:val="24"/>
              </w:rPr>
              <w:t xml:space="preserve"> 运营期废气主要为打磨粉尘和喷漆废气。项目</w:t>
            </w:r>
            <w:r>
              <w:rPr>
                <w:sz w:val="24"/>
                <w:szCs w:val="24"/>
              </w:rPr>
              <w:t>打磨粉尘</w:t>
            </w:r>
            <w:r>
              <w:rPr>
                <w:bCs/>
                <w:sz w:val="24"/>
              </w:rPr>
              <w:t>经</w:t>
            </w:r>
            <w:r>
              <w:rPr>
                <w:rFonts w:hint="eastAsia"/>
                <w:bCs/>
                <w:sz w:val="24"/>
              </w:rPr>
              <w:t>排风集气箱</w:t>
            </w:r>
            <w:r>
              <w:rPr>
                <w:bCs/>
                <w:sz w:val="24"/>
              </w:rPr>
              <w:t>的</w:t>
            </w:r>
            <w:r>
              <w:rPr>
                <w:rFonts w:hint="eastAsia"/>
                <w:bCs/>
                <w:sz w:val="24"/>
              </w:rPr>
              <w:t>干式</w:t>
            </w:r>
            <w:r>
              <w:rPr>
                <w:bCs/>
                <w:sz w:val="24"/>
              </w:rPr>
              <w:t>过滤器收集过滤后由</w:t>
            </w:r>
            <w:r>
              <w:rPr>
                <w:color w:val="000000" w:themeColor="text1"/>
                <w:sz w:val="24"/>
                <w14:textFill>
                  <w14:solidFill>
                    <w14:schemeClr w14:val="tx1"/>
                  </w14:solidFill>
                </w14:textFill>
              </w:rPr>
              <w:t>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w:t>
            </w:r>
            <w:r>
              <w:rPr>
                <w:bCs/>
                <w:sz w:val="24"/>
              </w:rPr>
              <w:t>，</w:t>
            </w:r>
            <w:r>
              <w:rPr>
                <w:sz w:val="24"/>
              </w:rPr>
              <w:t>排放浓度满足《大气污染综合排放标准》(GB16297-1996)中二级标准要求。</w:t>
            </w:r>
            <w:r>
              <w:rPr>
                <w:color w:val="000000" w:themeColor="text1"/>
                <w:sz w:val="24"/>
                <w:lang w:bidi="ar"/>
                <w14:textFill>
                  <w14:solidFill>
                    <w14:schemeClr w14:val="tx1"/>
                  </w14:solidFill>
                </w14:textFill>
              </w:rPr>
              <w:t>喷漆及晾干产生的废气经</w:t>
            </w:r>
            <w:r>
              <w:rPr>
                <w:rFonts w:hint="eastAsia"/>
                <w:color w:val="000000" w:themeColor="text1"/>
                <w:sz w:val="24"/>
                <w:lang w:bidi="ar"/>
                <w14:textFill>
                  <w14:solidFill>
                    <w14:schemeClr w14:val="tx1"/>
                  </w14:solidFill>
                </w14:textFill>
              </w:rPr>
              <w:t>排风集气箱</w:t>
            </w:r>
            <w:r>
              <w:rPr>
                <w:color w:val="000000" w:themeColor="text1"/>
                <w:sz w:val="24"/>
                <w:lang w:bidi="ar"/>
                <w14:textFill>
                  <w14:solidFill>
                    <w14:schemeClr w14:val="tx1"/>
                  </w14:solidFill>
                </w14:textFill>
              </w:rPr>
              <w:t>收集后，</w:t>
            </w:r>
            <w:r>
              <w:rPr>
                <w:rFonts w:hint="eastAsia"/>
                <w:color w:val="000000" w:themeColor="text1"/>
                <w:sz w:val="24"/>
                <w14:textFill>
                  <w14:solidFill>
                    <w14:schemeClr w14:val="tx1"/>
                  </w14:solidFill>
                </w14:textFill>
              </w:rPr>
              <w:t>采用干式</w:t>
            </w:r>
            <w:r>
              <w:rPr>
                <w:color w:val="000000" w:themeColor="text1"/>
                <w:sz w:val="24"/>
                <w14:textFill>
                  <w14:solidFill>
                    <w14:schemeClr w14:val="tx1"/>
                  </w14:solidFill>
                </w14:textFill>
              </w:rPr>
              <w:t>过滤器+活性炭吸附箱（</w:t>
            </w:r>
            <w:r>
              <w:rPr>
                <w:rFonts w:hint="eastAsia"/>
                <w:color w:val="000000" w:themeColor="text1"/>
                <w:sz w:val="24"/>
                <w14:textFill>
                  <w14:solidFill>
                    <w14:schemeClr w14:val="tx1"/>
                  </w14:solidFill>
                </w14:textFill>
              </w:rPr>
              <w:t>内设蜂窝</w:t>
            </w:r>
            <w:r>
              <w:rPr>
                <w:color w:val="000000" w:themeColor="text1"/>
                <w:sz w:val="24"/>
                <w14:textFill>
                  <w14:solidFill>
                    <w14:schemeClr w14:val="tx1"/>
                  </w14:solidFill>
                </w14:textFill>
              </w:rPr>
              <w:t>活性炭）处理，处理后的废气通过机库东西两侧辅房顶部15m高的排气筒（</w:t>
            </w:r>
            <w:r>
              <w:rPr>
                <w:bCs/>
                <w:snapToGrid w:val="0"/>
                <w:color w:val="000000" w:themeColor="text1"/>
                <w:kern w:val="0"/>
                <w:sz w:val="24"/>
                <w14:textFill>
                  <w14:solidFill>
                    <w14:schemeClr w14:val="tx1"/>
                  </w14:solidFill>
                </w14:textFill>
              </w:rPr>
              <w:t>P1西、P2东</w:t>
            </w:r>
            <w:r>
              <w:rPr>
                <w:color w:val="000000" w:themeColor="text1"/>
                <w:sz w:val="24"/>
                <w14:textFill>
                  <w14:solidFill>
                    <w14:schemeClr w14:val="tx1"/>
                  </w14:solidFill>
                </w14:textFill>
              </w:rPr>
              <w:t>）排放，漆雾浓度满</w:t>
            </w:r>
            <w:r>
              <w:rPr>
                <w:sz w:val="24"/>
              </w:rPr>
              <w:t>足《大气污染综合排放标准》(GB16297-1996)中二级标准要求；</w:t>
            </w:r>
            <w:r>
              <w:rPr>
                <w:bCs/>
                <w:snapToGrid w:val="0"/>
                <w:color w:val="000000" w:themeColor="text1"/>
                <w:kern w:val="0"/>
                <w:sz w:val="24"/>
                <w:lang w:bidi="ar"/>
                <w14:textFill>
                  <w14:solidFill>
                    <w14:schemeClr w14:val="tx1"/>
                  </w14:solidFill>
                </w14:textFill>
              </w:rPr>
              <w:t>非甲烷总烃、甲苯+乙苯、二甲苯最高排放浓度均能够满足《挥发性有机物排放控制标准》(DB 61/T1061-2017)中最高允许排放浓度限值要求。</w:t>
            </w:r>
          </w:p>
          <w:p>
            <w:pPr>
              <w:autoSpaceDE w:val="0"/>
              <w:autoSpaceDN w:val="0"/>
              <w:spacing w:line="520" w:lineRule="exact"/>
              <w:ind w:firstLine="540" w:firstLineChars="225"/>
            </w:pPr>
            <w:r>
              <w:rPr>
                <w:sz w:val="24"/>
              </w:rPr>
              <w:t>项目运营期，在采取环评提出的各项废气治理措施后，废气均得到妥善处理，对周围环境影响较小。</w:t>
            </w:r>
          </w:p>
          <w:p>
            <w:pPr>
              <w:pStyle w:val="5"/>
              <w:spacing w:line="520" w:lineRule="exact"/>
              <w:ind w:firstLine="480" w:firstLineChars="200"/>
              <w:rPr>
                <w:bCs/>
                <w:sz w:val="24"/>
              </w:rPr>
            </w:pPr>
            <w:r>
              <w:rPr>
                <w:bCs/>
                <w:sz w:val="24"/>
              </w:rPr>
              <w:t>（2）水环境</w:t>
            </w:r>
          </w:p>
          <w:p>
            <w:pPr>
              <w:spacing w:line="520" w:lineRule="exact"/>
              <w:ind w:firstLine="480" w:firstLineChars="200"/>
              <w:rPr>
                <w:sz w:val="24"/>
              </w:rPr>
            </w:pPr>
            <w:r>
              <w:rPr>
                <w:sz w:val="24"/>
              </w:rPr>
              <w:t>项目废水主要是清洗废水和职工生活污水。</w:t>
            </w:r>
          </w:p>
          <w:p>
            <w:pPr>
              <w:spacing w:line="520" w:lineRule="exact"/>
              <w:ind w:firstLine="480" w:firstLineChars="200"/>
              <w:rPr>
                <w:color w:val="000000" w:themeColor="text1"/>
                <w:sz w:val="24"/>
                <w14:textFill>
                  <w14:solidFill>
                    <w14:schemeClr w14:val="tx1"/>
                  </w14:solidFill>
                </w14:textFill>
              </w:rPr>
            </w:pPr>
            <w:r>
              <w:rPr>
                <w:sz w:val="24"/>
              </w:rPr>
              <w:t>项目定员54人，不涉及食宿，则生活废水产生量为573.78m</w:t>
            </w:r>
            <w:r>
              <w:rPr>
                <w:sz w:val="24"/>
                <w:vertAlign w:val="superscript"/>
              </w:rPr>
              <w:t>3</w:t>
            </w:r>
            <w:r>
              <w:rPr>
                <w:sz w:val="24"/>
              </w:rPr>
              <w:t>/a，项目设化粪池，生活污水经化粪池预处理后，进入咸阳机场污水处理厂。项目飞机</w:t>
            </w:r>
            <w:r>
              <w:rPr>
                <w:rFonts w:hint="eastAsia"/>
                <w:sz w:val="24"/>
              </w:rPr>
              <w:t>清洗量为</w:t>
            </w:r>
            <w:r>
              <w:rPr>
                <w:sz w:val="24"/>
              </w:rPr>
              <w:t>18架次/年，</w:t>
            </w:r>
            <w:r>
              <w:rPr>
                <w:sz w:val="24"/>
                <w:highlight w:val="none"/>
              </w:rPr>
              <w:t>则</w:t>
            </w:r>
            <w:r>
              <w:rPr>
                <w:sz w:val="24"/>
              </w:rPr>
              <w:t>清洗废水产生量为</w:t>
            </w:r>
            <w:r>
              <w:rPr>
                <w:rFonts w:hint="eastAsia"/>
                <w:sz w:val="24"/>
              </w:rPr>
              <w:t>3</w:t>
            </w:r>
            <w:r>
              <w:rPr>
                <w:sz w:val="24"/>
              </w:rPr>
              <w:t>2.4m</w:t>
            </w:r>
            <w:r>
              <w:rPr>
                <w:sz w:val="24"/>
                <w:vertAlign w:val="superscript"/>
              </w:rPr>
              <w:t>3</w:t>
            </w:r>
            <w:r>
              <w:rPr>
                <w:sz w:val="24"/>
              </w:rPr>
              <w:t>/a，</w:t>
            </w:r>
            <w:r>
              <w:rPr>
                <w:rFonts w:hint="eastAsia"/>
                <w:sz w:val="24"/>
              </w:rPr>
              <w:t>0.089</w:t>
            </w:r>
            <w:r>
              <w:rPr>
                <w:sz w:val="24"/>
              </w:rPr>
              <w:t>m</w:t>
            </w:r>
            <w:r>
              <w:rPr>
                <w:sz w:val="24"/>
                <w:vertAlign w:val="superscript"/>
              </w:rPr>
              <w:t>3</w:t>
            </w:r>
            <w:r>
              <w:rPr>
                <w:sz w:val="24"/>
              </w:rPr>
              <w:t>/d。清洗废水经水泵抽至过滤桶，过滤桶内设过滤网，将过滤棉放置过滤网上，废水经过滤棉过滤后通过官网排至咸阳机场污水处理厂。</w:t>
            </w:r>
          </w:p>
          <w:p>
            <w:pPr>
              <w:pStyle w:val="5"/>
              <w:spacing w:line="520" w:lineRule="exact"/>
              <w:ind w:firstLine="480" w:firstLineChars="200"/>
              <w:rPr>
                <w:bCs/>
                <w:sz w:val="24"/>
              </w:rPr>
            </w:pPr>
            <w:r>
              <w:rPr>
                <w:bCs/>
                <w:sz w:val="24"/>
              </w:rPr>
              <w:t>（3）声环境</w:t>
            </w:r>
          </w:p>
          <w:p>
            <w:pPr>
              <w:pStyle w:val="5"/>
              <w:spacing w:line="520" w:lineRule="exact"/>
              <w:ind w:firstLine="480" w:firstLineChars="200"/>
              <w:rPr>
                <w:bCs/>
                <w:sz w:val="24"/>
              </w:rPr>
            </w:pPr>
            <w:r>
              <w:rPr>
                <w:bCs/>
                <w:sz w:val="24"/>
              </w:rPr>
              <w:t>本项目主要噪声源为泵及风机运行时产生的噪声，噪声值范围在70～90dB(A)之间。建设单位拟采取选取机库密闭、隔声减振等措施。经预测，采取上述降噪措施后，本项目各厂界噪声贡献值均符合《工业企业厂界环境噪声排放标准》（GB12348-2008）中的2类标准限值要求，不会对周边声环境产生明显影响。</w:t>
            </w:r>
          </w:p>
          <w:p>
            <w:pPr>
              <w:pStyle w:val="5"/>
              <w:spacing w:line="520" w:lineRule="exact"/>
              <w:ind w:firstLine="480" w:firstLineChars="200"/>
              <w:rPr>
                <w:bCs/>
                <w:sz w:val="24"/>
              </w:rPr>
            </w:pPr>
            <w:r>
              <w:rPr>
                <w:bCs/>
                <w:sz w:val="24"/>
              </w:rPr>
              <w:t>（4）固体废物</w:t>
            </w:r>
          </w:p>
          <w:p>
            <w:pPr>
              <w:tabs>
                <w:tab w:val="left" w:pos="1440"/>
                <w:tab w:val="left" w:pos="1800"/>
              </w:tabs>
              <w:adjustRightInd w:val="0"/>
              <w:snapToGrid w:val="0"/>
              <w:spacing w:line="520" w:lineRule="exact"/>
              <w:ind w:firstLine="480" w:firstLineChars="200"/>
              <w:rPr>
                <w:color w:val="000000" w:themeColor="text1"/>
                <w:sz w:val="24"/>
                <w14:textFill>
                  <w14:solidFill>
                    <w14:schemeClr w14:val="tx1"/>
                  </w14:solidFill>
                </w14:textFill>
              </w:rPr>
            </w:pPr>
            <w:r>
              <w:rPr>
                <w:color w:val="000000"/>
                <w:sz w:val="24"/>
              </w:rPr>
              <w:t>项目维修过程中的废旧零部件、废旧包装盒</w:t>
            </w:r>
            <w:r>
              <w:rPr>
                <w:sz w:val="24"/>
              </w:rPr>
              <w:t>经收集后统一外售。</w:t>
            </w:r>
            <w:r>
              <w:rPr>
                <w:spacing w:val="4"/>
                <w:sz w:val="24"/>
              </w:rPr>
              <w:t>厂区</w:t>
            </w:r>
            <w:r>
              <w:rPr>
                <w:sz w:val="24"/>
              </w:rPr>
              <w:t>生活垃圾产生量为9.855t/a，统一交由环卫部门处置。项目废有机溶剂桶属于危险废物HW49，代码为900-041-49；飞机维修时产生的废机油以及沾染机油的废抹布、手套等属于危险废物HW08，代码为900-214-08；项目清洗废水经过滤棉预处理后排入机场污水处理厂，废过滤棉（含杂质）属于危险废物HW08，代码为900-210-08；项目喷漆漆雾处理</w:t>
            </w:r>
            <w:r>
              <w:rPr>
                <w:rFonts w:hint="eastAsia"/>
                <w:sz w:val="24"/>
              </w:rPr>
              <w:t>过程中</w:t>
            </w:r>
            <w:r>
              <w:rPr>
                <w:sz w:val="24"/>
              </w:rPr>
              <w:t>产生的废</w:t>
            </w:r>
            <w:r>
              <w:rPr>
                <w:rFonts w:hint="eastAsia"/>
                <w:sz w:val="24"/>
              </w:rPr>
              <w:t>滤芯</w:t>
            </w:r>
            <w:r>
              <w:rPr>
                <w:sz w:val="24"/>
              </w:rPr>
              <w:t>（含</w:t>
            </w:r>
            <w:r>
              <w:rPr>
                <w:sz w:val="24"/>
                <w:highlight w:val="none"/>
              </w:rPr>
              <w:t>漆渣</w:t>
            </w:r>
            <w:r>
              <w:rPr>
                <w:sz w:val="24"/>
              </w:rPr>
              <w:t>）</w:t>
            </w:r>
            <w:r>
              <w:rPr>
                <w:rFonts w:hint="eastAsia"/>
                <w:sz w:val="24"/>
              </w:rPr>
              <w:t>和</w:t>
            </w:r>
            <w:r>
              <w:rPr>
                <w:sz w:val="24"/>
              </w:rPr>
              <w:t>打磨粉尘处理过程产生的废滤芯</w:t>
            </w:r>
            <w:r>
              <w:rPr>
                <w:rFonts w:hint="eastAsia"/>
                <w:sz w:val="24"/>
              </w:rPr>
              <w:t>（含漆粉尘）</w:t>
            </w:r>
            <w:r>
              <w:rPr>
                <w:sz w:val="24"/>
              </w:rPr>
              <w:t>属于危险废物HW12，代码为900-251-12；项目废活性炭属于危险废物HW49，代码为900-041-49，所有危险废物</w:t>
            </w:r>
            <w:r>
              <w:rPr>
                <w:color w:val="000000" w:themeColor="text1"/>
                <w:sz w:val="24"/>
                <w14:textFill>
                  <w14:solidFill>
                    <w14:schemeClr w14:val="tx1"/>
                  </w14:solidFill>
                </w14:textFill>
              </w:rPr>
              <w:t>要求按照《危险废物贮存污染控制标准》（GB18597-2001）及其修改单中相关规定进行临时储存，本项目</w:t>
            </w:r>
            <w:r>
              <w:rPr>
                <w:sz w:val="24"/>
              </w:rPr>
              <w:t>依托维修基地危废暂存设施暂存后，统一交由有资质单位处理。</w:t>
            </w:r>
          </w:p>
          <w:p>
            <w:pPr>
              <w:pStyle w:val="5"/>
              <w:spacing w:line="520" w:lineRule="exact"/>
              <w:ind w:firstLine="480" w:firstLineChars="200"/>
              <w:rPr>
                <w:bCs/>
                <w:sz w:val="24"/>
              </w:rPr>
            </w:pPr>
            <w:r>
              <w:rPr>
                <w:bCs/>
                <w:sz w:val="24"/>
              </w:rPr>
              <w:t>综上所述，本项目所产生的各类固体废物均可得到妥善处置，不会对周围环境产生二次污染，对环境影响很小。</w:t>
            </w:r>
          </w:p>
          <w:p>
            <w:pPr>
              <w:pStyle w:val="5"/>
              <w:spacing w:line="520" w:lineRule="exact"/>
              <w:ind w:firstLine="480" w:firstLineChars="200"/>
              <w:rPr>
                <w:bCs/>
                <w:sz w:val="24"/>
              </w:rPr>
            </w:pPr>
            <w:r>
              <w:rPr>
                <w:bCs/>
                <w:sz w:val="24"/>
              </w:rPr>
              <w:t>（</w:t>
            </w:r>
            <w:r>
              <w:rPr>
                <w:rFonts w:hint="eastAsia"/>
                <w:bCs/>
                <w:sz w:val="24"/>
              </w:rPr>
              <w:t>5</w:t>
            </w:r>
            <w:r>
              <w:rPr>
                <w:bCs/>
                <w:sz w:val="24"/>
              </w:rPr>
              <w:t>）</w:t>
            </w:r>
            <w:r>
              <w:rPr>
                <w:rFonts w:hint="eastAsia"/>
                <w:bCs/>
                <w:sz w:val="24"/>
              </w:rPr>
              <w:t>土壤环境</w:t>
            </w:r>
          </w:p>
          <w:p>
            <w:pPr>
              <w:adjustRightInd w:val="0"/>
              <w:snapToGrid w:val="0"/>
              <w:spacing w:line="520" w:lineRule="exact"/>
              <w:ind w:firstLine="480" w:firstLineChars="200"/>
              <w:rPr>
                <w:kern w:val="0"/>
                <w:sz w:val="24"/>
                <w:szCs w:val="24"/>
              </w:rPr>
            </w:pPr>
            <w:r>
              <w:rPr>
                <w:rFonts w:ascii="宋体" w:hAnsi="宋体"/>
                <w:kern w:val="0"/>
                <w:sz w:val="24"/>
                <w:szCs w:val="24"/>
              </w:rPr>
              <w:t>项目运营过程中，项目所在区域均采用</w:t>
            </w:r>
            <w:r>
              <w:rPr>
                <w:rFonts w:hint="eastAsia" w:ascii="宋体" w:hAnsi="宋体"/>
                <w:kern w:val="0"/>
                <w:sz w:val="24"/>
                <w:szCs w:val="24"/>
              </w:rPr>
              <w:t>硬化</w:t>
            </w:r>
            <w:r>
              <w:rPr>
                <w:rFonts w:ascii="宋体" w:hAnsi="宋体"/>
                <w:kern w:val="0"/>
                <w:sz w:val="24"/>
                <w:szCs w:val="24"/>
              </w:rPr>
              <w:t>地面，水土流失量小</w:t>
            </w:r>
            <w:r>
              <w:rPr>
                <w:rFonts w:hint="eastAsia" w:ascii="宋体" w:hAnsi="宋体"/>
                <w:kern w:val="0"/>
                <w:sz w:val="24"/>
                <w:szCs w:val="24"/>
              </w:rPr>
              <w:t>，</w:t>
            </w:r>
            <w:r>
              <w:rPr>
                <w:rFonts w:ascii="宋体" w:hAnsi="宋体"/>
                <w:kern w:val="0"/>
                <w:sz w:val="24"/>
                <w:szCs w:val="24"/>
              </w:rPr>
              <w:t>基本无渗漏。</w:t>
            </w:r>
            <w:r>
              <w:rPr>
                <w:rFonts w:hint="eastAsia" w:ascii="宋体" w:hAnsi="宋体"/>
                <w:kern w:val="0"/>
                <w:sz w:val="24"/>
                <w:szCs w:val="24"/>
              </w:rPr>
              <w:t>本项目</w:t>
            </w:r>
            <w:r>
              <w:rPr>
                <w:rFonts w:ascii="宋体" w:hAnsi="宋体"/>
                <w:kern w:val="0"/>
                <w:sz w:val="24"/>
                <w:szCs w:val="24"/>
              </w:rPr>
              <w:t>对土壤环境的影响主要为大气沉降，</w:t>
            </w:r>
            <w:r>
              <w:rPr>
                <w:rFonts w:hint="eastAsia" w:ascii="宋体" w:hAnsi="宋体"/>
                <w:kern w:val="0"/>
                <w:sz w:val="24"/>
                <w:szCs w:val="24"/>
              </w:rPr>
              <w:t>经</w:t>
            </w:r>
            <w:r>
              <w:rPr>
                <w:rFonts w:ascii="宋体" w:hAnsi="宋体"/>
                <w:kern w:val="0"/>
                <w:sz w:val="24"/>
                <w:szCs w:val="24"/>
              </w:rPr>
              <w:t>监测</w:t>
            </w:r>
            <w:r>
              <w:rPr>
                <w:rFonts w:hint="eastAsia" w:ascii="宋体" w:hAnsi="宋体"/>
                <w:kern w:val="0"/>
                <w:sz w:val="24"/>
                <w:szCs w:val="24"/>
              </w:rPr>
              <w:t>并</w:t>
            </w:r>
            <w:r>
              <w:rPr>
                <w:rFonts w:ascii="宋体" w:hAnsi="宋体"/>
                <w:kern w:val="0"/>
                <w:sz w:val="24"/>
                <w:szCs w:val="24"/>
              </w:rPr>
              <w:t>预测，监测结果</w:t>
            </w:r>
            <w:r>
              <w:rPr>
                <w:rFonts w:hint="eastAsia" w:ascii="宋体" w:hAnsi="宋体"/>
                <w:kern w:val="0"/>
                <w:sz w:val="24"/>
                <w:szCs w:val="24"/>
              </w:rPr>
              <w:t>和</w:t>
            </w:r>
            <w:r>
              <w:rPr>
                <w:rFonts w:ascii="宋体" w:hAnsi="宋体"/>
                <w:kern w:val="0"/>
                <w:sz w:val="24"/>
                <w:szCs w:val="24"/>
              </w:rPr>
              <w:t>预测结果均满足《土壤环境质量</w:t>
            </w:r>
            <w:r>
              <w:rPr>
                <w:kern w:val="0"/>
                <w:sz w:val="24"/>
                <w:szCs w:val="24"/>
              </w:rPr>
              <w:t xml:space="preserve"> </w:t>
            </w:r>
            <w:r>
              <w:rPr>
                <w:rFonts w:ascii="宋体" w:hAnsi="宋体"/>
                <w:kern w:val="0"/>
                <w:sz w:val="24"/>
                <w:szCs w:val="24"/>
              </w:rPr>
              <w:t>建设用地土壤污染风险管控标准》（</w:t>
            </w:r>
            <w:r>
              <w:rPr>
                <w:kern w:val="0"/>
                <w:sz w:val="24"/>
                <w:szCs w:val="24"/>
              </w:rPr>
              <w:t>GB36600-2018</w:t>
            </w:r>
            <w:r>
              <w:rPr>
                <w:rFonts w:ascii="宋体" w:hAnsi="宋体"/>
                <w:kern w:val="0"/>
                <w:sz w:val="24"/>
                <w:szCs w:val="24"/>
              </w:rPr>
              <w:t>）中第二类用地筛选值标准要求</w:t>
            </w:r>
            <w:r>
              <w:rPr>
                <w:rFonts w:hint="eastAsia" w:ascii="宋体" w:hAnsi="宋体"/>
                <w:kern w:val="0"/>
                <w:sz w:val="24"/>
                <w:szCs w:val="24"/>
              </w:rPr>
              <w:t>。要求</w:t>
            </w:r>
            <w:r>
              <w:rPr>
                <w:rFonts w:ascii="宋体" w:hAnsi="宋体"/>
                <w:kern w:val="0"/>
                <w:sz w:val="24"/>
                <w:szCs w:val="24"/>
              </w:rPr>
              <w:t>厂区</w:t>
            </w:r>
            <w:r>
              <w:rPr>
                <w:rFonts w:hint="eastAsia" w:ascii="宋体" w:hAnsi="宋体"/>
                <w:kern w:val="0"/>
                <w:sz w:val="24"/>
                <w:szCs w:val="24"/>
              </w:rPr>
              <w:t>加强</w:t>
            </w:r>
            <w:r>
              <w:rPr>
                <w:rFonts w:ascii="宋体" w:hAnsi="宋体"/>
                <w:kern w:val="0"/>
                <w:sz w:val="24"/>
                <w:szCs w:val="24"/>
              </w:rPr>
              <w:t>绿化，定期检修</w:t>
            </w:r>
            <w:r>
              <w:rPr>
                <w:rFonts w:hint="eastAsia" w:ascii="宋体" w:hAnsi="宋体"/>
                <w:kern w:val="0"/>
                <w:sz w:val="24"/>
                <w:szCs w:val="24"/>
              </w:rPr>
              <w:t>维护</w:t>
            </w:r>
            <w:r>
              <w:rPr>
                <w:rFonts w:ascii="宋体" w:hAnsi="宋体"/>
                <w:kern w:val="0"/>
                <w:sz w:val="24"/>
                <w:szCs w:val="24"/>
              </w:rPr>
              <w:t>环保设备，生产区</w:t>
            </w:r>
            <w:r>
              <w:rPr>
                <w:rFonts w:hint="eastAsia" w:ascii="宋体" w:hAnsi="宋体"/>
                <w:kern w:val="0"/>
                <w:sz w:val="24"/>
                <w:szCs w:val="24"/>
              </w:rPr>
              <w:t>危废暂存间</w:t>
            </w:r>
            <w:r>
              <w:rPr>
                <w:rFonts w:ascii="宋体" w:hAnsi="宋体"/>
                <w:kern w:val="0"/>
                <w:sz w:val="24"/>
                <w:szCs w:val="24"/>
              </w:rPr>
              <w:t>做好防渗处理</w:t>
            </w:r>
            <w:r>
              <w:rPr>
                <w:rFonts w:hint="eastAsia" w:ascii="宋体" w:hAnsi="宋体"/>
                <w:kern w:val="0"/>
                <w:sz w:val="24"/>
                <w:szCs w:val="24"/>
              </w:rPr>
              <w:t>，</w:t>
            </w:r>
            <w:r>
              <w:rPr>
                <w:rFonts w:ascii="宋体" w:hAnsi="宋体"/>
                <w:kern w:val="0"/>
                <w:sz w:val="24"/>
                <w:szCs w:val="24"/>
              </w:rPr>
              <w:t>同时落实跟踪监测。</w:t>
            </w:r>
            <w:r>
              <w:rPr>
                <w:rFonts w:hint="eastAsia" w:ascii="宋体" w:hAnsi="宋体"/>
                <w:kern w:val="0"/>
                <w:sz w:val="24"/>
                <w:szCs w:val="24"/>
              </w:rPr>
              <w:t>从土壤环境影响的角度，项目建设可行。</w:t>
            </w:r>
          </w:p>
          <w:p>
            <w:pPr>
              <w:pStyle w:val="5"/>
              <w:spacing w:line="520" w:lineRule="exact"/>
              <w:ind w:firstLine="480" w:firstLineChars="200"/>
              <w:rPr>
                <w:bCs/>
                <w:sz w:val="24"/>
              </w:rPr>
            </w:pPr>
            <w:r>
              <w:rPr>
                <w:bCs/>
                <w:sz w:val="24"/>
              </w:rPr>
              <w:t>（</w:t>
            </w:r>
            <w:r>
              <w:rPr>
                <w:rFonts w:hint="eastAsia"/>
                <w:bCs/>
                <w:sz w:val="24"/>
              </w:rPr>
              <w:t>6）环境风险</w:t>
            </w:r>
          </w:p>
          <w:p>
            <w:pPr>
              <w:spacing w:line="520" w:lineRule="exact"/>
              <w:ind w:firstLine="480" w:firstLineChars="200"/>
              <w:rPr>
                <w:sz w:val="24"/>
                <w:szCs w:val="24"/>
              </w:rPr>
            </w:pPr>
            <w:r>
              <w:rPr>
                <w:rFonts w:ascii="宋体" w:hAnsi="宋体"/>
                <w:sz w:val="24"/>
                <w:szCs w:val="24"/>
              </w:rPr>
              <w:t>本项目事故风险属可接受水平。建设单位应采用严格的安全防范体系，完整管理规程、作业规章和应急计划，可最大限度地降低环境风险，一旦意外事件发生，也能最大限度地减少环境污染危害和人们生命财产的损失。根据众多同类工程实际情况，可以通过政府各有关职能部门加强监督指导，企业内部制定严格的管理条例和岗位责任制，加强职工的安全生产教育，提高风险意识，从而最大限度地减少可能发生的环境风险。</w:t>
            </w:r>
          </w:p>
          <w:p>
            <w:pPr>
              <w:widowControl/>
              <w:tabs>
                <w:tab w:val="center" w:pos="4538"/>
              </w:tabs>
              <w:spacing w:line="460" w:lineRule="exact"/>
              <w:ind w:firstLine="482" w:firstLineChars="200"/>
              <w:jc w:val="left"/>
              <w:rPr>
                <w:b/>
                <w:sz w:val="24"/>
                <w:szCs w:val="24"/>
              </w:rPr>
            </w:pPr>
            <w:r>
              <w:rPr>
                <w:b/>
                <w:sz w:val="24"/>
                <w:szCs w:val="24"/>
              </w:rPr>
              <w:t>5、环境管理与监测</w:t>
            </w:r>
          </w:p>
          <w:p>
            <w:pPr>
              <w:pStyle w:val="5"/>
              <w:spacing w:line="520" w:lineRule="exact"/>
              <w:ind w:firstLine="480" w:firstLineChars="200"/>
              <w:rPr>
                <w:bCs/>
                <w:sz w:val="24"/>
              </w:rPr>
            </w:pPr>
            <w:r>
              <w:rPr>
                <w:bCs/>
                <w:sz w:val="24"/>
              </w:rPr>
              <w:t>建设项目应根据环境保护工作的要求，设置专门的环境保护管理机构和配备专职的环境保护管理人员，负责日常环境管理和环境监测工作。</w:t>
            </w:r>
          </w:p>
          <w:p>
            <w:pPr>
              <w:pStyle w:val="5"/>
              <w:spacing w:line="520" w:lineRule="exact"/>
              <w:ind w:firstLine="480" w:firstLineChars="200"/>
              <w:rPr>
                <w:bCs/>
                <w:sz w:val="24"/>
              </w:rPr>
            </w:pPr>
            <w:r>
              <w:rPr>
                <w:bCs/>
                <w:sz w:val="24"/>
              </w:rPr>
              <w:t>本项目污染物排放监测均委托有资质的单位进行，每年对厂界废气（有组织和无组织）进行2次监测，每年对各处理设施的出水口水质进行2次监测，每季度对厂界四周噪声进行1次监测。</w:t>
            </w:r>
          </w:p>
          <w:p>
            <w:pPr>
              <w:widowControl/>
              <w:tabs>
                <w:tab w:val="center" w:pos="4538"/>
              </w:tabs>
              <w:spacing w:line="460" w:lineRule="exact"/>
              <w:ind w:firstLine="482" w:firstLineChars="200"/>
              <w:jc w:val="left"/>
              <w:rPr>
                <w:b/>
                <w:sz w:val="24"/>
                <w:szCs w:val="24"/>
              </w:rPr>
            </w:pPr>
            <w:r>
              <w:rPr>
                <w:b/>
                <w:sz w:val="24"/>
                <w:szCs w:val="24"/>
              </w:rPr>
              <w:t>6、环保投资</w:t>
            </w:r>
          </w:p>
          <w:p>
            <w:pPr>
              <w:pStyle w:val="5"/>
              <w:spacing w:line="520" w:lineRule="exact"/>
              <w:ind w:firstLine="480" w:firstLineChars="200"/>
              <w:rPr>
                <w:bCs/>
                <w:sz w:val="24"/>
              </w:rPr>
            </w:pPr>
            <w:r>
              <w:rPr>
                <w:bCs/>
                <w:sz w:val="24"/>
              </w:rPr>
              <w:t>本项目总投资750万元，其中环保投入</w:t>
            </w:r>
            <w:r>
              <w:rPr>
                <w:rFonts w:hint="eastAsia"/>
                <w:bCs/>
                <w:sz w:val="24"/>
              </w:rPr>
              <w:t>510</w:t>
            </w:r>
            <w:r>
              <w:rPr>
                <w:bCs/>
                <w:sz w:val="24"/>
              </w:rPr>
              <w:t>万元，占总投资的6</w:t>
            </w:r>
            <w:r>
              <w:rPr>
                <w:rFonts w:hint="eastAsia"/>
                <w:bCs/>
                <w:sz w:val="24"/>
              </w:rPr>
              <w:t>8</w:t>
            </w:r>
            <w:r>
              <w:rPr>
                <w:bCs/>
                <w:sz w:val="24"/>
              </w:rPr>
              <w:t>%，主要用于废水治理、废气治理设施、噪声防治、固体废物处理及后期环境监测管理、设备维护等。</w:t>
            </w:r>
          </w:p>
          <w:p>
            <w:pPr>
              <w:spacing w:line="520" w:lineRule="exact"/>
              <w:rPr>
                <w:rFonts w:eastAsia="黑体"/>
                <w:sz w:val="30"/>
                <w:szCs w:val="30"/>
              </w:rPr>
            </w:pPr>
            <w:r>
              <w:rPr>
                <w:rFonts w:eastAsia="黑体"/>
                <w:sz w:val="30"/>
                <w:szCs w:val="30"/>
              </w:rPr>
              <w:t>总结论</w:t>
            </w:r>
          </w:p>
          <w:p>
            <w:pPr>
              <w:pStyle w:val="5"/>
              <w:spacing w:line="520" w:lineRule="exact"/>
              <w:ind w:firstLine="480" w:firstLineChars="200"/>
              <w:rPr>
                <w:bCs/>
                <w:sz w:val="24"/>
              </w:rPr>
            </w:pPr>
            <w:r>
              <w:rPr>
                <w:bCs/>
                <w:sz w:val="24"/>
              </w:rPr>
              <w:t>综上所述，</w:t>
            </w:r>
            <w:r>
              <w:rPr>
                <w:color w:val="000000"/>
                <w:kern w:val="0"/>
                <w:sz w:val="24"/>
                <w:szCs w:val="24"/>
                <w:lang w:val="zh-CN"/>
              </w:rPr>
              <w:t>东方航空技术有限公司西北分公司1号机库改造项目</w:t>
            </w:r>
            <w:r>
              <w:rPr>
                <w:bCs/>
                <w:sz w:val="24"/>
              </w:rPr>
              <w:t>符合国家产业政策、环境保护政策，建设符合当地的环境保护要求和经济发展需要，符合用地规划。本项目在采取报告表提出的各项污染防治后，各污染物得到了有效控制，对环境的影响不大，从环境保护角度分析，项目的建设是可行的。</w:t>
            </w:r>
          </w:p>
          <w:p>
            <w:pPr>
              <w:spacing w:line="520" w:lineRule="exact"/>
              <w:rPr>
                <w:rFonts w:eastAsia="黑体"/>
                <w:sz w:val="30"/>
                <w:szCs w:val="30"/>
              </w:rPr>
            </w:pPr>
            <w:r>
              <w:rPr>
                <w:rFonts w:eastAsia="黑体"/>
                <w:sz w:val="30"/>
                <w:szCs w:val="30"/>
              </w:rPr>
              <w:t>要求与建议</w:t>
            </w:r>
          </w:p>
          <w:p>
            <w:pPr>
              <w:spacing w:line="460" w:lineRule="exact"/>
              <w:ind w:firstLine="482" w:firstLineChars="200"/>
              <w:rPr>
                <w:b/>
                <w:sz w:val="24"/>
                <w:szCs w:val="24"/>
              </w:rPr>
            </w:pPr>
            <w:r>
              <w:rPr>
                <w:b/>
                <w:sz w:val="24"/>
                <w:szCs w:val="24"/>
              </w:rPr>
              <w:t>1、要求</w:t>
            </w:r>
          </w:p>
          <w:p>
            <w:pPr>
              <w:autoSpaceDE w:val="0"/>
              <w:autoSpaceDN w:val="0"/>
              <w:spacing w:line="460" w:lineRule="exact"/>
              <w:ind w:firstLine="480" w:firstLineChars="200"/>
              <w:rPr>
                <w:kern w:val="0"/>
                <w:sz w:val="24"/>
                <w:szCs w:val="24"/>
              </w:rPr>
            </w:pPr>
            <w:r>
              <w:rPr>
                <w:bCs/>
                <w:kern w:val="0"/>
                <w:sz w:val="24"/>
                <w:szCs w:val="24"/>
              </w:rPr>
              <w:t>（1）加强环境管理工作，</w:t>
            </w:r>
            <w:r>
              <w:rPr>
                <w:kern w:val="0"/>
                <w:sz w:val="24"/>
                <w:szCs w:val="24"/>
              </w:rPr>
              <w:t>建立一套完善的环保管理制度，制定专门的环境管理规章制度，加强环境保护工作的管理；</w:t>
            </w:r>
          </w:p>
          <w:p>
            <w:pPr>
              <w:pStyle w:val="9"/>
              <w:tabs>
                <w:tab w:val="left" w:pos="6880"/>
              </w:tabs>
              <w:autoSpaceDN w:val="0"/>
              <w:adjustRightInd w:val="0"/>
              <w:snapToGrid w:val="0"/>
              <w:spacing w:line="460" w:lineRule="exact"/>
              <w:ind w:firstLine="480" w:firstLineChars="200"/>
              <w:rPr>
                <w:sz w:val="24"/>
                <w:szCs w:val="24"/>
              </w:rPr>
            </w:pPr>
            <w:r>
              <w:rPr>
                <w:kern w:val="0"/>
                <w:sz w:val="24"/>
                <w:szCs w:val="24"/>
              </w:rPr>
              <w:t>（2）加强环保设施日常管理，确保环保设施正常运转和污染物稳定达标排放</w:t>
            </w:r>
            <w:r>
              <w:rPr>
                <w:sz w:val="24"/>
                <w:szCs w:val="24"/>
                <w:lang w:val="en-GB"/>
              </w:rPr>
              <w:t>；</w:t>
            </w:r>
          </w:p>
          <w:p>
            <w:pPr>
              <w:spacing w:line="460" w:lineRule="exact"/>
              <w:ind w:firstLine="480" w:firstLineChars="200"/>
              <w:rPr>
                <w:kern w:val="0"/>
                <w:sz w:val="24"/>
                <w:szCs w:val="24"/>
                <w:lang w:val="zh-CN"/>
              </w:rPr>
            </w:pPr>
            <w:r>
              <w:rPr>
                <w:bCs/>
                <w:kern w:val="0"/>
                <w:sz w:val="24"/>
                <w:szCs w:val="24"/>
              </w:rPr>
              <w:t>（3）</w:t>
            </w:r>
            <w:r>
              <w:rPr>
                <w:kern w:val="0"/>
                <w:sz w:val="24"/>
                <w:szCs w:val="24"/>
                <w:lang w:val="zh-CN"/>
              </w:rPr>
              <w:t>本项目应认真落实本报告提出的污染防治措施，积极配合当地环境保护管理部门的监督和管理</w:t>
            </w:r>
            <w:r>
              <w:rPr>
                <w:bCs/>
                <w:kern w:val="0"/>
                <w:sz w:val="24"/>
                <w:szCs w:val="24"/>
              </w:rPr>
              <w:t>；</w:t>
            </w:r>
          </w:p>
          <w:p>
            <w:pPr>
              <w:spacing w:line="460" w:lineRule="exact"/>
              <w:ind w:firstLine="482" w:firstLineChars="200"/>
              <w:rPr>
                <w:b/>
                <w:kern w:val="0"/>
                <w:sz w:val="24"/>
                <w:szCs w:val="24"/>
                <w:lang w:val="zh-CN"/>
              </w:rPr>
            </w:pPr>
            <w:r>
              <w:rPr>
                <w:b/>
                <w:kern w:val="0"/>
                <w:sz w:val="24"/>
                <w:szCs w:val="24"/>
                <w:lang w:val="zh-CN"/>
              </w:rPr>
              <w:t>2、建议</w:t>
            </w:r>
          </w:p>
          <w:p>
            <w:pPr>
              <w:autoSpaceDN w:val="0"/>
              <w:spacing w:line="460" w:lineRule="exact"/>
              <w:ind w:firstLine="480" w:firstLineChars="200"/>
              <w:rPr>
                <w:sz w:val="24"/>
                <w:szCs w:val="24"/>
              </w:rPr>
            </w:pPr>
            <w:r>
              <w:rPr>
                <w:sz w:val="24"/>
                <w:szCs w:val="24"/>
              </w:rPr>
              <w:t>（1）</w:t>
            </w:r>
            <w:r>
              <w:rPr>
                <w:spacing w:val="-6"/>
                <w:sz w:val="24"/>
                <w:szCs w:val="24"/>
              </w:rPr>
              <w:t>加强车间卫生与安全管理，减少污染和危险事故的发生；</w:t>
            </w:r>
          </w:p>
          <w:p>
            <w:pPr>
              <w:autoSpaceDN w:val="0"/>
              <w:spacing w:line="460" w:lineRule="exact"/>
              <w:ind w:firstLine="456" w:firstLineChars="200"/>
              <w:rPr>
                <w:sz w:val="24"/>
                <w:szCs w:val="24"/>
              </w:rPr>
            </w:pPr>
            <w:r>
              <w:rPr>
                <w:spacing w:val="-6"/>
                <w:sz w:val="24"/>
                <w:szCs w:val="24"/>
              </w:rPr>
              <w:t>（2）</w:t>
            </w:r>
            <w:r>
              <w:rPr>
                <w:sz w:val="24"/>
                <w:szCs w:val="24"/>
              </w:rPr>
              <w:t>在加强企业管理的同时，建议提高环境保护意识，加强环境管理，提倡清洁文明生产；</w:t>
            </w:r>
          </w:p>
          <w:p>
            <w:pPr>
              <w:autoSpaceDN w:val="0"/>
              <w:spacing w:line="460" w:lineRule="exact"/>
              <w:ind w:firstLine="480" w:firstLineChars="200"/>
              <w:rPr>
                <w:sz w:val="24"/>
                <w:szCs w:val="24"/>
              </w:rPr>
            </w:pPr>
            <w:r>
              <w:rPr>
                <w:sz w:val="24"/>
                <w:szCs w:val="24"/>
              </w:rPr>
              <w:t>（3）进一步加强对职工环境保护的宣传教育工作，提高全体员工的环保意识，做到环境保护、人人有责，落实到每个员工身上。</w:t>
            </w:r>
          </w:p>
          <w:p>
            <w:pPr>
              <w:rPr>
                <w:sz w:val="24"/>
                <w:szCs w:val="24"/>
              </w:rPr>
            </w:pPr>
          </w:p>
          <w:p>
            <w:pPr>
              <w:rPr>
                <w:sz w:val="24"/>
                <w:szCs w:val="24"/>
              </w:rPr>
            </w:pPr>
          </w:p>
          <w:p>
            <w:pPr>
              <w:tabs>
                <w:tab w:val="left" w:pos="915"/>
              </w:tabs>
              <w:rPr>
                <w:sz w:val="24"/>
                <w:szCs w:val="24"/>
              </w:rPr>
            </w:pPr>
          </w:p>
          <w:p>
            <w:pPr>
              <w:tabs>
                <w:tab w:val="left" w:pos="915"/>
              </w:tabs>
              <w:rPr>
                <w:sz w:val="24"/>
                <w:szCs w:val="24"/>
              </w:rPr>
            </w:pPr>
          </w:p>
          <w:p>
            <w:pPr>
              <w:tabs>
                <w:tab w:val="left" w:pos="915"/>
              </w:tabs>
              <w:rPr>
                <w:sz w:val="24"/>
                <w:szCs w:val="24"/>
              </w:rPr>
            </w:pPr>
          </w:p>
          <w:p>
            <w:pPr>
              <w:tabs>
                <w:tab w:val="left" w:pos="915"/>
              </w:tabs>
              <w:rPr>
                <w:sz w:val="24"/>
                <w:szCs w:val="24"/>
              </w:rPr>
            </w:pPr>
          </w:p>
          <w:p>
            <w:pPr>
              <w:tabs>
                <w:tab w:val="left" w:pos="915"/>
              </w:tabs>
              <w:rPr>
                <w:sz w:val="24"/>
                <w:szCs w:val="24"/>
              </w:rPr>
            </w:pPr>
          </w:p>
          <w:p>
            <w:pPr>
              <w:tabs>
                <w:tab w:val="left" w:pos="915"/>
              </w:tabs>
              <w:rPr>
                <w:sz w:val="24"/>
                <w:szCs w:val="24"/>
              </w:rPr>
            </w:pPr>
            <w:bookmarkStart w:id="110" w:name="_GoBack"/>
            <w:bookmarkEnd w:id="110"/>
          </w:p>
        </w:tc>
      </w:tr>
    </w:tbl>
    <w:p>
      <w:pPr>
        <w:spacing w:line="0" w:lineRule="atLeast"/>
        <w:rPr>
          <w:sz w:val="10"/>
          <w:szCs w:val="10"/>
        </w:rPr>
        <w:sectPr>
          <w:headerReference r:id="rId6" w:type="first"/>
          <w:footerReference r:id="rId8" w:type="first"/>
          <w:footerReference r:id="rId7" w:type="default"/>
          <w:pgSz w:w="11906" w:h="16838"/>
          <w:pgMar w:top="1440" w:right="1287" w:bottom="1440" w:left="1440" w:header="851" w:footer="992" w:gutter="170"/>
          <w:cols w:space="720" w:num="1"/>
          <w:titlePg/>
          <w:docGrid w:type="lines" w:linePitch="382" w:charSpace="0"/>
        </w:sectPr>
      </w:pPr>
    </w:p>
    <w:p>
      <w:pPr>
        <w:spacing w:line="0" w:lineRule="atLeast"/>
        <w:rPr>
          <w:sz w:val="10"/>
          <w:szCs w:val="10"/>
        </w:rPr>
      </w:pPr>
      <w:r>
        <w:rPr>
          <w:sz w:val="10"/>
          <w:szCs w:val="10"/>
        </w:rPr>
        <w:t>　</w:t>
      </w:r>
    </w:p>
    <w:tbl>
      <w:tblPr>
        <w:tblStyle w:val="38"/>
        <w:tblW w:w="9225" w:type="dxa"/>
        <w:jc w:val="center"/>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22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746" w:hRule="atLeast"/>
          <w:jc w:val="center"/>
        </w:trPr>
        <w:tc>
          <w:tcPr>
            <w:tcW w:w="9225" w:type="dxa"/>
            <w:vAlign w:val="center"/>
          </w:tcPr>
          <w:p>
            <w:pPr>
              <w:pStyle w:val="13"/>
              <w:adjustRightInd w:val="0"/>
              <w:snapToGrid w:val="0"/>
              <w:spacing w:after="0" w:line="500" w:lineRule="atLeast"/>
              <w:jc w:val="left"/>
              <w:rPr>
                <w:rFonts w:ascii="Times New Roman" w:hAnsi="Times New Roman" w:cs="Times New Roman"/>
                <w:b/>
                <w:bCs/>
                <w:szCs w:val="20"/>
              </w:rPr>
            </w:pPr>
            <w:r>
              <w:rPr>
                <w:rFonts w:ascii="Times New Roman" w:hAnsi="Times New Roman" w:cs="Times New Roman"/>
                <w:b/>
                <w:bCs/>
                <w:szCs w:val="20"/>
              </w:rPr>
              <w:t>预审意见：</w:t>
            </w:r>
          </w:p>
          <w:p>
            <w:pPr>
              <w:spacing w:line="500" w:lineRule="atLeast"/>
              <w:rPr>
                <w:sz w:val="24"/>
              </w:rPr>
            </w:pPr>
            <w:r>
              <w:rPr>
                <w:sz w:val="24"/>
              </w:rPr>
              <w:t xml:space="preserve">   </w:t>
            </w: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r>
              <w:rPr>
                <w:sz w:val="24"/>
              </w:rPr>
              <w:t xml:space="preserve">                                                  公  章</w:t>
            </w:r>
          </w:p>
          <w:p>
            <w:pPr>
              <w:spacing w:line="500" w:lineRule="atLeast"/>
              <w:rPr>
                <w:sz w:val="24"/>
              </w:rPr>
            </w:pPr>
            <w:r>
              <w:rPr>
                <w:sz w:val="24"/>
              </w:rPr>
              <w:t xml:space="preserve">        经办人：                               年    月   日</w:t>
            </w:r>
          </w:p>
          <w:p>
            <w:pPr>
              <w:spacing w:line="500" w:lineRule="atLeast"/>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7230" w:hRule="atLeast"/>
          <w:jc w:val="center"/>
        </w:trPr>
        <w:tc>
          <w:tcPr>
            <w:tcW w:w="9225" w:type="dxa"/>
            <w:vAlign w:val="center"/>
          </w:tcPr>
          <w:p>
            <w:pPr>
              <w:pStyle w:val="13"/>
              <w:adjustRightInd w:val="0"/>
              <w:snapToGrid w:val="0"/>
              <w:spacing w:after="0" w:line="500" w:lineRule="atLeast"/>
              <w:jc w:val="left"/>
              <w:rPr>
                <w:rFonts w:ascii="Times New Roman" w:hAnsi="Times New Roman" w:cs="Times New Roman"/>
                <w:b/>
                <w:bCs/>
                <w:szCs w:val="20"/>
              </w:rPr>
            </w:pPr>
            <w:r>
              <w:rPr>
                <w:rFonts w:ascii="Times New Roman" w:hAnsi="Times New Roman" w:cs="Times New Roman"/>
                <w:b/>
                <w:bCs/>
                <w:szCs w:val="20"/>
              </w:rPr>
              <w:t>下一级环境保护行政主管部门审查意见：</w:t>
            </w:r>
          </w:p>
          <w:p>
            <w:pPr>
              <w:pStyle w:val="13"/>
              <w:adjustRightInd w:val="0"/>
              <w:snapToGrid w:val="0"/>
              <w:spacing w:after="0" w:line="500" w:lineRule="atLeast"/>
              <w:ind w:firstLine="562" w:firstLineChars="200"/>
              <w:jc w:val="left"/>
              <w:rPr>
                <w:rFonts w:ascii="Times New Roman" w:hAnsi="Times New Roman" w:cs="Times New Roman"/>
                <w:b/>
                <w:bCs/>
                <w:szCs w:val="20"/>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r>
              <w:rPr>
                <w:sz w:val="24"/>
              </w:rPr>
              <w:t xml:space="preserve">                                                 公  章</w:t>
            </w:r>
          </w:p>
          <w:p>
            <w:pPr>
              <w:spacing w:line="500" w:lineRule="atLeast"/>
              <w:rPr>
                <w:sz w:val="24"/>
              </w:rPr>
            </w:pPr>
            <w:r>
              <w:rPr>
                <w:sz w:val="24"/>
              </w:rPr>
              <w:t xml:space="preserve">        经办人：                             年    月    日</w:t>
            </w:r>
          </w:p>
          <w:p>
            <w:pPr>
              <w:spacing w:line="500" w:lineRule="atLeast"/>
              <w:rPr>
                <w:sz w:val="24"/>
              </w:rPr>
            </w:pPr>
          </w:p>
          <w:p>
            <w:pPr>
              <w:spacing w:line="500" w:lineRule="atLeast"/>
              <w:rPr>
                <w:sz w:val="24"/>
              </w:rPr>
            </w:pPr>
          </w:p>
        </w:tc>
      </w:tr>
    </w:tbl>
    <w:p>
      <w:pPr>
        <w:pStyle w:val="13"/>
        <w:adjustRightInd w:val="0"/>
        <w:snapToGrid w:val="0"/>
        <w:spacing w:after="0" w:line="500" w:lineRule="atLeast"/>
        <w:jc w:val="left"/>
        <w:rPr>
          <w:rFonts w:ascii="Times New Roman" w:hAnsi="Times New Roman" w:cs="Times New Roman"/>
          <w:b/>
          <w:bCs/>
        </w:rPr>
        <w:sectPr>
          <w:footerReference r:id="rId10" w:type="first"/>
          <w:footerReference r:id="rId9" w:type="default"/>
          <w:pgSz w:w="11906" w:h="16838"/>
          <w:pgMar w:top="1440" w:right="1287" w:bottom="1440" w:left="1440" w:header="851" w:footer="992" w:gutter="170"/>
          <w:cols w:space="720" w:num="1"/>
          <w:titlePg/>
          <w:docGrid w:type="lines" w:linePitch="382" w:charSpace="0"/>
        </w:sectPr>
      </w:pPr>
    </w:p>
    <w:tbl>
      <w:tblPr>
        <w:tblStyle w:val="38"/>
        <w:tblW w:w="9225" w:type="dxa"/>
        <w:jc w:val="center"/>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22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13745" w:hRule="atLeast"/>
          <w:jc w:val="center"/>
        </w:trPr>
        <w:tc>
          <w:tcPr>
            <w:tcW w:w="9225" w:type="dxa"/>
          </w:tcPr>
          <w:p>
            <w:pPr>
              <w:pStyle w:val="13"/>
              <w:adjustRightInd w:val="0"/>
              <w:snapToGrid w:val="0"/>
              <w:spacing w:after="0" w:line="500" w:lineRule="atLeast"/>
              <w:jc w:val="left"/>
              <w:rPr>
                <w:rFonts w:ascii="Times New Roman" w:hAnsi="Times New Roman" w:cs="Times New Roman"/>
                <w:b/>
                <w:bCs/>
                <w:szCs w:val="20"/>
              </w:rPr>
            </w:pPr>
            <w:r>
              <w:rPr>
                <w:rFonts w:ascii="Times New Roman" w:hAnsi="Times New Roman" w:cs="Times New Roman"/>
                <w:b/>
                <w:bCs/>
                <w:szCs w:val="20"/>
              </w:rPr>
              <w:t>审批意见：</w:t>
            </w: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00" w:lineRule="atLeast"/>
              <w:rPr>
                <w:sz w:val="24"/>
              </w:rPr>
            </w:pPr>
          </w:p>
          <w:p>
            <w:pPr>
              <w:spacing w:line="560" w:lineRule="atLeast"/>
              <w:rPr>
                <w:sz w:val="24"/>
              </w:rPr>
            </w:pPr>
          </w:p>
          <w:p>
            <w:pPr>
              <w:spacing w:line="560" w:lineRule="atLeast"/>
              <w:rPr>
                <w:sz w:val="24"/>
              </w:rPr>
            </w:pPr>
          </w:p>
          <w:p>
            <w:pPr>
              <w:spacing w:line="560" w:lineRule="atLeast"/>
              <w:rPr>
                <w:sz w:val="24"/>
              </w:rPr>
            </w:pPr>
          </w:p>
          <w:p>
            <w:pPr>
              <w:spacing w:line="560" w:lineRule="atLeast"/>
              <w:rPr>
                <w:sz w:val="24"/>
              </w:rPr>
            </w:pPr>
          </w:p>
          <w:p>
            <w:pPr>
              <w:spacing w:line="560" w:lineRule="atLeast"/>
              <w:rPr>
                <w:sz w:val="24"/>
              </w:rPr>
            </w:pPr>
          </w:p>
          <w:p>
            <w:pPr>
              <w:spacing w:line="500" w:lineRule="atLeast"/>
              <w:rPr>
                <w:sz w:val="24"/>
              </w:rPr>
            </w:pPr>
          </w:p>
          <w:p>
            <w:pPr>
              <w:spacing w:line="500" w:lineRule="atLeast"/>
              <w:rPr>
                <w:sz w:val="24"/>
              </w:rPr>
            </w:pPr>
          </w:p>
          <w:p>
            <w:pPr>
              <w:spacing w:line="500" w:lineRule="atLeast"/>
              <w:rPr>
                <w:sz w:val="24"/>
              </w:rPr>
            </w:pPr>
            <w:r>
              <w:rPr>
                <w:sz w:val="24"/>
              </w:rPr>
              <w:t xml:space="preserve">                                                 公   章</w:t>
            </w:r>
          </w:p>
          <w:p>
            <w:pPr>
              <w:spacing w:line="500" w:lineRule="atLeast"/>
              <w:rPr>
                <w:sz w:val="24"/>
              </w:rPr>
            </w:pPr>
            <w:r>
              <w:rPr>
                <w:sz w:val="24"/>
              </w:rPr>
              <w:t xml:space="preserve">        经办人：                              年    月    日</w:t>
            </w:r>
          </w:p>
          <w:p>
            <w:pPr>
              <w:spacing w:line="600" w:lineRule="exact"/>
            </w:pPr>
          </w:p>
        </w:tc>
      </w:tr>
    </w:tbl>
    <w:p>
      <w:pPr>
        <w:spacing w:line="0" w:lineRule="atLeast"/>
        <w:rPr>
          <w:sz w:val="10"/>
          <w:szCs w:val="10"/>
        </w:rPr>
      </w:pPr>
      <w:r>
        <w:rPr>
          <w:sz w:val="10"/>
          <w:szCs w:val="10"/>
        </w:rPr>
        <w:t>　　　</w:t>
      </w:r>
    </w:p>
    <w:sectPr>
      <w:footerReference r:id="rId12" w:type="first"/>
      <w:footerReference r:id="rId11" w:type="default"/>
      <w:pgSz w:w="11906" w:h="16838"/>
      <w:pgMar w:top="1440" w:right="1287" w:bottom="1440" w:left="1440" w:header="851" w:footer="992" w:gutter="170"/>
      <w:cols w:space="720" w:num="1"/>
      <w:docGrid w:type="lines" w:linePitch="38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 w:name="华文中宋">
    <w:altName w:val="宋体"/>
    <w:panose1 w:val="00000000000000000000"/>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DengXian">
    <w:altName w:val="宋体"/>
    <w:panose1 w:val="02010600030101010101"/>
    <w:charset w:val="86"/>
    <w:family w:val="auto"/>
    <w:pitch w:val="default"/>
    <w:sig w:usb0="00000000" w:usb1="00000000" w:usb2="00000016" w:usb3="00000000" w:csb0="0004000F" w:csb1="00000000"/>
  </w:font>
  <w:font w:name="Wingdings 2">
    <w:panose1 w:val="05020102010507070707"/>
    <w:charset w:val="02"/>
    <w:family w:val="auto"/>
    <w:pitch w:val="default"/>
    <w:sig w:usb0="00000000" w:usb1="00000000" w:usb2="00000000" w:usb3="00000000" w:csb0="80000000" w:csb1="00000000"/>
  </w:font>
  <w:font w:name=".Apple Color Emoji UI">
    <w:altName w:val="Angsana New"/>
    <w:panose1 w:val="00000000000000000000"/>
    <w:charset w:val="00"/>
    <w:family w:val="auto"/>
    <w:pitch w:val="default"/>
    <w:sig w:usb0="00000000" w:usb1="00000000" w:usb2="14000000" w:usb3="00000000" w:csb0="00000001" w:csb1="00000000"/>
  </w:font>
  <w:font w:name="Angsana New">
    <w:panose1 w:val="02020603050405020304"/>
    <w:charset w:val="00"/>
    <w:family w:val="auto"/>
    <w:pitch w:val="default"/>
    <w:sig w:usb0="81000003" w:usb1="00000000" w:usb2="00000000" w:usb3="00000000" w:csb0="0001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114935" cy="131445"/>
              <wp:effectExtent l="0" t="0" r="0" b="0"/>
              <wp:wrapNone/>
              <wp:docPr id="63"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5" o:spid="_x0000_s1026" o:spt="202" type="#_x0000_t202" style="position:absolute;left:0pt;margin-top:0pt;height:10.35pt;width:9.05pt;mso-position-horizontal:center;mso-position-horizontal-relative:margin;mso-wrap-style:none;z-index:25165516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ArivAj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57785" cy="131445"/>
              <wp:effectExtent l="0" t="0" r="0" b="0"/>
              <wp:wrapNone/>
              <wp:docPr id="62"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6" o:spid="_x0000_s1026" o:spt="202" type="#_x0000_t202" style="position:absolute;left:0pt;margin-top:0pt;height:10.35pt;width:4.55pt;mso-position-horizontal:center;mso-position-horizontal-relative:margin;mso-wrap-style:none;z-index:25165619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4vd&#10;RNAAAAACAQAADwAAAAAAAAABACAAAAAiAAAAZHJzL2Rvd25yZXYueG1sUEsBAhQAFAAAAAgAh07i&#10;QImW//HxAQAAtQ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14935" cy="131445"/>
              <wp:effectExtent l="0" t="0" r="0" b="0"/>
              <wp:wrapNone/>
              <wp:docPr id="61"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77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7" o:spid="_x0000_s1026" o:spt="202" type="#_x0000_t202" style="position:absolute;left:0pt;margin-top:0pt;height:10.35pt;width:9.05pt;mso-position-horizontal:center;mso-position-horizontal-relative:margin;mso-wrap-style:none;z-index:25165721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N4vwNj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77</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60"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8" o:spid="_x0000_s1026" o:spt="202" type="#_x0000_t202" style="position:absolute;left:0pt;margin-top:0pt;height:10.35pt;width:9.05pt;mso-position-horizontal:center;mso-position-horizontal-relative:margin;mso-wrap-style:none;z-index:251658240;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DXx+x7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5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9"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4vd&#10;RNAAAAACAQAADwAAAAAAAAABACAAAAAiAAAAZHJzL2Rvd25yZXYueG1sUEsBAhQAFAAAAAgAh07i&#10;QF9IbJfxAQAAtQ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58"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3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KhHO/b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86</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57"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87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31"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PlfknQ&#10;AAAAAwEAAA8AAAAAAAAAAQAgAAAAIgAAAGRycy9kb3ducmV2LnhtbFBLAQIUABQAAAAIAIdO4kCs&#10;8uVs7wEAALYDAAAOAAAAAAAAAAEAIAAAAB8BAABkcnMvZTJvRG9jLnhtbFBLBQYAAAAABgAGAFkB&#10;AACABQ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87</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414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2062"/>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45</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 2062" o:spid="_x0000_s1026" o:spt="202" type="#_x0000_t202" style="position:absolute;left:0pt;margin-top:0pt;height:10.35pt;width:9.05pt;mso-position-horizontal:center;mso-position-horizontal-relative:margin;mso-wrap-style:none;z-index:25165414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KkKLSLxAQAAtwMAAA4AAAAAAAAAAQAgAAAAHwEAAGRycy9lMm9Eb2MueG1sUEsFBgAAAAAGAAYA&#10;WQEAAI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45</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p>
    <w:pPr>
      <w:pStyle w:val="2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B0CE5"/>
    <w:multiLevelType w:val="singleLevel"/>
    <w:tmpl w:val="59CB0CE5"/>
    <w:lvl w:ilvl="0" w:tentative="0">
      <w:start w:val="1"/>
      <w:numFmt w:val="decimal"/>
      <w:suff w:val="nothing"/>
      <w:lvlText w:val="（%1）"/>
      <w:lvlJc w:val="left"/>
    </w:lvl>
  </w:abstractNum>
  <w:abstractNum w:abstractNumId="1">
    <w:nsid w:val="5A1E5020"/>
    <w:multiLevelType w:val="singleLevel"/>
    <w:tmpl w:val="5A1E502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hideSpellingErrors/>
  <w:hideGrammaticalErrors/>
  <w:documentProtection w:enforcement="0"/>
  <w:defaultTabStop w:val="420"/>
  <w:drawingGridHorizontalSpacing w:val="140"/>
  <w:drawingGridVerticalSpacing w:val="381"/>
  <w:displayHorizont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5A"/>
    <w:rsid w:val="00000D27"/>
    <w:rsid w:val="00000DD2"/>
    <w:rsid w:val="00001263"/>
    <w:rsid w:val="00001A47"/>
    <w:rsid w:val="00001A9E"/>
    <w:rsid w:val="00001D8C"/>
    <w:rsid w:val="000024D5"/>
    <w:rsid w:val="000027BA"/>
    <w:rsid w:val="0000397D"/>
    <w:rsid w:val="00003D22"/>
    <w:rsid w:val="00003F88"/>
    <w:rsid w:val="00004206"/>
    <w:rsid w:val="000047E7"/>
    <w:rsid w:val="00004DD0"/>
    <w:rsid w:val="000050FD"/>
    <w:rsid w:val="00005438"/>
    <w:rsid w:val="000062A5"/>
    <w:rsid w:val="000065EE"/>
    <w:rsid w:val="00006A34"/>
    <w:rsid w:val="00006FA6"/>
    <w:rsid w:val="0000703C"/>
    <w:rsid w:val="00007193"/>
    <w:rsid w:val="00007312"/>
    <w:rsid w:val="0000738C"/>
    <w:rsid w:val="000073A4"/>
    <w:rsid w:val="00007AA3"/>
    <w:rsid w:val="00007CE7"/>
    <w:rsid w:val="00007D82"/>
    <w:rsid w:val="00007FDA"/>
    <w:rsid w:val="0001028B"/>
    <w:rsid w:val="0001041B"/>
    <w:rsid w:val="000105B9"/>
    <w:rsid w:val="00010A30"/>
    <w:rsid w:val="0001173E"/>
    <w:rsid w:val="00011A7E"/>
    <w:rsid w:val="00011ACE"/>
    <w:rsid w:val="00012881"/>
    <w:rsid w:val="00012F91"/>
    <w:rsid w:val="000130D9"/>
    <w:rsid w:val="00013859"/>
    <w:rsid w:val="00013A1C"/>
    <w:rsid w:val="00013D64"/>
    <w:rsid w:val="000140B0"/>
    <w:rsid w:val="000148B5"/>
    <w:rsid w:val="00014B61"/>
    <w:rsid w:val="00014E74"/>
    <w:rsid w:val="00015716"/>
    <w:rsid w:val="00015882"/>
    <w:rsid w:val="00016060"/>
    <w:rsid w:val="000163BB"/>
    <w:rsid w:val="00016698"/>
    <w:rsid w:val="0001694E"/>
    <w:rsid w:val="00016ADF"/>
    <w:rsid w:val="00016E6C"/>
    <w:rsid w:val="00017935"/>
    <w:rsid w:val="00017C3A"/>
    <w:rsid w:val="00017D3F"/>
    <w:rsid w:val="00017F7B"/>
    <w:rsid w:val="0002063A"/>
    <w:rsid w:val="0002072A"/>
    <w:rsid w:val="00020BCB"/>
    <w:rsid w:val="00020C78"/>
    <w:rsid w:val="00020CB5"/>
    <w:rsid w:val="00021446"/>
    <w:rsid w:val="000216CA"/>
    <w:rsid w:val="000218EE"/>
    <w:rsid w:val="00021DE2"/>
    <w:rsid w:val="00022372"/>
    <w:rsid w:val="00022D7A"/>
    <w:rsid w:val="00022E6A"/>
    <w:rsid w:val="000232AA"/>
    <w:rsid w:val="000232B3"/>
    <w:rsid w:val="00023AC2"/>
    <w:rsid w:val="00023E6D"/>
    <w:rsid w:val="00023FE3"/>
    <w:rsid w:val="00024494"/>
    <w:rsid w:val="0002473D"/>
    <w:rsid w:val="00024FEB"/>
    <w:rsid w:val="000259E1"/>
    <w:rsid w:val="00025B4F"/>
    <w:rsid w:val="0002680F"/>
    <w:rsid w:val="0002684E"/>
    <w:rsid w:val="0002693C"/>
    <w:rsid w:val="00026D3F"/>
    <w:rsid w:val="00027134"/>
    <w:rsid w:val="00027136"/>
    <w:rsid w:val="0002767C"/>
    <w:rsid w:val="00027A30"/>
    <w:rsid w:val="00027D4F"/>
    <w:rsid w:val="00027E1E"/>
    <w:rsid w:val="0003037D"/>
    <w:rsid w:val="00030653"/>
    <w:rsid w:val="0003065B"/>
    <w:rsid w:val="00030934"/>
    <w:rsid w:val="00030C90"/>
    <w:rsid w:val="00031350"/>
    <w:rsid w:val="000313DD"/>
    <w:rsid w:val="000315A3"/>
    <w:rsid w:val="0003162C"/>
    <w:rsid w:val="00031677"/>
    <w:rsid w:val="00031B2B"/>
    <w:rsid w:val="00031BFA"/>
    <w:rsid w:val="00031CFD"/>
    <w:rsid w:val="0003200D"/>
    <w:rsid w:val="000323D8"/>
    <w:rsid w:val="00032671"/>
    <w:rsid w:val="00032B84"/>
    <w:rsid w:val="0003306C"/>
    <w:rsid w:val="000330E1"/>
    <w:rsid w:val="00033E3D"/>
    <w:rsid w:val="0003441E"/>
    <w:rsid w:val="000347D6"/>
    <w:rsid w:val="00034949"/>
    <w:rsid w:val="00034E4D"/>
    <w:rsid w:val="00034E55"/>
    <w:rsid w:val="00035017"/>
    <w:rsid w:val="000358FA"/>
    <w:rsid w:val="000359F3"/>
    <w:rsid w:val="00035CF7"/>
    <w:rsid w:val="00035EE8"/>
    <w:rsid w:val="000362A4"/>
    <w:rsid w:val="000363CE"/>
    <w:rsid w:val="0003658D"/>
    <w:rsid w:val="0003669C"/>
    <w:rsid w:val="00036902"/>
    <w:rsid w:val="00036B3F"/>
    <w:rsid w:val="00036C58"/>
    <w:rsid w:val="00036E6A"/>
    <w:rsid w:val="0003737A"/>
    <w:rsid w:val="00037D51"/>
    <w:rsid w:val="00037DB4"/>
    <w:rsid w:val="00040327"/>
    <w:rsid w:val="00040781"/>
    <w:rsid w:val="000409CE"/>
    <w:rsid w:val="00040C83"/>
    <w:rsid w:val="00040F11"/>
    <w:rsid w:val="00040F4E"/>
    <w:rsid w:val="00041133"/>
    <w:rsid w:val="0004136D"/>
    <w:rsid w:val="00041B06"/>
    <w:rsid w:val="00041B6B"/>
    <w:rsid w:val="00041F4E"/>
    <w:rsid w:val="00042216"/>
    <w:rsid w:val="00042C0C"/>
    <w:rsid w:val="0004378C"/>
    <w:rsid w:val="00043BB0"/>
    <w:rsid w:val="00043EE5"/>
    <w:rsid w:val="0004414B"/>
    <w:rsid w:val="00044426"/>
    <w:rsid w:val="000445BB"/>
    <w:rsid w:val="00044646"/>
    <w:rsid w:val="000447FE"/>
    <w:rsid w:val="000449FE"/>
    <w:rsid w:val="00044F39"/>
    <w:rsid w:val="000457C9"/>
    <w:rsid w:val="000459ED"/>
    <w:rsid w:val="00045E79"/>
    <w:rsid w:val="00046AE3"/>
    <w:rsid w:val="00046F67"/>
    <w:rsid w:val="0004738A"/>
    <w:rsid w:val="00047523"/>
    <w:rsid w:val="000478C7"/>
    <w:rsid w:val="000479E1"/>
    <w:rsid w:val="00051115"/>
    <w:rsid w:val="000514F9"/>
    <w:rsid w:val="000517AD"/>
    <w:rsid w:val="000518F9"/>
    <w:rsid w:val="00051E0A"/>
    <w:rsid w:val="00052A87"/>
    <w:rsid w:val="00052BAD"/>
    <w:rsid w:val="00052DD4"/>
    <w:rsid w:val="00053516"/>
    <w:rsid w:val="000537FF"/>
    <w:rsid w:val="00053974"/>
    <w:rsid w:val="00053CE9"/>
    <w:rsid w:val="000542F9"/>
    <w:rsid w:val="0005468C"/>
    <w:rsid w:val="00054D9F"/>
    <w:rsid w:val="000556E0"/>
    <w:rsid w:val="000560C9"/>
    <w:rsid w:val="000568AF"/>
    <w:rsid w:val="00056E7A"/>
    <w:rsid w:val="00056F3A"/>
    <w:rsid w:val="0005705C"/>
    <w:rsid w:val="000575A3"/>
    <w:rsid w:val="000575D8"/>
    <w:rsid w:val="00057911"/>
    <w:rsid w:val="00057B70"/>
    <w:rsid w:val="00057BFF"/>
    <w:rsid w:val="00057DDA"/>
    <w:rsid w:val="00060110"/>
    <w:rsid w:val="0006018A"/>
    <w:rsid w:val="00061E3D"/>
    <w:rsid w:val="00061EFC"/>
    <w:rsid w:val="00062476"/>
    <w:rsid w:val="00062F45"/>
    <w:rsid w:val="00062FC2"/>
    <w:rsid w:val="000635E9"/>
    <w:rsid w:val="00063DAC"/>
    <w:rsid w:val="00063EAA"/>
    <w:rsid w:val="00063ED2"/>
    <w:rsid w:val="0006431D"/>
    <w:rsid w:val="000644D9"/>
    <w:rsid w:val="00064EAC"/>
    <w:rsid w:val="00064EDC"/>
    <w:rsid w:val="000650AE"/>
    <w:rsid w:val="0006539B"/>
    <w:rsid w:val="00065B78"/>
    <w:rsid w:val="00065C78"/>
    <w:rsid w:val="00066B24"/>
    <w:rsid w:val="00066BE2"/>
    <w:rsid w:val="0006734A"/>
    <w:rsid w:val="0006758E"/>
    <w:rsid w:val="000679CD"/>
    <w:rsid w:val="00067F31"/>
    <w:rsid w:val="00070288"/>
    <w:rsid w:val="00070324"/>
    <w:rsid w:val="000705D0"/>
    <w:rsid w:val="00070D97"/>
    <w:rsid w:val="000712A2"/>
    <w:rsid w:val="00071364"/>
    <w:rsid w:val="000715DB"/>
    <w:rsid w:val="000715EF"/>
    <w:rsid w:val="0007168F"/>
    <w:rsid w:val="0007189E"/>
    <w:rsid w:val="00071B0E"/>
    <w:rsid w:val="00072299"/>
    <w:rsid w:val="000728C9"/>
    <w:rsid w:val="00072E74"/>
    <w:rsid w:val="00073467"/>
    <w:rsid w:val="0007358A"/>
    <w:rsid w:val="000738D7"/>
    <w:rsid w:val="00073BD7"/>
    <w:rsid w:val="00073BF1"/>
    <w:rsid w:val="00073FC6"/>
    <w:rsid w:val="00074BEF"/>
    <w:rsid w:val="000757E4"/>
    <w:rsid w:val="00075A4B"/>
    <w:rsid w:val="00076DE1"/>
    <w:rsid w:val="00076FF5"/>
    <w:rsid w:val="000770A6"/>
    <w:rsid w:val="00077157"/>
    <w:rsid w:val="0007721B"/>
    <w:rsid w:val="00077E5A"/>
    <w:rsid w:val="0008083B"/>
    <w:rsid w:val="00080A85"/>
    <w:rsid w:val="00080DB7"/>
    <w:rsid w:val="00081897"/>
    <w:rsid w:val="000827A2"/>
    <w:rsid w:val="00082879"/>
    <w:rsid w:val="00083828"/>
    <w:rsid w:val="00083993"/>
    <w:rsid w:val="00083F31"/>
    <w:rsid w:val="000848B4"/>
    <w:rsid w:val="00084E45"/>
    <w:rsid w:val="00085020"/>
    <w:rsid w:val="00085149"/>
    <w:rsid w:val="00085461"/>
    <w:rsid w:val="000854A4"/>
    <w:rsid w:val="0008574F"/>
    <w:rsid w:val="00086853"/>
    <w:rsid w:val="00086BF7"/>
    <w:rsid w:val="00086E29"/>
    <w:rsid w:val="000874C7"/>
    <w:rsid w:val="00087C0D"/>
    <w:rsid w:val="00087CB2"/>
    <w:rsid w:val="00090109"/>
    <w:rsid w:val="00090324"/>
    <w:rsid w:val="00090A16"/>
    <w:rsid w:val="00090DFF"/>
    <w:rsid w:val="0009120A"/>
    <w:rsid w:val="000912B9"/>
    <w:rsid w:val="000912F0"/>
    <w:rsid w:val="0009147C"/>
    <w:rsid w:val="00091945"/>
    <w:rsid w:val="000928F8"/>
    <w:rsid w:val="00093272"/>
    <w:rsid w:val="000932CA"/>
    <w:rsid w:val="0009332A"/>
    <w:rsid w:val="00093972"/>
    <w:rsid w:val="00093A76"/>
    <w:rsid w:val="00093AC5"/>
    <w:rsid w:val="00093AE9"/>
    <w:rsid w:val="00093CBA"/>
    <w:rsid w:val="00093D85"/>
    <w:rsid w:val="00093FBA"/>
    <w:rsid w:val="00094FFB"/>
    <w:rsid w:val="00095158"/>
    <w:rsid w:val="00095332"/>
    <w:rsid w:val="00095719"/>
    <w:rsid w:val="000958A4"/>
    <w:rsid w:val="00095CF0"/>
    <w:rsid w:val="00095DC5"/>
    <w:rsid w:val="00095EC5"/>
    <w:rsid w:val="00096098"/>
    <w:rsid w:val="00096ABB"/>
    <w:rsid w:val="00097700"/>
    <w:rsid w:val="00097814"/>
    <w:rsid w:val="000A082E"/>
    <w:rsid w:val="000A0E2D"/>
    <w:rsid w:val="000A172D"/>
    <w:rsid w:val="000A1879"/>
    <w:rsid w:val="000A22DC"/>
    <w:rsid w:val="000A2310"/>
    <w:rsid w:val="000A2C30"/>
    <w:rsid w:val="000A2E64"/>
    <w:rsid w:val="000A2FFA"/>
    <w:rsid w:val="000A3342"/>
    <w:rsid w:val="000A33E1"/>
    <w:rsid w:val="000A3506"/>
    <w:rsid w:val="000A3D96"/>
    <w:rsid w:val="000A40F8"/>
    <w:rsid w:val="000A4220"/>
    <w:rsid w:val="000A499B"/>
    <w:rsid w:val="000A49E0"/>
    <w:rsid w:val="000A4F69"/>
    <w:rsid w:val="000A5068"/>
    <w:rsid w:val="000A5E84"/>
    <w:rsid w:val="000A6401"/>
    <w:rsid w:val="000A676C"/>
    <w:rsid w:val="000A6CEF"/>
    <w:rsid w:val="000A6D31"/>
    <w:rsid w:val="000A6F6F"/>
    <w:rsid w:val="000A708E"/>
    <w:rsid w:val="000A709E"/>
    <w:rsid w:val="000A73E8"/>
    <w:rsid w:val="000A7401"/>
    <w:rsid w:val="000A7910"/>
    <w:rsid w:val="000A7CEF"/>
    <w:rsid w:val="000A7F70"/>
    <w:rsid w:val="000B025A"/>
    <w:rsid w:val="000B0C7D"/>
    <w:rsid w:val="000B0EDA"/>
    <w:rsid w:val="000B136E"/>
    <w:rsid w:val="000B1932"/>
    <w:rsid w:val="000B21D3"/>
    <w:rsid w:val="000B2A55"/>
    <w:rsid w:val="000B2BEF"/>
    <w:rsid w:val="000B2E19"/>
    <w:rsid w:val="000B2E5A"/>
    <w:rsid w:val="000B2EAF"/>
    <w:rsid w:val="000B3630"/>
    <w:rsid w:val="000B3D30"/>
    <w:rsid w:val="000B40E9"/>
    <w:rsid w:val="000B4301"/>
    <w:rsid w:val="000B483C"/>
    <w:rsid w:val="000B4C72"/>
    <w:rsid w:val="000B5444"/>
    <w:rsid w:val="000B55B5"/>
    <w:rsid w:val="000B57CC"/>
    <w:rsid w:val="000B5C06"/>
    <w:rsid w:val="000B6902"/>
    <w:rsid w:val="000B708C"/>
    <w:rsid w:val="000B73CE"/>
    <w:rsid w:val="000B7A01"/>
    <w:rsid w:val="000C0622"/>
    <w:rsid w:val="000C06DE"/>
    <w:rsid w:val="000C0B1E"/>
    <w:rsid w:val="000C0E5D"/>
    <w:rsid w:val="000C10B3"/>
    <w:rsid w:val="000C1125"/>
    <w:rsid w:val="000C11F0"/>
    <w:rsid w:val="000C12F3"/>
    <w:rsid w:val="000C18CE"/>
    <w:rsid w:val="000C199F"/>
    <w:rsid w:val="000C1D86"/>
    <w:rsid w:val="000C206C"/>
    <w:rsid w:val="000C2450"/>
    <w:rsid w:val="000C2823"/>
    <w:rsid w:val="000C2DA9"/>
    <w:rsid w:val="000C3049"/>
    <w:rsid w:val="000C3105"/>
    <w:rsid w:val="000C3A0B"/>
    <w:rsid w:val="000C3B40"/>
    <w:rsid w:val="000C3DAC"/>
    <w:rsid w:val="000C3F70"/>
    <w:rsid w:val="000C463B"/>
    <w:rsid w:val="000C4CE6"/>
    <w:rsid w:val="000C4D6B"/>
    <w:rsid w:val="000C4E99"/>
    <w:rsid w:val="000C5255"/>
    <w:rsid w:val="000C56A7"/>
    <w:rsid w:val="000C58F3"/>
    <w:rsid w:val="000C596B"/>
    <w:rsid w:val="000C5D18"/>
    <w:rsid w:val="000C5ED3"/>
    <w:rsid w:val="000C66E0"/>
    <w:rsid w:val="000C67B4"/>
    <w:rsid w:val="000C77C4"/>
    <w:rsid w:val="000C7F5A"/>
    <w:rsid w:val="000D0404"/>
    <w:rsid w:val="000D0626"/>
    <w:rsid w:val="000D0C89"/>
    <w:rsid w:val="000D0D42"/>
    <w:rsid w:val="000D0FA8"/>
    <w:rsid w:val="000D0FBD"/>
    <w:rsid w:val="000D114F"/>
    <w:rsid w:val="000D11F5"/>
    <w:rsid w:val="000D17C6"/>
    <w:rsid w:val="000D185C"/>
    <w:rsid w:val="000D1B3E"/>
    <w:rsid w:val="000D1CC4"/>
    <w:rsid w:val="000D2750"/>
    <w:rsid w:val="000D298A"/>
    <w:rsid w:val="000D2BD1"/>
    <w:rsid w:val="000D2CD8"/>
    <w:rsid w:val="000D2DE9"/>
    <w:rsid w:val="000D2EAD"/>
    <w:rsid w:val="000D2EFA"/>
    <w:rsid w:val="000D3362"/>
    <w:rsid w:val="000D3D55"/>
    <w:rsid w:val="000D44DA"/>
    <w:rsid w:val="000D45BA"/>
    <w:rsid w:val="000D4991"/>
    <w:rsid w:val="000D4DBE"/>
    <w:rsid w:val="000D55B7"/>
    <w:rsid w:val="000D57CA"/>
    <w:rsid w:val="000D5908"/>
    <w:rsid w:val="000D5C24"/>
    <w:rsid w:val="000D5DB3"/>
    <w:rsid w:val="000D6179"/>
    <w:rsid w:val="000D62C2"/>
    <w:rsid w:val="000D651F"/>
    <w:rsid w:val="000D65EC"/>
    <w:rsid w:val="000D6692"/>
    <w:rsid w:val="000D67FC"/>
    <w:rsid w:val="000D68DB"/>
    <w:rsid w:val="000D6BB0"/>
    <w:rsid w:val="000D6D79"/>
    <w:rsid w:val="000D76A9"/>
    <w:rsid w:val="000E0254"/>
    <w:rsid w:val="000E0687"/>
    <w:rsid w:val="000E0ABA"/>
    <w:rsid w:val="000E0ADB"/>
    <w:rsid w:val="000E0AF4"/>
    <w:rsid w:val="000E10EF"/>
    <w:rsid w:val="000E11F3"/>
    <w:rsid w:val="000E13D9"/>
    <w:rsid w:val="000E1B4E"/>
    <w:rsid w:val="000E1FDA"/>
    <w:rsid w:val="000E2099"/>
    <w:rsid w:val="000E24DC"/>
    <w:rsid w:val="000E2632"/>
    <w:rsid w:val="000E26EF"/>
    <w:rsid w:val="000E2C19"/>
    <w:rsid w:val="000E2FD5"/>
    <w:rsid w:val="000E3185"/>
    <w:rsid w:val="000E32EE"/>
    <w:rsid w:val="000E4201"/>
    <w:rsid w:val="000E425C"/>
    <w:rsid w:val="000E451A"/>
    <w:rsid w:val="000E4A46"/>
    <w:rsid w:val="000E4FD5"/>
    <w:rsid w:val="000E510F"/>
    <w:rsid w:val="000E5613"/>
    <w:rsid w:val="000E5719"/>
    <w:rsid w:val="000E58CB"/>
    <w:rsid w:val="000E5AEB"/>
    <w:rsid w:val="000E638B"/>
    <w:rsid w:val="000E6A3D"/>
    <w:rsid w:val="000E6B52"/>
    <w:rsid w:val="000E78AA"/>
    <w:rsid w:val="000E7917"/>
    <w:rsid w:val="000F0019"/>
    <w:rsid w:val="000F0F7B"/>
    <w:rsid w:val="000F0F7C"/>
    <w:rsid w:val="000F1841"/>
    <w:rsid w:val="000F1AF8"/>
    <w:rsid w:val="000F1D36"/>
    <w:rsid w:val="000F2356"/>
    <w:rsid w:val="000F273D"/>
    <w:rsid w:val="000F2E4B"/>
    <w:rsid w:val="000F30F5"/>
    <w:rsid w:val="000F3136"/>
    <w:rsid w:val="000F37C6"/>
    <w:rsid w:val="000F3880"/>
    <w:rsid w:val="000F38F4"/>
    <w:rsid w:val="000F3974"/>
    <w:rsid w:val="000F4D0C"/>
    <w:rsid w:val="000F5801"/>
    <w:rsid w:val="000F59C1"/>
    <w:rsid w:val="000F5F97"/>
    <w:rsid w:val="000F6192"/>
    <w:rsid w:val="000F6689"/>
    <w:rsid w:val="000F6783"/>
    <w:rsid w:val="000F6812"/>
    <w:rsid w:val="000F6C89"/>
    <w:rsid w:val="000F7037"/>
    <w:rsid w:val="000F75D7"/>
    <w:rsid w:val="000F7696"/>
    <w:rsid w:val="000F76D5"/>
    <w:rsid w:val="000F78B6"/>
    <w:rsid w:val="00100914"/>
    <w:rsid w:val="00100F24"/>
    <w:rsid w:val="00100FA2"/>
    <w:rsid w:val="00101100"/>
    <w:rsid w:val="0010112E"/>
    <w:rsid w:val="00101590"/>
    <w:rsid w:val="001015BA"/>
    <w:rsid w:val="0010187D"/>
    <w:rsid w:val="00101AC2"/>
    <w:rsid w:val="00101C15"/>
    <w:rsid w:val="00101E1E"/>
    <w:rsid w:val="001035B1"/>
    <w:rsid w:val="00103707"/>
    <w:rsid w:val="00104032"/>
    <w:rsid w:val="00104539"/>
    <w:rsid w:val="00104551"/>
    <w:rsid w:val="00104615"/>
    <w:rsid w:val="00104EAE"/>
    <w:rsid w:val="00105069"/>
    <w:rsid w:val="00105292"/>
    <w:rsid w:val="001052C1"/>
    <w:rsid w:val="001056C5"/>
    <w:rsid w:val="00105AEB"/>
    <w:rsid w:val="00105CFD"/>
    <w:rsid w:val="00106321"/>
    <w:rsid w:val="001069C3"/>
    <w:rsid w:val="00106E46"/>
    <w:rsid w:val="0010716A"/>
    <w:rsid w:val="001078E0"/>
    <w:rsid w:val="00107950"/>
    <w:rsid w:val="00107C5A"/>
    <w:rsid w:val="00107F24"/>
    <w:rsid w:val="0011073D"/>
    <w:rsid w:val="001111F9"/>
    <w:rsid w:val="00111666"/>
    <w:rsid w:val="001119CA"/>
    <w:rsid w:val="00111D4B"/>
    <w:rsid w:val="00112BAE"/>
    <w:rsid w:val="00112CBB"/>
    <w:rsid w:val="00112CCB"/>
    <w:rsid w:val="0011358B"/>
    <w:rsid w:val="0011362A"/>
    <w:rsid w:val="0011399D"/>
    <w:rsid w:val="00114750"/>
    <w:rsid w:val="00115801"/>
    <w:rsid w:val="00115AA7"/>
    <w:rsid w:val="00116A0A"/>
    <w:rsid w:val="00116F2A"/>
    <w:rsid w:val="00117453"/>
    <w:rsid w:val="001176AF"/>
    <w:rsid w:val="00117F10"/>
    <w:rsid w:val="00117F11"/>
    <w:rsid w:val="00120AF5"/>
    <w:rsid w:val="001219C1"/>
    <w:rsid w:val="001220C3"/>
    <w:rsid w:val="001223E3"/>
    <w:rsid w:val="00122474"/>
    <w:rsid w:val="00122B02"/>
    <w:rsid w:val="00122D9F"/>
    <w:rsid w:val="00122DD0"/>
    <w:rsid w:val="00122EDC"/>
    <w:rsid w:val="00122F0D"/>
    <w:rsid w:val="00123F44"/>
    <w:rsid w:val="00124338"/>
    <w:rsid w:val="00124768"/>
    <w:rsid w:val="0012485B"/>
    <w:rsid w:val="00124B17"/>
    <w:rsid w:val="00124CE6"/>
    <w:rsid w:val="001256B5"/>
    <w:rsid w:val="00125BEE"/>
    <w:rsid w:val="00125DDB"/>
    <w:rsid w:val="001264A7"/>
    <w:rsid w:val="00126C50"/>
    <w:rsid w:val="00127149"/>
    <w:rsid w:val="0012796A"/>
    <w:rsid w:val="00127A02"/>
    <w:rsid w:val="00127D8E"/>
    <w:rsid w:val="00127F42"/>
    <w:rsid w:val="00130245"/>
    <w:rsid w:val="0013029E"/>
    <w:rsid w:val="00130307"/>
    <w:rsid w:val="001308F1"/>
    <w:rsid w:val="00130CED"/>
    <w:rsid w:val="001318EC"/>
    <w:rsid w:val="0013197F"/>
    <w:rsid w:val="00131BA5"/>
    <w:rsid w:val="00132237"/>
    <w:rsid w:val="0013278D"/>
    <w:rsid w:val="00132F47"/>
    <w:rsid w:val="0013304A"/>
    <w:rsid w:val="00133473"/>
    <w:rsid w:val="00133700"/>
    <w:rsid w:val="0013373E"/>
    <w:rsid w:val="00133FAE"/>
    <w:rsid w:val="00134277"/>
    <w:rsid w:val="001343D9"/>
    <w:rsid w:val="0013470A"/>
    <w:rsid w:val="00134973"/>
    <w:rsid w:val="00134EF8"/>
    <w:rsid w:val="001350ED"/>
    <w:rsid w:val="00135480"/>
    <w:rsid w:val="0013563C"/>
    <w:rsid w:val="00135738"/>
    <w:rsid w:val="00135B33"/>
    <w:rsid w:val="00135F93"/>
    <w:rsid w:val="001364F7"/>
    <w:rsid w:val="001367F9"/>
    <w:rsid w:val="00136A9C"/>
    <w:rsid w:val="00136BAD"/>
    <w:rsid w:val="00136C26"/>
    <w:rsid w:val="0013708D"/>
    <w:rsid w:val="0013715D"/>
    <w:rsid w:val="0013759C"/>
    <w:rsid w:val="00137955"/>
    <w:rsid w:val="00137D32"/>
    <w:rsid w:val="0014043F"/>
    <w:rsid w:val="00140718"/>
    <w:rsid w:val="001408FE"/>
    <w:rsid w:val="00141BB4"/>
    <w:rsid w:val="00141DF2"/>
    <w:rsid w:val="00141FFE"/>
    <w:rsid w:val="00142311"/>
    <w:rsid w:val="001423B6"/>
    <w:rsid w:val="00142E0A"/>
    <w:rsid w:val="001430B6"/>
    <w:rsid w:val="00143388"/>
    <w:rsid w:val="00143A0E"/>
    <w:rsid w:val="00143B9A"/>
    <w:rsid w:val="00144061"/>
    <w:rsid w:val="0014438D"/>
    <w:rsid w:val="001445E8"/>
    <w:rsid w:val="00144D21"/>
    <w:rsid w:val="00144F02"/>
    <w:rsid w:val="00144FB4"/>
    <w:rsid w:val="00145014"/>
    <w:rsid w:val="00145544"/>
    <w:rsid w:val="00146134"/>
    <w:rsid w:val="00146221"/>
    <w:rsid w:val="001463FC"/>
    <w:rsid w:val="001465C1"/>
    <w:rsid w:val="00146732"/>
    <w:rsid w:val="00146751"/>
    <w:rsid w:val="00146AA0"/>
    <w:rsid w:val="00146FDC"/>
    <w:rsid w:val="00147CFA"/>
    <w:rsid w:val="00147D65"/>
    <w:rsid w:val="00150142"/>
    <w:rsid w:val="001504E2"/>
    <w:rsid w:val="0015050C"/>
    <w:rsid w:val="0015062D"/>
    <w:rsid w:val="0015144B"/>
    <w:rsid w:val="00151933"/>
    <w:rsid w:val="00151B1F"/>
    <w:rsid w:val="00151D77"/>
    <w:rsid w:val="00151E37"/>
    <w:rsid w:val="001526BC"/>
    <w:rsid w:val="00152849"/>
    <w:rsid w:val="00152C27"/>
    <w:rsid w:val="00152DFB"/>
    <w:rsid w:val="001535D3"/>
    <w:rsid w:val="00153654"/>
    <w:rsid w:val="00153700"/>
    <w:rsid w:val="001538A3"/>
    <w:rsid w:val="00153DEA"/>
    <w:rsid w:val="0015438F"/>
    <w:rsid w:val="00154732"/>
    <w:rsid w:val="0015483C"/>
    <w:rsid w:val="001551AF"/>
    <w:rsid w:val="00155213"/>
    <w:rsid w:val="00155AAA"/>
    <w:rsid w:val="00155E4D"/>
    <w:rsid w:val="00155EF8"/>
    <w:rsid w:val="001568A1"/>
    <w:rsid w:val="001571C4"/>
    <w:rsid w:val="0015779C"/>
    <w:rsid w:val="001579F9"/>
    <w:rsid w:val="00157DD3"/>
    <w:rsid w:val="00157ED8"/>
    <w:rsid w:val="0016022F"/>
    <w:rsid w:val="001606A9"/>
    <w:rsid w:val="00160993"/>
    <w:rsid w:val="00160A88"/>
    <w:rsid w:val="00160E03"/>
    <w:rsid w:val="0016168F"/>
    <w:rsid w:val="00161700"/>
    <w:rsid w:val="00161D2B"/>
    <w:rsid w:val="0016264F"/>
    <w:rsid w:val="00162727"/>
    <w:rsid w:val="00162A96"/>
    <w:rsid w:val="00163025"/>
    <w:rsid w:val="001630F2"/>
    <w:rsid w:val="001633B7"/>
    <w:rsid w:val="001635A7"/>
    <w:rsid w:val="00163C32"/>
    <w:rsid w:val="00163D58"/>
    <w:rsid w:val="00163D72"/>
    <w:rsid w:val="00163EF2"/>
    <w:rsid w:val="001644A7"/>
    <w:rsid w:val="00164608"/>
    <w:rsid w:val="00164D39"/>
    <w:rsid w:val="001652A6"/>
    <w:rsid w:val="001652E1"/>
    <w:rsid w:val="0016554B"/>
    <w:rsid w:val="00165703"/>
    <w:rsid w:val="0016591A"/>
    <w:rsid w:val="00165A9C"/>
    <w:rsid w:val="00166376"/>
    <w:rsid w:val="00166AE7"/>
    <w:rsid w:val="00166CB8"/>
    <w:rsid w:val="00166EF2"/>
    <w:rsid w:val="00166F98"/>
    <w:rsid w:val="00167162"/>
    <w:rsid w:val="001672E0"/>
    <w:rsid w:val="00167C39"/>
    <w:rsid w:val="00170732"/>
    <w:rsid w:val="00170FB4"/>
    <w:rsid w:val="0017108C"/>
    <w:rsid w:val="00171244"/>
    <w:rsid w:val="0017157C"/>
    <w:rsid w:val="001715C4"/>
    <w:rsid w:val="00171607"/>
    <w:rsid w:val="00171B3D"/>
    <w:rsid w:val="00171EA6"/>
    <w:rsid w:val="00171F63"/>
    <w:rsid w:val="001728CB"/>
    <w:rsid w:val="00172A27"/>
    <w:rsid w:val="00172C7F"/>
    <w:rsid w:val="00173163"/>
    <w:rsid w:val="00173463"/>
    <w:rsid w:val="001734F9"/>
    <w:rsid w:val="00173549"/>
    <w:rsid w:val="00173574"/>
    <w:rsid w:val="00174093"/>
    <w:rsid w:val="001742A4"/>
    <w:rsid w:val="001745E1"/>
    <w:rsid w:val="00174A45"/>
    <w:rsid w:val="00174B52"/>
    <w:rsid w:val="00174BD8"/>
    <w:rsid w:val="00174E13"/>
    <w:rsid w:val="001753E2"/>
    <w:rsid w:val="001755E2"/>
    <w:rsid w:val="00175AC2"/>
    <w:rsid w:val="001761E2"/>
    <w:rsid w:val="00177112"/>
    <w:rsid w:val="001773BE"/>
    <w:rsid w:val="00177506"/>
    <w:rsid w:val="00177DD1"/>
    <w:rsid w:val="00180617"/>
    <w:rsid w:val="00180724"/>
    <w:rsid w:val="00180A77"/>
    <w:rsid w:val="00181DEA"/>
    <w:rsid w:val="00181E34"/>
    <w:rsid w:val="00181EF0"/>
    <w:rsid w:val="00181F6D"/>
    <w:rsid w:val="00181F9F"/>
    <w:rsid w:val="00182079"/>
    <w:rsid w:val="00182308"/>
    <w:rsid w:val="001827D5"/>
    <w:rsid w:val="00182C6E"/>
    <w:rsid w:val="00183D42"/>
    <w:rsid w:val="001840B1"/>
    <w:rsid w:val="00184357"/>
    <w:rsid w:val="00184392"/>
    <w:rsid w:val="00184EA8"/>
    <w:rsid w:val="001851BC"/>
    <w:rsid w:val="00185A4B"/>
    <w:rsid w:val="001861E5"/>
    <w:rsid w:val="0018639B"/>
    <w:rsid w:val="001865AB"/>
    <w:rsid w:val="0018692D"/>
    <w:rsid w:val="0018693D"/>
    <w:rsid w:val="00186FED"/>
    <w:rsid w:val="001873C8"/>
    <w:rsid w:val="00187484"/>
    <w:rsid w:val="00187665"/>
    <w:rsid w:val="001879CA"/>
    <w:rsid w:val="00187E5C"/>
    <w:rsid w:val="00187F73"/>
    <w:rsid w:val="0019017D"/>
    <w:rsid w:val="00190A1B"/>
    <w:rsid w:val="00190ACF"/>
    <w:rsid w:val="00190B2A"/>
    <w:rsid w:val="0019120A"/>
    <w:rsid w:val="001916A2"/>
    <w:rsid w:val="001917F7"/>
    <w:rsid w:val="00191F1B"/>
    <w:rsid w:val="0019238E"/>
    <w:rsid w:val="00192C05"/>
    <w:rsid w:val="00192C70"/>
    <w:rsid w:val="00193262"/>
    <w:rsid w:val="00193416"/>
    <w:rsid w:val="00194345"/>
    <w:rsid w:val="0019435E"/>
    <w:rsid w:val="001944E9"/>
    <w:rsid w:val="00194A30"/>
    <w:rsid w:val="00195110"/>
    <w:rsid w:val="001953A8"/>
    <w:rsid w:val="00195ADE"/>
    <w:rsid w:val="00195CE3"/>
    <w:rsid w:val="00196780"/>
    <w:rsid w:val="00196803"/>
    <w:rsid w:val="00196ADD"/>
    <w:rsid w:val="00197BAC"/>
    <w:rsid w:val="001A00D8"/>
    <w:rsid w:val="001A08A7"/>
    <w:rsid w:val="001A0BB8"/>
    <w:rsid w:val="001A0EE7"/>
    <w:rsid w:val="001A12DF"/>
    <w:rsid w:val="001A138E"/>
    <w:rsid w:val="001A285E"/>
    <w:rsid w:val="001A2D74"/>
    <w:rsid w:val="001A2D8D"/>
    <w:rsid w:val="001A3B0B"/>
    <w:rsid w:val="001A3E7F"/>
    <w:rsid w:val="001A441F"/>
    <w:rsid w:val="001A45B0"/>
    <w:rsid w:val="001A48AC"/>
    <w:rsid w:val="001A4B2E"/>
    <w:rsid w:val="001A4BD8"/>
    <w:rsid w:val="001A52D7"/>
    <w:rsid w:val="001A5991"/>
    <w:rsid w:val="001A5A21"/>
    <w:rsid w:val="001A5A9B"/>
    <w:rsid w:val="001A5AE7"/>
    <w:rsid w:val="001A62B8"/>
    <w:rsid w:val="001A667C"/>
    <w:rsid w:val="001A6B54"/>
    <w:rsid w:val="001A6DA5"/>
    <w:rsid w:val="001B047A"/>
    <w:rsid w:val="001B0C05"/>
    <w:rsid w:val="001B1D08"/>
    <w:rsid w:val="001B1EF9"/>
    <w:rsid w:val="001B2D0B"/>
    <w:rsid w:val="001B37E4"/>
    <w:rsid w:val="001B3EA2"/>
    <w:rsid w:val="001B41B8"/>
    <w:rsid w:val="001B42C3"/>
    <w:rsid w:val="001B43B5"/>
    <w:rsid w:val="001B47B8"/>
    <w:rsid w:val="001B4FE0"/>
    <w:rsid w:val="001B551D"/>
    <w:rsid w:val="001B5E3F"/>
    <w:rsid w:val="001B6175"/>
    <w:rsid w:val="001B622A"/>
    <w:rsid w:val="001B64D7"/>
    <w:rsid w:val="001B65EC"/>
    <w:rsid w:val="001B66DF"/>
    <w:rsid w:val="001B6C48"/>
    <w:rsid w:val="001B6C52"/>
    <w:rsid w:val="001B6FEF"/>
    <w:rsid w:val="001B70CC"/>
    <w:rsid w:val="001B73BA"/>
    <w:rsid w:val="001B7CBC"/>
    <w:rsid w:val="001B7ED2"/>
    <w:rsid w:val="001B7F6E"/>
    <w:rsid w:val="001B7FC9"/>
    <w:rsid w:val="001C0297"/>
    <w:rsid w:val="001C0DE7"/>
    <w:rsid w:val="001C0FE9"/>
    <w:rsid w:val="001C116F"/>
    <w:rsid w:val="001C1334"/>
    <w:rsid w:val="001C16FF"/>
    <w:rsid w:val="001C192C"/>
    <w:rsid w:val="001C20E9"/>
    <w:rsid w:val="001C244C"/>
    <w:rsid w:val="001C2516"/>
    <w:rsid w:val="001C28E4"/>
    <w:rsid w:val="001C2928"/>
    <w:rsid w:val="001C2A8B"/>
    <w:rsid w:val="001C31D1"/>
    <w:rsid w:val="001C31D9"/>
    <w:rsid w:val="001C382C"/>
    <w:rsid w:val="001C3A05"/>
    <w:rsid w:val="001C3BD9"/>
    <w:rsid w:val="001C3CF2"/>
    <w:rsid w:val="001C3DE7"/>
    <w:rsid w:val="001C4293"/>
    <w:rsid w:val="001C47CB"/>
    <w:rsid w:val="001C4A55"/>
    <w:rsid w:val="001C5226"/>
    <w:rsid w:val="001C5D30"/>
    <w:rsid w:val="001C5DD6"/>
    <w:rsid w:val="001C6744"/>
    <w:rsid w:val="001C6ED2"/>
    <w:rsid w:val="001C7174"/>
    <w:rsid w:val="001C7D73"/>
    <w:rsid w:val="001C7FAD"/>
    <w:rsid w:val="001D19CB"/>
    <w:rsid w:val="001D1A9F"/>
    <w:rsid w:val="001D1BF0"/>
    <w:rsid w:val="001D1C47"/>
    <w:rsid w:val="001D1C79"/>
    <w:rsid w:val="001D2306"/>
    <w:rsid w:val="001D3183"/>
    <w:rsid w:val="001D3197"/>
    <w:rsid w:val="001D329D"/>
    <w:rsid w:val="001D38D5"/>
    <w:rsid w:val="001D3ECA"/>
    <w:rsid w:val="001D3F4C"/>
    <w:rsid w:val="001D47A3"/>
    <w:rsid w:val="001D4898"/>
    <w:rsid w:val="001D4D6B"/>
    <w:rsid w:val="001D5007"/>
    <w:rsid w:val="001D5296"/>
    <w:rsid w:val="001D68C1"/>
    <w:rsid w:val="001D69E4"/>
    <w:rsid w:val="001D6F3F"/>
    <w:rsid w:val="001D7777"/>
    <w:rsid w:val="001D7AEB"/>
    <w:rsid w:val="001E0A9C"/>
    <w:rsid w:val="001E0FF1"/>
    <w:rsid w:val="001E10D6"/>
    <w:rsid w:val="001E1192"/>
    <w:rsid w:val="001E1326"/>
    <w:rsid w:val="001E1724"/>
    <w:rsid w:val="001E18C8"/>
    <w:rsid w:val="001E1ED8"/>
    <w:rsid w:val="001E2084"/>
    <w:rsid w:val="001E226B"/>
    <w:rsid w:val="001E2612"/>
    <w:rsid w:val="001E2A17"/>
    <w:rsid w:val="001E2A70"/>
    <w:rsid w:val="001E2B90"/>
    <w:rsid w:val="001E3D02"/>
    <w:rsid w:val="001E3FD6"/>
    <w:rsid w:val="001E42D0"/>
    <w:rsid w:val="001E4AFA"/>
    <w:rsid w:val="001E5228"/>
    <w:rsid w:val="001E559C"/>
    <w:rsid w:val="001E5687"/>
    <w:rsid w:val="001E5914"/>
    <w:rsid w:val="001E5BAE"/>
    <w:rsid w:val="001E5E5B"/>
    <w:rsid w:val="001E5FC5"/>
    <w:rsid w:val="001E6479"/>
    <w:rsid w:val="001E6510"/>
    <w:rsid w:val="001E73E2"/>
    <w:rsid w:val="001E743E"/>
    <w:rsid w:val="001E7CB1"/>
    <w:rsid w:val="001F03BA"/>
    <w:rsid w:val="001F05B2"/>
    <w:rsid w:val="001F0877"/>
    <w:rsid w:val="001F0A09"/>
    <w:rsid w:val="001F0E28"/>
    <w:rsid w:val="001F0E2C"/>
    <w:rsid w:val="001F0F88"/>
    <w:rsid w:val="001F1606"/>
    <w:rsid w:val="001F17FD"/>
    <w:rsid w:val="001F1863"/>
    <w:rsid w:val="001F1A73"/>
    <w:rsid w:val="001F1C41"/>
    <w:rsid w:val="001F1DA8"/>
    <w:rsid w:val="001F2279"/>
    <w:rsid w:val="001F291F"/>
    <w:rsid w:val="001F2CB7"/>
    <w:rsid w:val="001F2F94"/>
    <w:rsid w:val="001F3853"/>
    <w:rsid w:val="001F3D78"/>
    <w:rsid w:val="001F3E0C"/>
    <w:rsid w:val="001F4932"/>
    <w:rsid w:val="001F49C5"/>
    <w:rsid w:val="001F49D6"/>
    <w:rsid w:val="001F4B6A"/>
    <w:rsid w:val="001F4C2D"/>
    <w:rsid w:val="001F4CD2"/>
    <w:rsid w:val="001F515F"/>
    <w:rsid w:val="001F5485"/>
    <w:rsid w:val="001F5800"/>
    <w:rsid w:val="001F5FE8"/>
    <w:rsid w:val="001F6502"/>
    <w:rsid w:val="001F6676"/>
    <w:rsid w:val="001F6699"/>
    <w:rsid w:val="001F66B5"/>
    <w:rsid w:val="001F6921"/>
    <w:rsid w:val="001F69DF"/>
    <w:rsid w:val="001F6B9C"/>
    <w:rsid w:val="001F6FE9"/>
    <w:rsid w:val="001F71F4"/>
    <w:rsid w:val="001F72BE"/>
    <w:rsid w:val="001F74A9"/>
    <w:rsid w:val="001F79F4"/>
    <w:rsid w:val="001F7D00"/>
    <w:rsid w:val="001F7D2B"/>
    <w:rsid w:val="002000A7"/>
    <w:rsid w:val="0020077A"/>
    <w:rsid w:val="00200D46"/>
    <w:rsid w:val="00200DB3"/>
    <w:rsid w:val="00200E88"/>
    <w:rsid w:val="002013AB"/>
    <w:rsid w:val="002014B2"/>
    <w:rsid w:val="00201901"/>
    <w:rsid w:val="00201CB0"/>
    <w:rsid w:val="00202962"/>
    <w:rsid w:val="002034A8"/>
    <w:rsid w:val="002037A8"/>
    <w:rsid w:val="00203BC5"/>
    <w:rsid w:val="0020473A"/>
    <w:rsid w:val="002051D6"/>
    <w:rsid w:val="002058E5"/>
    <w:rsid w:val="002059B1"/>
    <w:rsid w:val="0020648A"/>
    <w:rsid w:val="00206646"/>
    <w:rsid w:val="002075FB"/>
    <w:rsid w:val="002077B1"/>
    <w:rsid w:val="002078B0"/>
    <w:rsid w:val="002078E5"/>
    <w:rsid w:val="0020792D"/>
    <w:rsid w:val="00210147"/>
    <w:rsid w:val="00210370"/>
    <w:rsid w:val="00210EA9"/>
    <w:rsid w:val="002111C8"/>
    <w:rsid w:val="00211360"/>
    <w:rsid w:val="002113FE"/>
    <w:rsid w:val="002116CD"/>
    <w:rsid w:val="0021181A"/>
    <w:rsid w:val="002119F5"/>
    <w:rsid w:val="00211A7F"/>
    <w:rsid w:val="00211EC0"/>
    <w:rsid w:val="002120E8"/>
    <w:rsid w:val="00212256"/>
    <w:rsid w:val="0021320F"/>
    <w:rsid w:val="0021365C"/>
    <w:rsid w:val="00214BB2"/>
    <w:rsid w:val="00214BD0"/>
    <w:rsid w:val="00215268"/>
    <w:rsid w:val="00215AD7"/>
    <w:rsid w:val="00215DC5"/>
    <w:rsid w:val="00216938"/>
    <w:rsid w:val="002169C0"/>
    <w:rsid w:val="00216A7F"/>
    <w:rsid w:val="00216C36"/>
    <w:rsid w:val="00216D71"/>
    <w:rsid w:val="00216EFF"/>
    <w:rsid w:val="00217354"/>
    <w:rsid w:val="00217358"/>
    <w:rsid w:val="002174A1"/>
    <w:rsid w:val="002175CF"/>
    <w:rsid w:val="002209E1"/>
    <w:rsid w:val="00220A5F"/>
    <w:rsid w:val="00220C93"/>
    <w:rsid w:val="00220CFE"/>
    <w:rsid w:val="00220F2C"/>
    <w:rsid w:val="0022101E"/>
    <w:rsid w:val="00221445"/>
    <w:rsid w:val="002215E1"/>
    <w:rsid w:val="002217EC"/>
    <w:rsid w:val="00221E55"/>
    <w:rsid w:val="00222045"/>
    <w:rsid w:val="00222704"/>
    <w:rsid w:val="002229FB"/>
    <w:rsid w:val="00222FB7"/>
    <w:rsid w:val="0022303B"/>
    <w:rsid w:val="00223A4D"/>
    <w:rsid w:val="00223A63"/>
    <w:rsid w:val="00224120"/>
    <w:rsid w:val="002243F1"/>
    <w:rsid w:val="00224993"/>
    <w:rsid w:val="00224DE5"/>
    <w:rsid w:val="00225156"/>
    <w:rsid w:val="0022521E"/>
    <w:rsid w:val="00226707"/>
    <w:rsid w:val="00226ABB"/>
    <w:rsid w:val="00226F40"/>
    <w:rsid w:val="00227401"/>
    <w:rsid w:val="00227974"/>
    <w:rsid w:val="00227ED4"/>
    <w:rsid w:val="002302FF"/>
    <w:rsid w:val="00230512"/>
    <w:rsid w:val="002308AD"/>
    <w:rsid w:val="002309F5"/>
    <w:rsid w:val="0023125D"/>
    <w:rsid w:val="002313C1"/>
    <w:rsid w:val="0023167C"/>
    <w:rsid w:val="00231986"/>
    <w:rsid w:val="002319ED"/>
    <w:rsid w:val="00231AD4"/>
    <w:rsid w:val="0023205C"/>
    <w:rsid w:val="00232097"/>
    <w:rsid w:val="00232156"/>
    <w:rsid w:val="002321BE"/>
    <w:rsid w:val="002326C0"/>
    <w:rsid w:val="00233237"/>
    <w:rsid w:val="002332C1"/>
    <w:rsid w:val="00233821"/>
    <w:rsid w:val="00234053"/>
    <w:rsid w:val="00234103"/>
    <w:rsid w:val="00234224"/>
    <w:rsid w:val="0023483B"/>
    <w:rsid w:val="00234E05"/>
    <w:rsid w:val="00234E5A"/>
    <w:rsid w:val="00234E6C"/>
    <w:rsid w:val="0023556F"/>
    <w:rsid w:val="00235D65"/>
    <w:rsid w:val="002361FC"/>
    <w:rsid w:val="0023666B"/>
    <w:rsid w:val="00236C6C"/>
    <w:rsid w:val="00237693"/>
    <w:rsid w:val="00237777"/>
    <w:rsid w:val="00240415"/>
    <w:rsid w:val="002404A6"/>
    <w:rsid w:val="002409B7"/>
    <w:rsid w:val="00240CCC"/>
    <w:rsid w:val="00240CE6"/>
    <w:rsid w:val="00240D12"/>
    <w:rsid w:val="002415D5"/>
    <w:rsid w:val="00241612"/>
    <w:rsid w:val="0024172E"/>
    <w:rsid w:val="00241798"/>
    <w:rsid w:val="00241DDB"/>
    <w:rsid w:val="00242968"/>
    <w:rsid w:val="002435C0"/>
    <w:rsid w:val="002436E0"/>
    <w:rsid w:val="00243797"/>
    <w:rsid w:val="002437BF"/>
    <w:rsid w:val="0024401B"/>
    <w:rsid w:val="00244129"/>
    <w:rsid w:val="002441CD"/>
    <w:rsid w:val="0024474A"/>
    <w:rsid w:val="0024480C"/>
    <w:rsid w:val="00244888"/>
    <w:rsid w:val="00244C90"/>
    <w:rsid w:val="00245F5B"/>
    <w:rsid w:val="00246455"/>
    <w:rsid w:val="002467A9"/>
    <w:rsid w:val="002468C1"/>
    <w:rsid w:val="002468DB"/>
    <w:rsid w:val="002468E7"/>
    <w:rsid w:val="00246C88"/>
    <w:rsid w:val="00246E76"/>
    <w:rsid w:val="00247A38"/>
    <w:rsid w:val="002500CA"/>
    <w:rsid w:val="0025091B"/>
    <w:rsid w:val="00250AD9"/>
    <w:rsid w:val="00251414"/>
    <w:rsid w:val="002518C9"/>
    <w:rsid w:val="002518EE"/>
    <w:rsid w:val="00251B9A"/>
    <w:rsid w:val="00251C25"/>
    <w:rsid w:val="00251ED2"/>
    <w:rsid w:val="002524FF"/>
    <w:rsid w:val="00252546"/>
    <w:rsid w:val="0025274C"/>
    <w:rsid w:val="00252884"/>
    <w:rsid w:val="00252B3B"/>
    <w:rsid w:val="00252B64"/>
    <w:rsid w:val="00252DC9"/>
    <w:rsid w:val="002533EB"/>
    <w:rsid w:val="00253863"/>
    <w:rsid w:val="00253983"/>
    <w:rsid w:val="00254241"/>
    <w:rsid w:val="00254386"/>
    <w:rsid w:val="00254BC8"/>
    <w:rsid w:val="00254D1F"/>
    <w:rsid w:val="002554C3"/>
    <w:rsid w:val="0025582A"/>
    <w:rsid w:val="00255FD8"/>
    <w:rsid w:val="002564E5"/>
    <w:rsid w:val="00257085"/>
    <w:rsid w:val="002571B8"/>
    <w:rsid w:val="002572E3"/>
    <w:rsid w:val="00257319"/>
    <w:rsid w:val="002576C9"/>
    <w:rsid w:val="00257B94"/>
    <w:rsid w:val="00257DC8"/>
    <w:rsid w:val="00260CAB"/>
    <w:rsid w:val="00260D0A"/>
    <w:rsid w:val="00260DBB"/>
    <w:rsid w:val="002615F3"/>
    <w:rsid w:val="0026172A"/>
    <w:rsid w:val="00261C4C"/>
    <w:rsid w:val="00261C8F"/>
    <w:rsid w:val="00262201"/>
    <w:rsid w:val="00262848"/>
    <w:rsid w:val="00262DA9"/>
    <w:rsid w:val="0026303F"/>
    <w:rsid w:val="0026315E"/>
    <w:rsid w:val="002631AA"/>
    <w:rsid w:val="002634EC"/>
    <w:rsid w:val="0026394A"/>
    <w:rsid w:val="002641B0"/>
    <w:rsid w:val="00264269"/>
    <w:rsid w:val="00264834"/>
    <w:rsid w:val="0026491B"/>
    <w:rsid w:val="00264E04"/>
    <w:rsid w:val="00264F0A"/>
    <w:rsid w:val="00264F61"/>
    <w:rsid w:val="00265958"/>
    <w:rsid w:val="00265C47"/>
    <w:rsid w:val="00265CA3"/>
    <w:rsid w:val="00265CC5"/>
    <w:rsid w:val="00265CE7"/>
    <w:rsid w:val="00265EA4"/>
    <w:rsid w:val="002664D0"/>
    <w:rsid w:val="00266772"/>
    <w:rsid w:val="00266D7F"/>
    <w:rsid w:val="002673A2"/>
    <w:rsid w:val="0026767D"/>
    <w:rsid w:val="0026789C"/>
    <w:rsid w:val="00267AA1"/>
    <w:rsid w:val="00267AC3"/>
    <w:rsid w:val="002703A3"/>
    <w:rsid w:val="00270768"/>
    <w:rsid w:val="00270AB6"/>
    <w:rsid w:val="00270ADE"/>
    <w:rsid w:val="00270C90"/>
    <w:rsid w:val="00270CAB"/>
    <w:rsid w:val="00270CAF"/>
    <w:rsid w:val="00270D55"/>
    <w:rsid w:val="002710B6"/>
    <w:rsid w:val="00271386"/>
    <w:rsid w:val="002718E4"/>
    <w:rsid w:val="00272857"/>
    <w:rsid w:val="00272DE3"/>
    <w:rsid w:val="00272FBF"/>
    <w:rsid w:val="002735D1"/>
    <w:rsid w:val="002747BE"/>
    <w:rsid w:val="00275032"/>
    <w:rsid w:val="00275A59"/>
    <w:rsid w:val="00275EDA"/>
    <w:rsid w:val="0027615F"/>
    <w:rsid w:val="00276661"/>
    <w:rsid w:val="00276CBD"/>
    <w:rsid w:val="00276DB0"/>
    <w:rsid w:val="00277375"/>
    <w:rsid w:val="00277A04"/>
    <w:rsid w:val="00277BE2"/>
    <w:rsid w:val="00277CD8"/>
    <w:rsid w:val="00277EA6"/>
    <w:rsid w:val="002800A7"/>
    <w:rsid w:val="002805F2"/>
    <w:rsid w:val="002806E9"/>
    <w:rsid w:val="00280D38"/>
    <w:rsid w:val="00280E1D"/>
    <w:rsid w:val="00280F54"/>
    <w:rsid w:val="00281340"/>
    <w:rsid w:val="00281809"/>
    <w:rsid w:val="00281EA1"/>
    <w:rsid w:val="00282161"/>
    <w:rsid w:val="00282322"/>
    <w:rsid w:val="0028234B"/>
    <w:rsid w:val="002823AC"/>
    <w:rsid w:val="00282C66"/>
    <w:rsid w:val="00283514"/>
    <w:rsid w:val="00285447"/>
    <w:rsid w:val="00285B43"/>
    <w:rsid w:val="00285BE0"/>
    <w:rsid w:val="00285EF1"/>
    <w:rsid w:val="00285F9C"/>
    <w:rsid w:val="002862A1"/>
    <w:rsid w:val="002862EF"/>
    <w:rsid w:val="0028630E"/>
    <w:rsid w:val="00286868"/>
    <w:rsid w:val="00286AFF"/>
    <w:rsid w:val="0028700C"/>
    <w:rsid w:val="00287091"/>
    <w:rsid w:val="00287277"/>
    <w:rsid w:val="0028758D"/>
    <w:rsid w:val="00287C1D"/>
    <w:rsid w:val="00287D57"/>
    <w:rsid w:val="002905C0"/>
    <w:rsid w:val="00290A09"/>
    <w:rsid w:val="00290A86"/>
    <w:rsid w:val="00291EE9"/>
    <w:rsid w:val="002920B0"/>
    <w:rsid w:val="00292574"/>
    <w:rsid w:val="00292F56"/>
    <w:rsid w:val="002934F2"/>
    <w:rsid w:val="0029397A"/>
    <w:rsid w:val="00293C19"/>
    <w:rsid w:val="00293D6F"/>
    <w:rsid w:val="00293FE0"/>
    <w:rsid w:val="0029417D"/>
    <w:rsid w:val="002945E0"/>
    <w:rsid w:val="002947DF"/>
    <w:rsid w:val="0029547D"/>
    <w:rsid w:val="00295992"/>
    <w:rsid w:val="00295995"/>
    <w:rsid w:val="00295F41"/>
    <w:rsid w:val="00296834"/>
    <w:rsid w:val="002968CC"/>
    <w:rsid w:val="00296DCB"/>
    <w:rsid w:val="00296DF1"/>
    <w:rsid w:val="002978EB"/>
    <w:rsid w:val="00297B86"/>
    <w:rsid w:val="00297DC7"/>
    <w:rsid w:val="002A00E3"/>
    <w:rsid w:val="002A0E8C"/>
    <w:rsid w:val="002A23A1"/>
    <w:rsid w:val="002A2A40"/>
    <w:rsid w:val="002A325C"/>
    <w:rsid w:val="002A33F3"/>
    <w:rsid w:val="002A3703"/>
    <w:rsid w:val="002A3ADA"/>
    <w:rsid w:val="002A4240"/>
    <w:rsid w:val="002A44CB"/>
    <w:rsid w:val="002A4BAF"/>
    <w:rsid w:val="002A4C2D"/>
    <w:rsid w:val="002A510A"/>
    <w:rsid w:val="002A57BC"/>
    <w:rsid w:val="002A5976"/>
    <w:rsid w:val="002A5C66"/>
    <w:rsid w:val="002A5D01"/>
    <w:rsid w:val="002A5F1B"/>
    <w:rsid w:val="002A5F25"/>
    <w:rsid w:val="002A63DA"/>
    <w:rsid w:val="002A690C"/>
    <w:rsid w:val="002A6B28"/>
    <w:rsid w:val="002A732F"/>
    <w:rsid w:val="002A7508"/>
    <w:rsid w:val="002A7E08"/>
    <w:rsid w:val="002A7E2E"/>
    <w:rsid w:val="002B031F"/>
    <w:rsid w:val="002B0570"/>
    <w:rsid w:val="002B0C1D"/>
    <w:rsid w:val="002B1198"/>
    <w:rsid w:val="002B13BF"/>
    <w:rsid w:val="002B165C"/>
    <w:rsid w:val="002B1683"/>
    <w:rsid w:val="002B1EBD"/>
    <w:rsid w:val="002B250D"/>
    <w:rsid w:val="002B26D9"/>
    <w:rsid w:val="002B28BB"/>
    <w:rsid w:val="002B28D5"/>
    <w:rsid w:val="002B2DE2"/>
    <w:rsid w:val="002B2EE3"/>
    <w:rsid w:val="002B33FE"/>
    <w:rsid w:val="002B3DF4"/>
    <w:rsid w:val="002B3EA7"/>
    <w:rsid w:val="002B4478"/>
    <w:rsid w:val="002B475E"/>
    <w:rsid w:val="002B47EE"/>
    <w:rsid w:val="002B4E4A"/>
    <w:rsid w:val="002B5230"/>
    <w:rsid w:val="002B5D4F"/>
    <w:rsid w:val="002B5F22"/>
    <w:rsid w:val="002B5F2E"/>
    <w:rsid w:val="002B6561"/>
    <w:rsid w:val="002B65D4"/>
    <w:rsid w:val="002B69B5"/>
    <w:rsid w:val="002B71F9"/>
    <w:rsid w:val="002B75C0"/>
    <w:rsid w:val="002B79FC"/>
    <w:rsid w:val="002B7D46"/>
    <w:rsid w:val="002C0148"/>
    <w:rsid w:val="002C0671"/>
    <w:rsid w:val="002C0F10"/>
    <w:rsid w:val="002C0FA7"/>
    <w:rsid w:val="002C174F"/>
    <w:rsid w:val="002C1924"/>
    <w:rsid w:val="002C1A3E"/>
    <w:rsid w:val="002C264E"/>
    <w:rsid w:val="002C2818"/>
    <w:rsid w:val="002C2AFC"/>
    <w:rsid w:val="002C2C28"/>
    <w:rsid w:val="002C375F"/>
    <w:rsid w:val="002C379C"/>
    <w:rsid w:val="002C3C5B"/>
    <w:rsid w:val="002C538E"/>
    <w:rsid w:val="002C5571"/>
    <w:rsid w:val="002C57D9"/>
    <w:rsid w:val="002C5AA7"/>
    <w:rsid w:val="002C5BA9"/>
    <w:rsid w:val="002C5C98"/>
    <w:rsid w:val="002C6F2B"/>
    <w:rsid w:val="002C78B5"/>
    <w:rsid w:val="002D004F"/>
    <w:rsid w:val="002D0190"/>
    <w:rsid w:val="002D0D02"/>
    <w:rsid w:val="002D1358"/>
    <w:rsid w:val="002D162A"/>
    <w:rsid w:val="002D1D36"/>
    <w:rsid w:val="002D2094"/>
    <w:rsid w:val="002D2A90"/>
    <w:rsid w:val="002D2AFD"/>
    <w:rsid w:val="002D2FCE"/>
    <w:rsid w:val="002D310A"/>
    <w:rsid w:val="002D31B1"/>
    <w:rsid w:val="002D32D5"/>
    <w:rsid w:val="002D399A"/>
    <w:rsid w:val="002D3CA6"/>
    <w:rsid w:val="002D41F4"/>
    <w:rsid w:val="002D4726"/>
    <w:rsid w:val="002D47C1"/>
    <w:rsid w:val="002D49C5"/>
    <w:rsid w:val="002D4F7C"/>
    <w:rsid w:val="002D5803"/>
    <w:rsid w:val="002D5BAB"/>
    <w:rsid w:val="002D5C81"/>
    <w:rsid w:val="002D5DEC"/>
    <w:rsid w:val="002D6480"/>
    <w:rsid w:val="002D6702"/>
    <w:rsid w:val="002D6E92"/>
    <w:rsid w:val="002D721D"/>
    <w:rsid w:val="002D79FF"/>
    <w:rsid w:val="002D7B37"/>
    <w:rsid w:val="002D7CFB"/>
    <w:rsid w:val="002D7FDB"/>
    <w:rsid w:val="002E0011"/>
    <w:rsid w:val="002E029C"/>
    <w:rsid w:val="002E0401"/>
    <w:rsid w:val="002E078B"/>
    <w:rsid w:val="002E0840"/>
    <w:rsid w:val="002E092D"/>
    <w:rsid w:val="002E0989"/>
    <w:rsid w:val="002E0BAE"/>
    <w:rsid w:val="002E0C88"/>
    <w:rsid w:val="002E0D35"/>
    <w:rsid w:val="002E0E2F"/>
    <w:rsid w:val="002E10DF"/>
    <w:rsid w:val="002E1127"/>
    <w:rsid w:val="002E114D"/>
    <w:rsid w:val="002E1341"/>
    <w:rsid w:val="002E16F8"/>
    <w:rsid w:val="002E1C4F"/>
    <w:rsid w:val="002E2593"/>
    <w:rsid w:val="002E26A1"/>
    <w:rsid w:val="002E2A33"/>
    <w:rsid w:val="002E2D23"/>
    <w:rsid w:val="002E2DC3"/>
    <w:rsid w:val="002E2F95"/>
    <w:rsid w:val="002E30BA"/>
    <w:rsid w:val="002E30E5"/>
    <w:rsid w:val="002E3137"/>
    <w:rsid w:val="002E3D00"/>
    <w:rsid w:val="002E4415"/>
    <w:rsid w:val="002E44A6"/>
    <w:rsid w:val="002E5659"/>
    <w:rsid w:val="002E61DE"/>
    <w:rsid w:val="002E6321"/>
    <w:rsid w:val="002E64FD"/>
    <w:rsid w:val="002E654D"/>
    <w:rsid w:val="002E66C9"/>
    <w:rsid w:val="002E6B30"/>
    <w:rsid w:val="002E6ED2"/>
    <w:rsid w:val="002E7AE2"/>
    <w:rsid w:val="002E7E32"/>
    <w:rsid w:val="002F0172"/>
    <w:rsid w:val="002F033F"/>
    <w:rsid w:val="002F0409"/>
    <w:rsid w:val="002F0588"/>
    <w:rsid w:val="002F0E28"/>
    <w:rsid w:val="002F0FC0"/>
    <w:rsid w:val="002F158C"/>
    <w:rsid w:val="002F171E"/>
    <w:rsid w:val="002F17B4"/>
    <w:rsid w:val="002F196D"/>
    <w:rsid w:val="002F1B05"/>
    <w:rsid w:val="002F1BDB"/>
    <w:rsid w:val="002F223F"/>
    <w:rsid w:val="002F267D"/>
    <w:rsid w:val="002F2844"/>
    <w:rsid w:val="002F3069"/>
    <w:rsid w:val="002F338A"/>
    <w:rsid w:val="002F342F"/>
    <w:rsid w:val="002F3B15"/>
    <w:rsid w:val="002F3B7E"/>
    <w:rsid w:val="002F3C99"/>
    <w:rsid w:val="002F3D6D"/>
    <w:rsid w:val="002F491C"/>
    <w:rsid w:val="002F4A4E"/>
    <w:rsid w:val="002F4EF4"/>
    <w:rsid w:val="002F4F68"/>
    <w:rsid w:val="002F56F1"/>
    <w:rsid w:val="002F5884"/>
    <w:rsid w:val="002F58CA"/>
    <w:rsid w:val="002F5C88"/>
    <w:rsid w:val="002F61CC"/>
    <w:rsid w:val="002F63C6"/>
    <w:rsid w:val="002F6461"/>
    <w:rsid w:val="002F7278"/>
    <w:rsid w:val="002F74B7"/>
    <w:rsid w:val="002F7768"/>
    <w:rsid w:val="002F79F1"/>
    <w:rsid w:val="003004DE"/>
    <w:rsid w:val="00300502"/>
    <w:rsid w:val="003005EC"/>
    <w:rsid w:val="00300CE7"/>
    <w:rsid w:val="00300D98"/>
    <w:rsid w:val="00300DA7"/>
    <w:rsid w:val="00300E61"/>
    <w:rsid w:val="00301063"/>
    <w:rsid w:val="003011CB"/>
    <w:rsid w:val="00301DAD"/>
    <w:rsid w:val="003023E9"/>
    <w:rsid w:val="003025D0"/>
    <w:rsid w:val="0030275C"/>
    <w:rsid w:val="00302B11"/>
    <w:rsid w:val="00303477"/>
    <w:rsid w:val="00303A16"/>
    <w:rsid w:val="00304228"/>
    <w:rsid w:val="00304E06"/>
    <w:rsid w:val="00305395"/>
    <w:rsid w:val="003056E3"/>
    <w:rsid w:val="00305C1F"/>
    <w:rsid w:val="00305E91"/>
    <w:rsid w:val="003064AD"/>
    <w:rsid w:val="0030687F"/>
    <w:rsid w:val="00306FA3"/>
    <w:rsid w:val="003071CD"/>
    <w:rsid w:val="00307B36"/>
    <w:rsid w:val="00307E79"/>
    <w:rsid w:val="0031019A"/>
    <w:rsid w:val="00310A6D"/>
    <w:rsid w:val="00310CCF"/>
    <w:rsid w:val="00310DA0"/>
    <w:rsid w:val="00310E07"/>
    <w:rsid w:val="00311426"/>
    <w:rsid w:val="00311796"/>
    <w:rsid w:val="0031200A"/>
    <w:rsid w:val="00312606"/>
    <w:rsid w:val="003126BA"/>
    <w:rsid w:val="00312753"/>
    <w:rsid w:val="00312CC0"/>
    <w:rsid w:val="0031349B"/>
    <w:rsid w:val="00313D64"/>
    <w:rsid w:val="00313E6F"/>
    <w:rsid w:val="003149DA"/>
    <w:rsid w:val="003149F0"/>
    <w:rsid w:val="0031539F"/>
    <w:rsid w:val="0031591F"/>
    <w:rsid w:val="00315B64"/>
    <w:rsid w:val="00315CCF"/>
    <w:rsid w:val="00315EB9"/>
    <w:rsid w:val="00316A0C"/>
    <w:rsid w:val="003171DF"/>
    <w:rsid w:val="003171F7"/>
    <w:rsid w:val="00317445"/>
    <w:rsid w:val="0031745E"/>
    <w:rsid w:val="003175CC"/>
    <w:rsid w:val="003176A4"/>
    <w:rsid w:val="003176D0"/>
    <w:rsid w:val="00317D2A"/>
    <w:rsid w:val="00320254"/>
    <w:rsid w:val="0032074B"/>
    <w:rsid w:val="00320BF6"/>
    <w:rsid w:val="00320CFC"/>
    <w:rsid w:val="003213F0"/>
    <w:rsid w:val="00321604"/>
    <w:rsid w:val="00322134"/>
    <w:rsid w:val="00322C8E"/>
    <w:rsid w:val="003231F4"/>
    <w:rsid w:val="00323206"/>
    <w:rsid w:val="00323584"/>
    <w:rsid w:val="00323711"/>
    <w:rsid w:val="00323FAB"/>
    <w:rsid w:val="003247DC"/>
    <w:rsid w:val="00324A20"/>
    <w:rsid w:val="00324C75"/>
    <w:rsid w:val="003250A6"/>
    <w:rsid w:val="003252DF"/>
    <w:rsid w:val="003252E6"/>
    <w:rsid w:val="00325D34"/>
    <w:rsid w:val="00325F16"/>
    <w:rsid w:val="0032664F"/>
    <w:rsid w:val="00326870"/>
    <w:rsid w:val="00326875"/>
    <w:rsid w:val="0032738E"/>
    <w:rsid w:val="0032741A"/>
    <w:rsid w:val="003276B7"/>
    <w:rsid w:val="003277DE"/>
    <w:rsid w:val="00327D58"/>
    <w:rsid w:val="00327F3D"/>
    <w:rsid w:val="00330046"/>
    <w:rsid w:val="0033013F"/>
    <w:rsid w:val="0033090C"/>
    <w:rsid w:val="00331524"/>
    <w:rsid w:val="00331649"/>
    <w:rsid w:val="003319DE"/>
    <w:rsid w:val="00331A31"/>
    <w:rsid w:val="00331BAB"/>
    <w:rsid w:val="00331BCD"/>
    <w:rsid w:val="00332027"/>
    <w:rsid w:val="003321F8"/>
    <w:rsid w:val="00332212"/>
    <w:rsid w:val="0033249D"/>
    <w:rsid w:val="0033286D"/>
    <w:rsid w:val="00332E9C"/>
    <w:rsid w:val="0033350A"/>
    <w:rsid w:val="00333AE1"/>
    <w:rsid w:val="00333D96"/>
    <w:rsid w:val="003343F5"/>
    <w:rsid w:val="00334D62"/>
    <w:rsid w:val="00334E72"/>
    <w:rsid w:val="00335292"/>
    <w:rsid w:val="00335B3B"/>
    <w:rsid w:val="003364FA"/>
    <w:rsid w:val="00336A62"/>
    <w:rsid w:val="00336AD4"/>
    <w:rsid w:val="0033734B"/>
    <w:rsid w:val="003379F5"/>
    <w:rsid w:val="00337EEB"/>
    <w:rsid w:val="003407B1"/>
    <w:rsid w:val="0034080D"/>
    <w:rsid w:val="00340B62"/>
    <w:rsid w:val="00341486"/>
    <w:rsid w:val="00341AF6"/>
    <w:rsid w:val="00341E10"/>
    <w:rsid w:val="00342266"/>
    <w:rsid w:val="00342C54"/>
    <w:rsid w:val="00342E6A"/>
    <w:rsid w:val="00342FB7"/>
    <w:rsid w:val="00343EFA"/>
    <w:rsid w:val="003447B1"/>
    <w:rsid w:val="00344C60"/>
    <w:rsid w:val="00344D57"/>
    <w:rsid w:val="00344F36"/>
    <w:rsid w:val="00345374"/>
    <w:rsid w:val="00345958"/>
    <w:rsid w:val="00345E63"/>
    <w:rsid w:val="00347C73"/>
    <w:rsid w:val="003501B3"/>
    <w:rsid w:val="00351247"/>
    <w:rsid w:val="00351352"/>
    <w:rsid w:val="003513A4"/>
    <w:rsid w:val="00351B26"/>
    <w:rsid w:val="00351F60"/>
    <w:rsid w:val="003525F5"/>
    <w:rsid w:val="00353411"/>
    <w:rsid w:val="003534A8"/>
    <w:rsid w:val="003534C4"/>
    <w:rsid w:val="0035360B"/>
    <w:rsid w:val="0035390B"/>
    <w:rsid w:val="00353D36"/>
    <w:rsid w:val="00354255"/>
    <w:rsid w:val="003543A6"/>
    <w:rsid w:val="00354718"/>
    <w:rsid w:val="0035513A"/>
    <w:rsid w:val="00355EF5"/>
    <w:rsid w:val="00355F09"/>
    <w:rsid w:val="0035687C"/>
    <w:rsid w:val="003568DE"/>
    <w:rsid w:val="0035690C"/>
    <w:rsid w:val="00356C9B"/>
    <w:rsid w:val="00356D34"/>
    <w:rsid w:val="003571A4"/>
    <w:rsid w:val="003571D6"/>
    <w:rsid w:val="00357485"/>
    <w:rsid w:val="0035769A"/>
    <w:rsid w:val="00357D20"/>
    <w:rsid w:val="00357E8F"/>
    <w:rsid w:val="003600DB"/>
    <w:rsid w:val="00360109"/>
    <w:rsid w:val="0036016A"/>
    <w:rsid w:val="0036055A"/>
    <w:rsid w:val="003605AD"/>
    <w:rsid w:val="003611D5"/>
    <w:rsid w:val="00361643"/>
    <w:rsid w:val="003617F6"/>
    <w:rsid w:val="003618B1"/>
    <w:rsid w:val="00361BC2"/>
    <w:rsid w:val="003624C0"/>
    <w:rsid w:val="0036296A"/>
    <w:rsid w:val="003629E1"/>
    <w:rsid w:val="00362C10"/>
    <w:rsid w:val="00362CD8"/>
    <w:rsid w:val="00363373"/>
    <w:rsid w:val="003639BE"/>
    <w:rsid w:val="00363BA5"/>
    <w:rsid w:val="00363BC8"/>
    <w:rsid w:val="00363E40"/>
    <w:rsid w:val="0036475C"/>
    <w:rsid w:val="00364BBF"/>
    <w:rsid w:val="00364DAB"/>
    <w:rsid w:val="00364DDE"/>
    <w:rsid w:val="00365103"/>
    <w:rsid w:val="00365243"/>
    <w:rsid w:val="00365449"/>
    <w:rsid w:val="00365942"/>
    <w:rsid w:val="003661B7"/>
    <w:rsid w:val="003666DB"/>
    <w:rsid w:val="003667BB"/>
    <w:rsid w:val="00366870"/>
    <w:rsid w:val="00366A8E"/>
    <w:rsid w:val="00366EDB"/>
    <w:rsid w:val="00367022"/>
    <w:rsid w:val="003670DF"/>
    <w:rsid w:val="003676A2"/>
    <w:rsid w:val="00367879"/>
    <w:rsid w:val="00367958"/>
    <w:rsid w:val="0037000C"/>
    <w:rsid w:val="003700D0"/>
    <w:rsid w:val="00370E5A"/>
    <w:rsid w:val="003711AB"/>
    <w:rsid w:val="0037165B"/>
    <w:rsid w:val="0037187F"/>
    <w:rsid w:val="003723D5"/>
    <w:rsid w:val="0037260E"/>
    <w:rsid w:val="00373AB6"/>
    <w:rsid w:val="00373BA9"/>
    <w:rsid w:val="003741D3"/>
    <w:rsid w:val="003743D7"/>
    <w:rsid w:val="003746B5"/>
    <w:rsid w:val="0037472F"/>
    <w:rsid w:val="00374CEA"/>
    <w:rsid w:val="00374F5E"/>
    <w:rsid w:val="0037580E"/>
    <w:rsid w:val="003758C5"/>
    <w:rsid w:val="00375B18"/>
    <w:rsid w:val="00375B45"/>
    <w:rsid w:val="00376694"/>
    <w:rsid w:val="00376D15"/>
    <w:rsid w:val="0038006D"/>
    <w:rsid w:val="003800E9"/>
    <w:rsid w:val="003800F8"/>
    <w:rsid w:val="00380521"/>
    <w:rsid w:val="003805DD"/>
    <w:rsid w:val="00380D2B"/>
    <w:rsid w:val="00380EBA"/>
    <w:rsid w:val="00381247"/>
    <w:rsid w:val="00381574"/>
    <w:rsid w:val="003817E5"/>
    <w:rsid w:val="00381F1E"/>
    <w:rsid w:val="00382229"/>
    <w:rsid w:val="00382590"/>
    <w:rsid w:val="003833F4"/>
    <w:rsid w:val="003836B8"/>
    <w:rsid w:val="00383B61"/>
    <w:rsid w:val="00383BB7"/>
    <w:rsid w:val="00383CB6"/>
    <w:rsid w:val="00383F0F"/>
    <w:rsid w:val="00384028"/>
    <w:rsid w:val="0038487A"/>
    <w:rsid w:val="00384A64"/>
    <w:rsid w:val="0038514B"/>
    <w:rsid w:val="00385541"/>
    <w:rsid w:val="00385DF9"/>
    <w:rsid w:val="00385E2C"/>
    <w:rsid w:val="003860A4"/>
    <w:rsid w:val="00386415"/>
    <w:rsid w:val="003867D5"/>
    <w:rsid w:val="0038693E"/>
    <w:rsid w:val="00386A52"/>
    <w:rsid w:val="003871C8"/>
    <w:rsid w:val="00387762"/>
    <w:rsid w:val="00387770"/>
    <w:rsid w:val="00387982"/>
    <w:rsid w:val="00387AD8"/>
    <w:rsid w:val="00387E20"/>
    <w:rsid w:val="00387F19"/>
    <w:rsid w:val="00387FF3"/>
    <w:rsid w:val="00390082"/>
    <w:rsid w:val="00390716"/>
    <w:rsid w:val="0039087B"/>
    <w:rsid w:val="00390961"/>
    <w:rsid w:val="00390BBC"/>
    <w:rsid w:val="00390C6A"/>
    <w:rsid w:val="00391077"/>
    <w:rsid w:val="003910FF"/>
    <w:rsid w:val="00391650"/>
    <w:rsid w:val="003916F4"/>
    <w:rsid w:val="003917FC"/>
    <w:rsid w:val="003920E6"/>
    <w:rsid w:val="003921C4"/>
    <w:rsid w:val="0039271C"/>
    <w:rsid w:val="00392A12"/>
    <w:rsid w:val="00392A68"/>
    <w:rsid w:val="00393358"/>
    <w:rsid w:val="0039378C"/>
    <w:rsid w:val="00393DAD"/>
    <w:rsid w:val="00394A69"/>
    <w:rsid w:val="00395700"/>
    <w:rsid w:val="00395866"/>
    <w:rsid w:val="00395E7F"/>
    <w:rsid w:val="00395F4F"/>
    <w:rsid w:val="00396342"/>
    <w:rsid w:val="0039650D"/>
    <w:rsid w:val="00396737"/>
    <w:rsid w:val="00396952"/>
    <w:rsid w:val="00397BAA"/>
    <w:rsid w:val="00397C83"/>
    <w:rsid w:val="00397CBE"/>
    <w:rsid w:val="00397E83"/>
    <w:rsid w:val="003A0032"/>
    <w:rsid w:val="003A00A0"/>
    <w:rsid w:val="003A0389"/>
    <w:rsid w:val="003A087A"/>
    <w:rsid w:val="003A0902"/>
    <w:rsid w:val="003A1816"/>
    <w:rsid w:val="003A19E7"/>
    <w:rsid w:val="003A19F2"/>
    <w:rsid w:val="003A1A91"/>
    <w:rsid w:val="003A1AC8"/>
    <w:rsid w:val="003A1BF5"/>
    <w:rsid w:val="003A1C6F"/>
    <w:rsid w:val="003A1F13"/>
    <w:rsid w:val="003A20AC"/>
    <w:rsid w:val="003A2226"/>
    <w:rsid w:val="003A270A"/>
    <w:rsid w:val="003A2D45"/>
    <w:rsid w:val="003A2D83"/>
    <w:rsid w:val="003A2F7B"/>
    <w:rsid w:val="003A31E5"/>
    <w:rsid w:val="003A31FC"/>
    <w:rsid w:val="003A34B0"/>
    <w:rsid w:val="003A3CA7"/>
    <w:rsid w:val="003A3D1D"/>
    <w:rsid w:val="003A4277"/>
    <w:rsid w:val="003A4553"/>
    <w:rsid w:val="003A456A"/>
    <w:rsid w:val="003A45B0"/>
    <w:rsid w:val="003A486B"/>
    <w:rsid w:val="003A48F3"/>
    <w:rsid w:val="003A49BD"/>
    <w:rsid w:val="003A4E06"/>
    <w:rsid w:val="003A4E8B"/>
    <w:rsid w:val="003A53B7"/>
    <w:rsid w:val="003A57B0"/>
    <w:rsid w:val="003A5C86"/>
    <w:rsid w:val="003A5F25"/>
    <w:rsid w:val="003A682A"/>
    <w:rsid w:val="003A6DDF"/>
    <w:rsid w:val="003A72F4"/>
    <w:rsid w:val="003A73CB"/>
    <w:rsid w:val="003A79B4"/>
    <w:rsid w:val="003A7F7B"/>
    <w:rsid w:val="003B01F3"/>
    <w:rsid w:val="003B0264"/>
    <w:rsid w:val="003B03FE"/>
    <w:rsid w:val="003B079F"/>
    <w:rsid w:val="003B07CF"/>
    <w:rsid w:val="003B09C5"/>
    <w:rsid w:val="003B0E27"/>
    <w:rsid w:val="003B0EC9"/>
    <w:rsid w:val="003B17DE"/>
    <w:rsid w:val="003B20E0"/>
    <w:rsid w:val="003B27BC"/>
    <w:rsid w:val="003B285C"/>
    <w:rsid w:val="003B28FC"/>
    <w:rsid w:val="003B2960"/>
    <w:rsid w:val="003B2E69"/>
    <w:rsid w:val="003B304E"/>
    <w:rsid w:val="003B382E"/>
    <w:rsid w:val="003B40F7"/>
    <w:rsid w:val="003B458F"/>
    <w:rsid w:val="003B4E34"/>
    <w:rsid w:val="003B4FE3"/>
    <w:rsid w:val="003B514F"/>
    <w:rsid w:val="003B51C3"/>
    <w:rsid w:val="003B56CD"/>
    <w:rsid w:val="003B6229"/>
    <w:rsid w:val="003B62AA"/>
    <w:rsid w:val="003B6307"/>
    <w:rsid w:val="003B6E77"/>
    <w:rsid w:val="003B6EA5"/>
    <w:rsid w:val="003B76A5"/>
    <w:rsid w:val="003C0539"/>
    <w:rsid w:val="003C08C4"/>
    <w:rsid w:val="003C0B54"/>
    <w:rsid w:val="003C1228"/>
    <w:rsid w:val="003C1A12"/>
    <w:rsid w:val="003C246F"/>
    <w:rsid w:val="003C25F8"/>
    <w:rsid w:val="003C28C9"/>
    <w:rsid w:val="003C2ADC"/>
    <w:rsid w:val="003C3085"/>
    <w:rsid w:val="003C3442"/>
    <w:rsid w:val="003C34CD"/>
    <w:rsid w:val="003C4848"/>
    <w:rsid w:val="003C4BC7"/>
    <w:rsid w:val="003C4CCF"/>
    <w:rsid w:val="003C51B2"/>
    <w:rsid w:val="003C54BC"/>
    <w:rsid w:val="003C563E"/>
    <w:rsid w:val="003C5A70"/>
    <w:rsid w:val="003C5E03"/>
    <w:rsid w:val="003C6EC1"/>
    <w:rsid w:val="003C6FE1"/>
    <w:rsid w:val="003C7543"/>
    <w:rsid w:val="003C76E7"/>
    <w:rsid w:val="003C7D59"/>
    <w:rsid w:val="003C7DE0"/>
    <w:rsid w:val="003D004D"/>
    <w:rsid w:val="003D019A"/>
    <w:rsid w:val="003D0329"/>
    <w:rsid w:val="003D0404"/>
    <w:rsid w:val="003D0703"/>
    <w:rsid w:val="003D0837"/>
    <w:rsid w:val="003D1456"/>
    <w:rsid w:val="003D1493"/>
    <w:rsid w:val="003D1E77"/>
    <w:rsid w:val="003D23AD"/>
    <w:rsid w:val="003D24C3"/>
    <w:rsid w:val="003D2CFC"/>
    <w:rsid w:val="003D2FFB"/>
    <w:rsid w:val="003D33B6"/>
    <w:rsid w:val="003D3A60"/>
    <w:rsid w:val="003D3BF6"/>
    <w:rsid w:val="003D450C"/>
    <w:rsid w:val="003D4E8C"/>
    <w:rsid w:val="003D5219"/>
    <w:rsid w:val="003D54EE"/>
    <w:rsid w:val="003D5E12"/>
    <w:rsid w:val="003D5F0F"/>
    <w:rsid w:val="003D6273"/>
    <w:rsid w:val="003D7C8E"/>
    <w:rsid w:val="003D7F38"/>
    <w:rsid w:val="003E0001"/>
    <w:rsid w:val="003E016C"/>
    <w:rsid w:val="003E0484"/>
    <w:rsid w:val="003E06CD"/>
    <w:rsid w:val="003E0D14"/>
    <w:rsid w:val="003E1849"/>
    <w:rsid w:val="003E2D8A"/>
    <w:rsid w:val="003E34AA"/>
    <w:rsid w:val="003E350B"/>
    <w:rsid w:val="003E354A"/>
    <w:rsid w:val="003E4193"/>
    <w:rsid w:val="003E48CF"/>
    <w:rsid w:val="003E4982"/>
    <w:rsid w:val="003E4EB4"/>
    <w:rsid w:val="003E5163"/>
    <w:rsid w:val="003E524B"/>
    <w:rsid w:val="003E5287"/>
    <w:rsid w:val="003E5389"/>
    <w:rsid w:val="003E53B9"/>
    <w:rsid w:val="003E582C"/>
    <w:rsid w:val="003E5B94"/>
    <w:rsid w:val="003E614E"/>
    <w:rsid w:val="003E631A"/>
    <w:rsid w:val="003E651D"/>
    <w:rsid w:val="003E685E"/>
    <w:rsid w:val="003E68CD"/>
    <w:rsid w:val="003E6A3F"/>
    <w:rsid w:val="003E6E41"/>
    <w:rsid w:val="003E7181"/>
    <w:rsid w:val="003E7C69"/>
    <w:rsid w:val="003F0088"/>
    <w:rsid w:val="003F01E0"/>
    <w:rsid w:val="003F10B4"/>
    <w:rsid w:val="003F14CF"/>
    <w:rsid w:val="003F15F6"/>
    <w:rsid w:val="003F168E"/>
    <w:rsid w:val="003F1815"/>
    <w:rsid w:val="003F195F"/>
    <w:rsid w:val="003F1B92"/>
    <w:rsid w:val="003F2009"/>
    <w:rsid w:val="003F26A5"/>
    <w:rsid w:val="003F2E1B"/>
    <w:rsid w:val="003F3372"/>
    <w:rsid w:val="003F394F"/>
    <w:rsid w:val="003F3CCD"/>
    <w:rsid w:val="003F475E"/>
    <w:rsid w:val="003F4B79"/>
    <w:rsid w:val="003F4EC0"/>
    <w:rsid w:val="003F5536"/>
    <w:rsid w:val="003F5722"/>
    <w:rsid w:val="003F5CF5"/>
    <w:rsid w:val="003F5EBD"/>
    <w:rsid w:val="003F61BF"/>
    <w:rsid w:val="003F6909"/>
    <w:rsid w:val="003F69D0"/>
    <w:rsid w:val="003F724C"/>
    <w:rsid w:val="003F747E"/>
    <w:rsid w:val="003F784F"/>
    <w:rsid w:val="003F792C"/>
    <w:rsid w:val="003F7B92"/>
    <w:rsid w:val="004005B7"/>
    <w:rsid w:val="00400A32"/>
    <w:rsid w:val="0040143E"/>
    <w:rsid w:val="00401A1C"/>
    <w:rsid w:val="00401AA3"/>
    <w:rsid w:val="00401FBF"/>
    <w:rsid w:val="004020CE"/>
    <w:rsid w:val="00402125"/>
    <w:rsid w:val="004026C8"/>
    <w:rsid w:val="00402C2B"/>
    <w:rsid w:val="00403280"/>
    <w:rsid w:val="00403AC2"/>
    <w:rsid w:val="00404151"/>
    <w:rsid w:val="0040475B"/>
    <w:rsid w:val="00404881"/>
    <w:rsid w:val="004051D6"/>
    <w:rsid w:val="00405A98"/>
    <w:rsid w:val="00405B03"/>
    <w:rsid w:val="00405B92"/>
    <w:rsid w:val="00405CA0"/>
    <w:rsid w:val="00405EBF"/>
    <w:rsid w:val="0040633F"/>
    <w:rsid w:val="0040640A"/>
    <w:rsid w:val="00406DE7"/>
    <w:rsid w:val="004072D7"/>
    <w:rsid w:val="00407383"/>
    <w:rsid w:val="004075E4"/>
    <w:rsid w:val="004075FA"/>
    <w:rsid w:val="00410159"/>
    <w:rsid w:val="0041021F"/>
    <w:rsid w:val="00410555"/>
    <w:rsid w:val="00410A79"/>
    <w:rsid w:val="00411B36"/>
    <w:rsid w:val="00412E6A"/>
    <w:rsid w:val="0041328C"/>
    <w:rsid w:val="004135A9"/>
    <w:rsid w:val="004138BD"/>
    <w:rsid w:val="00413C11"/>
    <w:rsid w:val="00413C21"/>
    <w:rsid w:val="00414A09"/>
    <w:rsid w:val="00414A9B"/>
    <w:rsid w:val="00414BE4"/>
    <w:rsid w:val="00414E03"/>
    <w:rsid w:val="00415001"/>
    <w:rsid w:val="00415311"/>
    <w:rsid w:val="00415758"/>
    <w:rsid w:val="00415B1A"/>
    <w:rsid w:val="00415D6A"/>
    <w:rsid w:val="0041614F"/>
    <w:rsid w:val="0041633E"/>
    <w:rsid w:val="00416873"/>
    <w:rsid w:val="00416F21"/>
    <w:rsid w:val="00416F91"/>
    <w:rsid w:val="00417A6A"/>
    <w:rsid w:val="00417C74"/>
    <w:rsid w:val="00417CDC"/>
    <w:rsid w:val="00417DB2"/>
    <w:rsid w:val="004203D2"/>
    <w:rsid w:val="004203DF"/>
    <w:rsid w:val="004212AE"/>
    <w:rsid w:val="00421E17"/>
    <w:rsid w:val="004222F7"/>
    <w:rsid w:val="0042291E"/>
    <w:rsid w:val="00422BA1"/>
    <w:rsid w:val="00422BBE"/>
    <w:rsid w:val="0042536B"/>
    <w:rsid w:val="00425560"/>
    <w:rsid w:val="00425955"/>
    <w:rsid w:val="0042598A"/>
    <w:rsid w:val="00426273"/>
    <w:rsid w:val="004268B3"/>
    <w:rsid w:val="00426BDA"/>
    <w:rsid w:val="00426BFA"/>
    <w:rsid w:val="00427024"/>
    <w:rsid w:val="0042705B"/>
    <w:rsid w:val="0042753F"/>
    <w:rsid w:val="0042763B"/>
    <w:rsid w:val="004304A0"/>
    <w:rsid w:val="00430723"/>
    <w:rsid w:val="00430C53"/>
    <w:rsid w:val="00430E00"/>
    <w:rsid w:val="00430FF0"/>
    <w:rsid w:val="00431135"/>
    <w:rsid w:val="0043179A"/>
    <w:rsid w:val="00431B83"/>
    <w:rsid w:val="00431D3C"/>
    <w:rsid w:val="00431EE8"/>
    <w:rsid w:val="0043212E"/>
    <w:rsid w:val="00432378"/>
    <w:rsid w:val="00432E1B"/>
    <w:rsid w:val="00433467"/>
    <w:rsid w:val="004334FA"/>
    <w:rsid w:val="004336B6"/>
    <w:rsid w:val="004337BE"/>
    <w:rsid w:val="00433C63"/>
    <w:rsid w:val="00433CB4"/>
    <w:rsid w:val="00433F48"/>
    <w:rsid w:val="00433F96"/>
    <w:rsid w:val="00434591"/>
    <w:rsid w:val="0043474C"/>
    <w:rsid w:val="004350D1"/>
    <w:rsid w:val="00435533"/>
    <w:rsid w:val="00435B64"/>
    <w:rsid w:val="0043605C"/>
    <w:rsid w:val="004364C1"/>
    <w:rsid w:val="00436619"/>
    <w:rsid w:val="00436659"/>
    <w:rsid w:val="00436C4F"/>
    <w:rsid w:val="004372A8"/>
    <w:rsid w:val="004374C0"/>
    <w:rsid w:val="00437A93"/>
    <w:rsid w:val="00437AE2"/>
    <w:rsid w:val="00437D91"/>
    <w:rsid w:val="00440013"/>
    <w:rsid w:val="00440169"/>
    <w:rsid w:val="00440288"/>
    <w:rsid w:val="004402F3"/>
    <w:rsid w:val="00440520"/>
    <w:rsid w:val="004408B4"/>
    <w:rsid w:val="004408BA"/>
    <w:rsid w:val="00440F38"/>
    <w:rsid w:val="00441198"/>
    <w:rsid w:val="00441B96"/>
    <w:rsid w:val="00441C79"/>
    <w:rsid w:val="004426E7"/>
    <w:rsid w:val="00442A77"/>
    <w:rsid w:val="00443051"/>
    <w:rsid w:val="004432A2"/>
    <w:rsid w:val="0044376C"/>
    <w:rsid w:val="00443777"/>
    <w:rsid w:val="004437B2"/>
    <w:rsid w:val="00443F30"/>
    <w:rsid w:val="0044404A"/>
    <w:rsid w:val="00444440"/>
    <w:rsid w:val="00444DFC"/>
    <w:rsid w:val="00445276"/>
    <w:rsid w:val="0044548C"/>
    <w:rsid w:val="00445860"/>
    <w:rsid w:val="004459D9"/>
    <w:rsid w:val="00445BF1"/>
    <w:rsid w:val="00445C17"/>
    <w:rsid w:val="00445C40"/>
    <w:rsid w:val="00445C85"/>
    <w:rsid w:val="004462ED"/>
    <w:rsid w:val="00446909"/>
    <w:rsid w:val="004469D3"/>
    <w:rsid w:val="00446A4F"/>
    <w:rsid w:val="00446ABC"/>
    <w:rsid w:val="00446CDA"/>
    <w:rsid w:val="0044713F"/>
    <w:rsid w:val="00447639"/>
    <w:rsid w:val="004478AF"/>
    <w:rsid w:val="004479EF"/>
    <w:rsid w:val="00447B1F"/>
    <w:rsid w:val="00447BE6"/>
    <w:rsid w:val="00447E76"/>
    <w:rsid w:val="0045089E"/>
    <w:rsid w:val="0045091D"/>
    <w:rsid w:val="00450B38"/>
    <w:rsid w:val="00450C93"/>
    <w:rsid w:val="0045117B"/>
    <w:rsid w:val="00451677"/>
    <w:rsid w:val="00451F2B"/>
    <w:rsid w:val="004523E8"/>
    <w:rsid w:val="00452940"/>
    <w:rsid w:val="00452D7B"/>
    <w:rsid w:val="00452E43"/>
    <w:rsid w:val="0045349B"/>
    <w:rsid w:val="00453937"/>
    <w:rsid w:val="004544DB"/>
    <w:rsid w:val="004548EB"/>
    <w:rsid w:val="0045504A"/>
    <w:rsid w:val="0045528D"/>
    <w:rsid w:val="00455400"/>
    <w:rsid w:val="00455B60"/>
    <w:rsid w:val="00455C4C"/>
    <w:rsid w:val="00456032"/>
    <w:rsid w:val="0045617E"/>
    <w:rsid w:val="004572DE"/>
    <w:rsid w:val="00461124"/>
    <w:rsid w:val="00461129"/>
    <w:rsid w:val="004616B1"/>
    <w:rsid w:val="004619AE"/>
    <w:rsid w:val="00461C0C"/>
    <w:rsid w:val="00461E89"/>
    <w:rsid w:val="00461F07"/>
    <w:rsid w:val="004628E3"/>
    <w:rsid w:val="00462B34"/>
    <w:rsid w:val="00462DF2"/>
    <w:rsid w:val="00463299"/>
    <w:rsid w:val="0046345F"/>
    <w:rsid w:val="00463678"/>
    <w:rsid w:val="004637D7"/>
    <w:rsid w:val="0046399C"/>
    <w:rsid w:val="00463A92"/>
    <w:rsid w:val="00463E2F"/>
    <w:rsid w:val="00464251"/>
    <w:rsid w:val="00464D91"/>
    <w:rsid w:val="00464E0C"/>
    <w:rsid w:val="00464E76"/>
    <w:rsid w:val="00464EC4"/>
    <w:rsid w:val="00465195"/>
    <w:rsid w:val="00465244"/>
    <w:rsid w:val="00465319"/>
    <w:rsid w:val="0046549C"/>
    <w:rsid w:val="004663BD"/>
    <w:rsid w:val="00466710"/>
    <w:rsid w:val="004669FC"/>
    <w:rsid w:val="00467414"/>
    <w:rsid w:val="004675F7"/>
    <w:rsid w:val="00470086"/>
    <w:rsid w:val="0047021D"/>
    <w:rsid w:val="0047058D"/>
    <w:rsid w:val="00470868"/>
    <w:rsid w:val="004714E5"/>
    <w:rsid w:val="00471880"/>
    <w:rsid w:val="00471C71"/>
    <w:rsid w:val="00471E24"/>
    <w:rsid w:val="00471EE3"/>
    <w:rsid w:val="00472017"/>
    <w:rsid w:val="00472C13"/>
    <w:rsid w:val="00473411"/>
    <w:rsid w:val="004735F7"/>
    <w:rsid w:val="0047368E"/>
    <w:rsid w:val="00473B2B"/>
    <w:rsid w:val="00473B7F"/>
    <w:rsid w:val="00474127"/>
    <w:rsid w:val="0047428E"/>
    <w:rsid w:val="004743A5"/>
    <w:rsid w:val="004743B6"/>
    <w:rsid w:val="00474A2E"/>
    <w:rsid w:val="00474F27"/>
    <w:rsid w:val="0047505A"/>
    <w:rsid w:val="0047536D"/>
    <w:rsid w:val="004756E9"/>
    <w:rsid w:val="00475D4A"/>
    <w:rsid w:val="00476170"/>
    <w:rsid w:val="00476335"/>
    <w:rsid w:val="0047646D"/>
    <w:rsid w:val="004769D7"/>
    <w:rsid w:val="00476B84"/>
    <w:rsid w:val="00476E27"/>
    <w:rsid w:val="0047719A"/>
    <w:rsid w:val="00477696"/>
    <w:rsid w:val="00477C4C"/>
    <w:rsid w:val="00477E6A"/>
    <w:rsid w:val="00477F5F"/>
    <w:rsid w:val="00480192"/>
    <w:rsid w:val="00480252"/>
    <w:rsid w:val="00480540"/>
    <w:rsid w:val="0048097D"/>
    <w:rsid w:val="00480B4A"/>
    <w:rsid w:val="004814FC"/>
    <w:rsid w:val="00481803"/>
    <w:rsid w:val="00481E20"/>
    <w:rsid w:val="004824E8"/>
    <w:rsid w:val="00482821"/>
    <w:rsid w:val="00482923"/>
    <w:rsid w:val="00483078"/>
    <w:rsid w:val="00483101"/>
    <w:rsid w:val="0048319D"/>
    <w:rsid w:val="00483C9B"/>
    <w:rsid w:val="00483F5E"/>
    <w:rsid w:val="00484126"/>
    <w:rsid w:val="00484C20"/>
    <w:rsid w:val="00484DF5"/>
    <w:rsid w:val="00485032"/>
    <w:rsid w:val="00485360"/>
    <w:rsid w:val="00485C36"/>
    <w:rsid w:val="004860D3"/>
    <w:rsid w:val="00486382"/>
    <w:rsid w:val="004869D7"/>
    <w:rsid w:val="00486E63"/>
    <w:rsid w:val="0048767C"/>
    <w:rsid w:val="004876DF"/>
    <w:rsid w:val="0048795D"/>
    <w:rsid w:val="00487D87"/>
    <w:rsid w:val="00487F81"/>
    <w:rsid w:val="00490238"/>
    <w:rsid w:val="00490245"/>
    <w:rsid w:val="0049077F"/>
    <w:rsid w:val="00490A2D"/>
    <w:rsid w:val="00490CAA"/>
    <w:rsid w:val="0049155C"/>
    <w:rsid w:val="00491805"/>
    <w:rsid w:val="00491D1A"/>
    <w:rsid w:val="00491D2E"/>
    <w:rsid w:val="00492908"/>
    <w:rsid w:val="00492BE8"/>
    <w:rsid w:val="00492DE7"/>
    <w:rsid w:val="00493415"/>
    <w:rsid w:val="00493C4B"/>
    <w:rsid w:val="00493E78"/>
    <w:rsid w:val="00493FB8"/>
    <w:rsid w:val="004944D3"/>
    <w:rsid w:val="00496055"/>
    <w:rsid w:val="004961CF"/>
    <w:rsid w:val="004967E7"/>
    <w:rsid w:val="0049684D"/>
    <w:rsid w:val="00496B14"/>
    <w:rsid w:val="00496BDB"/>
    <w:rsid w:val="00496CA2"/>
    <w:rsid w:val="00496F18"/>
    <w:rsid w:val="00497018"/>
    <w:rsid w:val="00497931"/>
    <w:rsid w:val="00497DAD"/>
    <w:rsid w:val="00497EC9"/>
    <w:rsid w:val="004A0467"/>
    <w:rsid w:val="004A04FB"/>
    <w:rsid w:val="004A0B54"/>
    <w:rsid w:val="004A0CF9"/>
    <w:rsid w:val="004A0ED1"/>
    <w:rsid w:val="004A0FD8"/>
    <w:rsid w:val="004A12A8"/>
    <w:rsid w:val="004A1322"/>
    <w:rsid w:val="004A1408"/>
    <w:rsid w:val="004A1855"/>
    <w:rsid w:val="004A1CEA"/>
    <w:rsid w:val="004A27FA"/>
    <w:rsid w:val="004A2B79"/>
    <w:rsid w:val="004A2DF4"/>
    <w:rsid w:val="004A3A83"/>
    <w:rsid w:val="004A4799"/>
    <w:rsid w:val="004A4A21"/>
    <w:rsid w:val="004A4BF1"/>
    <w:rsid w:val="004A4E3F"/>
    <w:rsid w:val="004A5261"/>
    <w:rsid w:val="004A5294"/>
    <w:rsid w:val="004A53A9"/>
    <w:rsid w:val="004A6C05"/>
    <w:rsid w:val="004A6E23"/>
    <w:rsid w:val="004A785C"/>
    <w:rsid w:val="004A7F1F"/>
    <w:rsid w:val="004A7FCA"/>
    <w:rsid w:val="004B0138"/>
    <w:rsid w:val="004B02B6"/>
    <w:rsid w:val="004B0E08"/>
    <w:rsid w:val="004B0FF7"/>
    <w:rsid w:val="004B1057"/>
    <w:rsid w:val="004B149D"/>
    <w:rsid w:val="004B19A1"/>
    <w:rsid w:val="004B19C8"/>
    <w:rsid w:val="004B1E38"/>
    <w:rsid w:val="004B20AF"/>
    <w:rsid w:val="004B2AB8"/>
    <w:rsid w:val="004B3E33"/>
    <w:rsid w:val="004B429D"/>
    <w:rsid w:val="004B44B2"/>
    <w:rsid w:val="004B53A6"/>
    <w:rsid w:val="004B5505"/>
    <w:rsid w:val="004B5683"/>
    <w:rsid w:val="004B591E"/>
    <w:rsid w:val="004B6660"/>
    <w:rsid w:val="004B669C"/>
    <w:rsid w:val="004B6828"/>
    <w:rsid w:val="004B6C3D"/>
    <w:rsid w:val="004B6EBC"/>
    <w:rsid w:val="004B736B"/>
    <w:rsid w:val="004B79B0"/>
    <w:rsid w:val="004B79DB"/>
    <w:rsid w:val="004B7BC1"/>
    <w:rsid w:val="004B7F90"/>
    <w:rsid w:val="004C102D"/>
    <w:rsid w:val="004C1812"/>
    <w:rsid w:val="004C183C"/>
    <w:rsid w:val="004C1E9B"/>
    <w:rsid w:val="004C1F52"/>
    <w:rsid w:val="004C21F5"/>
    <w:rsid w:val="004C37A7"/>
    <w:rsid w:val="004C38BE"/>
    <w:rsid w:val="004C3934"/>
    <w:rsid w:val="004C3D60"/>
    <w:rsid w:val="004C3F6B"/>
    <w:rsid w:val="004C43F0"/>
    <w:rsid w:val="004C470A"/>
    <w:rsid w:val="004C48ED"/>
    <w:rsid w:val="004C49A1"/>
    <w:rsid w:val="004C4FF7"/>
    <w:rsid w:val="004C59F8"/>
    <w:rsid w:val="004C5BC5"/>
    <w:rsid w:val="004C5D62"/>
    <w:rsid w:val="004C6FC8"/>
    <w:rsid w:val="004C735D"/>
    <w:rsid w:val="004C7848"/>
    <w:rsid w:val="004C7D30"/>
    <w:rsid w:val="004C7E64"/>
    <w:rsid w:val="004D062E"/>
    <w:rsid w:val="004D079A"/>
    <w:rsid w:val="004D0E41"/>
    <w:rsid w:val="004D0F95"/>
    <w:rsid w:val="004D186F"/>
    <w:rsid w:val="004D1A9F"/>
    <w:rsid w:val="004D1FED"/>
    <w:rsid w:val="004D2250"/>
    <w:rsid w:val="004D2274"/>
    <w:rsid w:val="004D251F"/>
    <w:rsid w:val="004D2800"/>
    <w:rsid w:val="004D2843"/>
    <w:rsid w:val="004D2F0B"/>
    <w:rsid w:val="004D2F82"/>
    <w:rsid w:val="004D31DD"/>
    <w:rsid w:val="004D31EF"/>
    <w:rsid w:val="004D39D6"/>
    <w:rsid w:val="004D3BAA"/>
    <w:rsid w:val="004D40B3"/>
    <w:rsid w:val="004D431D"/>
    <w:rsid w:val="004D48F1"/>
    <w:rsid w:val="004D5213"/>
    <w:rsid w:val="004D5521"/>
    <w:rsid w:val="004D5BC3"/>
    <w:rsid w:val="004D5BE9"/>
    <w:rsid w:val="004D61E4"/>
    <w:rsid w:val="004D67C3"/>
    <w:rsid w:val="004D6E74"/>
    <w:rsid w:val="004D7F75"/>
    <w:rsid w:val="004E079E"/>
    <w:rsid w:val="004E0D39"/>
    <w:rsid w:val="004E0DD4"/>
    <w:rsid w:val="004E11EC"/>
    <w:rsid w:val="004E14BC"/>
    <w:rsid w:val="004E177F"/>
    <w:rsid w:val="004E1887"/>
    <w:rsid w:val="004E1F57"/>
    <w:rsid w:val="004E2112"/>
    <w:rsid w:val="004E29AD"/>
    <w:rsid w:val="004E2A05"/>
    <w:rsid w:val="004E2A92"/>
    <w:rsid w:val="004E2EB4"/>
    <w:rsid w:val="004E3559"/>
    <w:rsid w:val="004E3673"/>
    <w:rsid w:val="004E40AE"/>
    <w:rsid w:val="004E44A4"/>
    <w:rsid w:val="004E50FB"/>
    <w:rsid w:val="004E51CB"/>
    <w:rsid w:val="004E5459"/>
    <w:rsid w:val="004E5E95"/>
    <w:rsid w:val="004E61E6"/>
    <w:rsid w:val="004E6BA0"/>
    <w:rsid w:val="004E6D2C"/>
    <w:rsid w:val="004E70D2"/>
    <w:rsid w:val="004E716B"/>
    <w:rsid w:val="004E71DD"/>
    <w:rsid w:val="004E764F"/>
    <w:rsid w:val="004E7EBE"/>
    <w:rsid w:val="004E7FED"/>
    <w:rsid w:val="004F01A9"/>
    <w:rsid w:val="004F0DDC"/>
    <w:rsid w:val="004F11E9"/>
    <w:rsid w:val="004F1829"/>
    <w:rsid w:val="004F1BBE"/>
    <w:rsid w:val="004F221A"/>
    <w:rsid w:val="004F2486"/>
    <w:rsid w:val="004F25D4"/>
    <w:rsid w:val="004F2F55"/>
    <w:rsid w:val="004F2F56"/>
    <w:rsid w:val="004F3AC7"/>
    <w:rsid w:val="004F3BEC"/>
    <w:rsid w:val="004F3F27"/>
    <w:rsid w:val="004F4083"/>
    <w:rsid w:val="004F44B6"/>
    <w:rsid w:val="004F46E0"/>
    <w:rsid w:val="004F479D"/>
    <w:rsid w:val="004F50A8"/>
    <w:rsid w:val="004F5574"/>
    <w:rsid w:val="004F5BCD"/>
    <w:rsid w:val="004F6138"/>
    <w:rsid w:val="004F6283"/>
    <w:rsid w:val="004F6563"/>
    <w:rsid w:val="004F743C"/>
    <w:rsid w:val="004F77B9"/>
    <w:rsid w:val="00500C2F"/>
    <w:rsid w:val="0050102D"/>
    <w:rsid w:val="005011F9"/>
    <w:rsid w:val="0050162C"/>
    <w:rsid w:val="00501845"/>
    <w:rsid w:val="00501B98"/>
    <w:rsid w:val="00503134"/>
    <w:rsid w:val="005031C6"/>
    <w:rsid w:val="005031E8"/>
    <w:rsid w:val="00503222"/>
    <w:rsid w:val="00503572"/>
    <w:rsid w:val="005036EF"/>
    <w:rsid w:val="005037C5"/>
    <w:rsid w:val="00503B7D"/>
    <w:rsid w:val="00504111"/>
    <w:rsid w:val="0050454A"/>
    <w:rsid w:val="005046EA"/>
    <w:rsid w:val="0050494C"/>
    <w:rsid w:val="00504CFD"/>
    <w:rsid w:val="0050561B"/>
    <w:rsid w:val="00506447"/>
    <w:rsid w:val="005065F2"/>
    <w:rsid w:val="0050661C"/>
    <w:rsid w:val="00506A7A"/>
    <w:rsid w:val="00507418"/>
    <w:rsid w:val="005074E8"/>
    <w:rsid w:val="005100E1"/>
    <w:rsid w:val="0051053F"/>
    <w:rsid w:val="005105E8"/>
    <w:rsid w:val="00510B76"/>
    <w:rsid w:val="00510B8C"/>
    <w:rsid w:val="00510BD5"/>
    <w:rsid w:val="00510C55"/>
    <w:rsid w:val="00510D08"/>
    <w:rsid w:val="00510D15"/>
    <w:rsid w:val="00510DBE"/>
    <w:rsid w:val="00510FC1"/>
    <w:rsid w:val="0051106C"/>
    <w:rsid w:val="0051158A"/>
    <w:rsid w:val="00511702"/>
    <w:rsid w:val="00511812"/>
    <w:rsid w:val="00511A98"/>
    <w:rsid w:val="00511BFA"/>
    <w:rsid w:val="00511C3B"/>
    <w:rsid w:val="00511CC6"/>
    <w:rsid w:val="00512725"/>
    <w:rsid w:val="00512952"/>
    <w:rsid w:val="00513090"/>
    <w:rsid w:val="0051313A"/>
    <w:rsid w:val="0051371E"/>
    <w:rsid w:val="0051389D"/>
    <w:rsid w:val="00513A52"/>
    <w:rsid w:val="00513BE7"/>
    <w:rsid w:val="00514074"/>
    <w:rsid w:val="00514178"/>
    <w:rsid w:val="0051442B"/>
    <w:rsid w:val="00514476"/>
    <w:rsid w:val="00514960"/>
    <w:rsid w:val="00514979"/>
    <w:rsid w:val="00514A43"/>
    <w:rsid w:val="00514B52"/>
    <w:rsid w:val="005155DF"/>
    <w:rsid w:val="005155F1"/>
    <w:rsid w:val="00515917"/>
    <w:rsid w:val="00515A41"/>
    <w:rsid w:val="00515D37"/>
    <w:rsid w:val="005160A1"/>
    <w:rsid w:val="00516540"/>
    <w:rsid w:val="005168F5"/>
    <w:rsid w:val="0051695D"/>
    <w:rsid w:val="00516CC7"/>
    <w:rsid w:val="005175CB"/>
    <w:rsid w:val="00517FBC"/>
    <w:rsid w:val="005201D5"/>
    <w:rsid w:val="00520C17"/>
    <w:rsid w:val="00520D03"/>
    <w:rsid w:val="00520E80"/>
    <w:rsid w:val="0052102D"/>
    <w:rsid w:val="0052108C"/>
    <w:rsid w:val="00521667"/>
    <w:rsid w:val="00521D27"/>
    <w:rsid w:val="00521E32"/>
    <w:rsid w:val="00522724"/>
    <w:rsid w:val="00522D02"/>
    <w:rsid w:val="00522F8E"/>
    <w:rsid w:val="00523428"/>
    <w:rsid w:val="0052432C"/>
    <w:rsid w:val="00524827"/>
    <w:rsid w:val="0052490E"/>
    <w:rsid w:val="0052494F"/>
    <w:rsid w:val="00524AC0"/>
    <w:rsid w:val="00524EA2"/>
    <w:rsid w:val="00525053"/>
    <w:rsid w:val="0052511B"/>
    <w:rsid w:val="005258CC"/>
    <w:rsid w:val="00525E35"/>
    <w:rsid w:val="00525EC4"/>
    <w:rsid w:val="00525F8C"/>
    <w:rsid w:val="00526985"/>
    <w:rsid w:val="00527403"/>
    <w:rsid w:val="00530099"/>
    <w:rsid w:val="00530597"/>
    <w:rsid w:val="00530C2F"/>
    <w:rsid w:val="00530FF0"/>
    <w:rsid w:val="0053107F"/>
    <w:rsid w:val="0053128D"/>
    <w:rsid w:val="00531816"/>
    <w:rsid w:val="005322F8"/>
    <w:rsid w:val="005328E8"/>
    <w:rsid w:val="00532FE9"/>
    <w:rsid w:val="005337FE"/>
    <w:rsid w:val="00533DA7"/>
    <w:rsid w:val="005341DF"/>
    <w:rsid w:val="005343BF"/>
    <w:rsid w:val="005343F0"/>
    <w:rsid w:val="00534930"/>
    <w:rsid w:val="00534BBB"/>
    <w:rsid w:val="005350C5"/>
    <w:rsid w:val="00535254"/>
    <w:rsid w:val="0053543B"/>
    <w:rsid w:val="005356F8"/>
    <w:rsid w:val="0053579C"/>
    <w:rsid w:val="00535D64"/>
    <w:rsid w:val="00536056"/>
    <w:rsid w:val="00536851"/>
    <w:rsid w:val="00537406"/>
    <w:rsid w:val="00537E6E"/>
    <w:rsid w:val="005400AD"/>
    <w:rsid w:val="00540D8D"/>
    <w:rsid w:val="00540F1F"/>
    <w:rsid w:val="00541EDE"/>
    <w:rsid w:val="005424BC"/>
    <w:rsid w:val="0054270C"/>
    <w:rsid w:val="005427DB"/>
    <w:rsid w:val="00542C9E"/>
    <w:rsid w:val="00543020"/>
    <w:rsid w:val="00543122"/>
    <w:rsid w:val="0054384C"/>
    <w:rsid w:val="00543883"/>
    <w:rsid w:val="0054391F"/>
    <w:rsid w:val="00543A40"/>
    <w:rsid w:val="005442AA"/>
    <w:rsid w:val="00544CD8"/>
    <w:rsid w:val="00544CE5"/>
    <w:rsid w:val="00545523"/>
    <w:rsid w:val="00545ADD"/>
    <w:rsid w:val="00545CC3"/>
    <w:rsid w:val="00545D41"/>
    <w:rsid w:val="00545FEF"/>
    <w:rsid w:val="00546DF3"/>
    <w:rsid w:val="00547028"/>
    <w:rsid w:val="005475A4"/>
    <w:rsid w:val="0055025C"/>
    <w:rsid w:val="005509A3"/>
    <w:rsid w:val="00550A4F"/>
    <w:rsid w:val="00550DE6"/>
    <w:rsid w:val="0055172C"/>
    <w:rsid w:val="00551BE1"/>
    <w:rsid w:val="00552572"/>
    <w:rsid w:val="005532F2"/>
    <w:rsid w:val="00553BA7"/>
    <w:rsid w:val="00553C92"/>
    <w:rsid w:val="0055402F"/>
    <w:rsid w:val="005543A0"/>
    <w:rsid w:val="005546A5"/>
    <w:rsid w:val="005546AD"/>
    <w:rsid w:val="00554D8D"/>
    <w:rsid w:val="00554E41"/>
    <w:rsid w:val="00554E5F"/>
    <w:rsid w:val="0055505C"/>
    <w:rsid w:val="0055574E"/>
    <w:rsid w:val="00555A52"/>
    <w:rsid w:val="00555EB5"/>
    <w:rsid w:val="00555EFA"/>
    <w:rsid w:val="00555FA6"/>
    <w:rsid w:val="005560FF"/>
    <w:rsid w:val="005561CB"/>
    <w:rsid w:val="005561DF"/>
    <w:rsid w:val="0055659A"/>
    <w:rsid w:val="00556720"/>
    <w:rsid w:val="00557233"/>
    <w:rsid w:val="0055743A"/>
    <w:rsid w:val="00557EF7"/>
    <w:rsid w:val="00560006"/>
    <w:rsid w:val="005600CD"/>
    <w:rsid w:val="0056013B"/>
    <w:rsid w:val="005605FB"/>
    <w:rsid w:val="005609F4"/>
    <w:rsid w:val="00560E85"/>
    <w:rsid w:val="00560E8E"/>
    <w:rsid w:val="00560F13"/>
    <w:rsid w:val="005615C0"/>
    <w:rsid w:val="00561B72"/>
    <w:rsid w:val="00562736"/>
    <w:rsid w:val="00562D0D"/>
    <w:rsid w:val="00563072"/>
    <w:rsid w:val="00563DD2"/>
    <w:rsid w:val="0056439B"/>
    <w:rsid w:val="00564522"/>
    <w:rsid w:val="00564551"/>
    <w:rsid w:val="005648B4"/>
    <w:rsid w:val="005655EA"/>
    <w:rsid w:val="00565CFF"/>
    <w:rsid w:val="00565F21"/>
    <w:rsid w:val="00565FE9"/>
    <w:rsid w:val="005660BB"/>
    <w:rsid w:val="00566120"/>
    <w:rsid w:val="00566155"/>
    <w:rsid w:val="005677BA"/>
    <w:rsid w:val="00567C3A"/>
    <w:rsid w:val="00567E14"/>
    <w:rsid w:val="005701CE"/>
    <w:rsid w:val="00570FAA"/>
    <w:rsid w:val="0057179E"/>
    <w:rsid w:val="00571B0B"/>
    <w:rsid w:val="00571CFF"/>
    <w:rsid w:val="0057212F"/>
    <w:rsid w:val="00572487"/>
    <w:rsid w:val="005724F3"/>
    <w:rsid w:val="00572BBF"/>
    <w:rsid w:val="00572F3A"/>
    <w:rsid w:val="00572F86"/>
    <w:rsid w:val="00572F89"/>
    <w:rsid w:val="005734C8"/>
    <w:rsid w:val="00574041"/>
    <w:rsid w:val="0057452C"/>
    <w:rsid w:val="00574F89"/>
    <w:rsid w:val="00574FB2"/>
    <w:rsid w:val="00575641"/>
    <w:rsid w:val="005758BE"/>
    <w:rsid w:val="00575C4F"/>
    <w:rsid w:val="00575FEE"/>
    <w:rsid w:val="005766A1"/>
    <w:rsid w:val="00576997"/>
    <w:rsid w:val="005774BE"/>
    <w:rsid w:val="00577626"/>
    <w:rsid w:val="0057796B"/>
    <w:rsid w:val="00577F53"/>
    <w:rsid w:val="005802BA"/>
    <w:rsid w:val="005805C4"/>
    <w:rsid w:val="005805DD"/>
    <w:rsid w:val="0058065B"/>
    <w:rsid w:val="00580AF8"/>
    <w:rsid w:val="0058132B"/>
    <w:rsid w:val="00581373"/>
    <w:rsid w:val="005816F2"/>
    <w:rsid w:val="005817F7"/>
    <w:rsid w:val="00581AC8"/>
    <w:rsid w:val="00581C0C"/>
    <w:rsid w:val="00581DC8"/>
    <w:rsid w:val="005822CD"/>
    <w:rsid w:val="005822D5"/>
    <w:rsid w:val="005839D1"/>
    <w:rsid w:val="005840A4"/>
    <w:rsid w:val="005844BA"/>
    <w:rsid w:val="00584BC1"/>
    <w:rsid w:val="0058535E"/>
    <w:rsid w:val="00585363"/>
    <w:rsid w:val="005856A0"/>
    <w:rsid w:val="005859D7"/>
    <w:rsid w:val="00586256"/>
    <w:rsid w:val="0058671A"/>
    <w:rsid w:val="00586A4A"/>
    <w:rsid w:val="0058708B"/>
    <w:rsid w:val="00587514"/>
    <w:rsid w:val="00587FC5"/>
    <w:rsid w:val="00590978"/>
    <w:rsid w:val="00590D6F"/>
    <w:rsid w:val="00591128"/>
    <w:rsid w:val="005911DF"/>
    <w:rsid w:val="005915E8"/>
    <w:rsid w:val="00591E37"/>
    <w:rsid w:val="005924DC"/>
    <w:rsid w:val="005926CC"/>
    <w:rsid w:val="00592746"/>
    <w:rsid w:val="00592826"/>
    <w:rsid w:val="00592F70"/>
    <w:rsid w:val="00593010"/>
    <w:rsid w:val="0059321C"/>
    <w:rsid w:val="0059345F"/>
    <w:rsid w:val="0059361C"/>
    <w:rsid w:val="005942E0"/>
    <w:rsid w:val="00594B37"/>
    <w:rsid w:val="005951D8"/>
    <w:rsid w:val="00595AEB"/>
    <w:rsid w:val="00595EAB"/>
    <w:rsid w:val="005968AE"/>
    <w:rsid w:val="00596921"/>
    <w:rsid w:val="005970EB"/>
    <w:rsid w:val="00597F71"/>
    <w:rsid w:val="005A0483"/>
    <w:rsid w:val="005A0ABE"/>
    <w:rsid w:val="005A0C6D"/>
    <w:rsid w:val="005A0DBE"/>
    <w:rsid w:val="005A0ECB"/>
    <w:rsid w:val="005A10FE"/>
    <w:rsid w:val="005A124F"/>
    <w:rsid w:val="005A1685"/>
    <w:rsid w:val="005A1A51"/>
    <w:rsid w:val="005A21F1"/>
    <w:rsid w:val="005A2478"/>
    <w:rsid w:val="005A27E5"/>
    <w:rsid w:val="005A2989"/>
    <w:rsid w:val="005A2ACD"/>
    <w:rsid w:val="005A2AE3"/>
    <w:rsid w:val="005A2DB4"/>
    <w:rsid w:val="005A3438"/>
    <w:rsid w:val="005A37C4"/>
    <w:rsid w:val="005A3984"/>
    <w:rsid w:val="005A3EA6"/>
    <w:rsid w:val="005A4A09"/>
    <w:rsid w:val="005A4B1C"/>
    <w:rsid w:val="005A4E04"/>
    <w:rsid w:val="005A500C"/>
    <w:rsid w:val="005A51A6"/>
    <w:rsid w:val="005A5464"/>
    <w:rsid w:val="005A54B9"/>
    <w:rsid w:val="005A5AE2"/>
    <w:rsid w:val="005A631F"/>
    <w:rsid w:val="005A65B1"/>
    <w:rsid w:val="005A65C9"/>
    <w:rsid w:val="005A6AD9"/>
    <w:rsid w:val="005A6DAF"/>
    <w:rsid w:val="005A6FEA"/>
    <w:rsid w:val="005A75AE"/>
    <w:rsid w:val="005A7D7E"/>
    <w:rsid w:val="005A7F6F"/>
    <w:rsid w:val="005A7FCF"/>
    <w:rsid w:val="005B0034"/>
    <w:rsid w:val="005B0051"/>
    <w:rsid w:val="005B077A"/>
    <w:rsid w:val="005B0969"/>
    <w:rsid w:val="005B09FD"/>
    <w:rsid w:val="005B0A18"/>
    <w:rsid w:val="005B10EC"/>
    <w:rsid w:val="005B130D"/>
    <w:rsid w:val="005B1447"/>
    <w:rsid w:val="005B1946"/>
    <w:rsid w:val="005B227A"/>
    <w:rsid w:val="005B24EF"/>
    <w:rsid w:val="005B2609"/>
    <w:rsid w:val="005B27CB"/>
    <w:rsid w:val="005B286B"/>
    <w:rsid w:val="005B2A05"/>
    <w:rsid w:val="005B2D53"/>
    <w:rsid w:val="005B36C6"/>
    <w:rsid w:val="005B3BCA"/>
    <w:rsid w:val="005B41A1"/>
    <w:rsid w:val="005B429B"/>
    <w:rsid w:val="005B42C6"/>
    <w:rsid w:val="005B4447"/>
    <w:rsid w:val="005B4870"/>
    <w:rsid w:val="005B4AF1"/>
    <w:rsid w:val="005B4D61"/>
    <w:rsid w:val="005B5B49"/>
    <w:rsid w:val="005B5B72"/>
    <w:rsid w:val="005B5FFA"/>
    <w:rsid w:val="005B61F2"/>
    <w:rsid w:val="005B67F8"/>
    <w:rsid w:val="005B6D97"/>
    <w:rsid w:val="005B6E4B"/>
    <w:rsid w:val="005B6F40"/>
    <w:rsid w:val="005B7076"/>
    <w:rsid w:val="005B70C2"/>
    <w:rsid w:val="005B72D2"/>
    <w:rsid w:val="005B7398"/>
    <w:rsid w:val="005B744C"/>
    <w:rsid w:val="005B7A3F"/>
    <w:rsid w:val="005B7C2C"/>
    <w:rsid w:val="005B7C61"/>
    <w:rsid w:val="005B7E4F"/>
    <w:rsid w:val="005C01E9"/>
    <w:rsid w:val="005C05E9"/>
    <w:rsid w:val="005C06D3"/>
    <w:rsid w:val="005C0CD6"/>
    <w:rsid w:val="005C0DE3"/>
    <w:rsid w:val="005C0FDF"/>
    <w:rsid w:val="005C15C5"/>
    <w:rsid w:val="005C180D"/>
    <w:rsid w:val="005C19DC"/>
    <w:rsid w:val="005C1F3B"/>
    <w:rsid w:val="005C1FFE"/>
    <w:rsid w:val="005C2795"/>
    <w:rsid w:val="005C28EA"/>
    <w:rsid w:val="005C2E03"/>
    <w:rsid w:val="005C33E4"/>
    <w:rsid w:val="005C466B"/>
    <w:rsid w:val="005C4703"/>
    <w:rsid w:val="005C488F"/>
    <w:rsid w:val="005C4A50"/>
    <w:rsid w:val="005C4DD7"/>
    <w:rsid w:val="005C5725"/>
    <w:rsid w:val="005C5ADF"/>
    <w:rsid w:val="005C6514"/>
    <w:rsid w:val="005C6589"/>
    <w:rsid w:val="005C6617"/>
    <w:rsid w:val="005C672A"/>
    <w:rsid w:val="005C6EEC"/>
    <w:rsid w:val="005C71B2"/>
    <w:rsid w:val="005C7A1B"/>
    <w:rsid w:val="005C7B73"/>
    <w:rsid w:val="005C7E0B"/>
    <w:rsid w:val="005D00C7"/>
    <w:rsid w:val="005D01BC"/>
    <w:rsid w:val="005D0698"/>
    <w:rsid w:val="005D0A3A"/>
    <w:rsid w:val="005D137E"/>
    <w:rsid w:val="005D157D"/>
    <w:rsid w:val="005D1A7D"/>
    <w:rsid w:val="005D1BBF"/>
    <w:rsid w:val="005D1F28"/>
    <w:rsid w:val="005D1F43"/>
    <w:rsid w:val="005D2781"/>
    <w:rsid w:val="005D2797"/>
    <w:rsid w:val="005D2BA4"/>
    <w:rsid w:val="005D2CBF"/>
    <w:rsid w:val="005D34BF"/>
    <w:rsid w:val="005D38BB"/>
    <w:rsid w:val="005D3DC5"/>
    <w:rsid w:val="005D3EE9"/>
    <w:rsid w:val="005D4040"/>
    <w:rsid w:val="005D41F8"/>
    <w:rsid w:val="005D4207"/>
    <w:rsid w:val="005D43F0"/>
    <w:rsid w:val="005D5A91"/>
    <w:rsid w:val="005D5A9F"/>
    <w:rsid w:val="005D5C4D"/>
    <w:rsid w:val="005D622F"/>
    <w:rsid w:val="005D6905"/>
    <w:rsid w:val="005D6FA9"/>
    <w:rsid w:val="005D7382"/>
    <w:rsid w:val="005D7A81"/>
    <w:rsid w:val="005E020D"/>
    <w:rsid w:val="005E04B8"/>
    <w:rsid w:val="005E0753"/>
    <w:rsid w:val="005E0CB2"/>
    <w:rsid w:val="005E0DE7"/>
    <w:rsid w:val="005E12FF"/>
    <w:rsid w:val="005E1675"/>
    <w:rsid w:val="005E18B2"/>
    <w:rsid w:val="005E1B0D"/>
    <w:rsid w:val="005E1D4D"/>
    <w:rsid w:val="005E228E"/>
    <w:rsid w:val="005E24A3"/>
    <w:rsid w:val="005E2513"/>
    <w:rsid w:val="005E272B"/>
    <w:rsid w:val="005E294F"/>
    <w:rsid w:val="005E2A9F"/>
    <w:rsid w:val="005E2CF7"/>
    <w:rsid w:val="005E2D58"/>
    <w:rsid w:val="005E2DB1"/>
    <w:rsid w:val="005E2E38"/>
    <w:rsid w:val="005E2FED"/>
    <w:rsid w:val="005E342E"/>
    <w:rsid w:val="005E39E2"/>
    <w:rsid w:val="005E3D16"/>
    <w:rsid w:val="005E3DC6"/>
    <w:rsid w:val="005E3FBC"/>
    <w:rsid w:val="005E449B"/>
    <w:rsid w:val="005E466D"/>
    <w:rsid w:val="005E4A67"/>
    <w:rsid w:val="005E51D2"/>
    <w:rsid w:val="005E5DB1"/>
    <w:rsid w:val="005E6314"/>
    <w:rsid w:val="005E6A35"/>
    <w:rsid w:val="005E7139"/>
    <w:rsid w:val="005E7319"/>
    <w:rsid w:val="005E735B"/>
    <w:rsid w:val="005E738E"/>
    <w:rsid w:val="005F01FE"/>
    <w:rsid w:val="005F04E5"/>
    <w:rsid w:val="005F06B1"/>
    <w:rsid w:val="005F0BC6"/>
    <w:rsid w:val="005F0C46"/>
    <w:rsid w:val="005F13FD"/>
    <w:rsid w:val="005F1948"/>
    <w:rsid w:val="005F244A"/>
    <w:rsid w:val="005F273D"/>
    <w:rsid w:val="005F302A"/>
    <w:rsid w:val="005F34CA"/>
    <w:rsid w:val="005F35E1"/>
    <w:rsid w:val="005F36D2"/>
    <w:rsid w:val="005F4589"/>
    <w:rsid w:val="005F4666"/>
    <w:rsid w:val="005F47DE"/>
    <w:rsid w:val="005F57B0"/>
    <w:rsid w:val="005F5EDE"/>
    <w:rsid w:val="005F619D"/>
    <w:rsid w:val="005F6962"/>
    <w:rsid w:val="005F697C"/>
    <w:rsid w:val="005F6B5E"/>
    <w:rsid w:val="005F6D0A"/>
    <w:rsid w:val="005F6FBB"/>
    <w:rsid w:val="005F7168"/>
    <w:rsid w:val="005F7BDC"/>
    <w:rsid w:val="005F7F29"/>
    <w:rsid w:val="005F7F69"/>
    <w:rsid w:val="006001DC"/>
    <w:rsid w:val="0060083E"/>
    <w:rsid w:val="006009A6"/>
    <w:rsid w:val="00600D62"/>
    <w:rsid w:val="006012FA"/>
    <w:rsid w:val="006013AC"/>
    <w:rsid w:val="006014F0"/>
    <w:rsid w:val="00601570"/>
    <w:rsid w:val="006017CA"/>
    <w:rsid w:val="00601D51"/>
    <w:rsid w:val="00601F99"/>
    <w:rsid w:val="00602104"/>
    <w:rsid w:val="00603246"/>
    <w:rsid w:val="006035AD"/>
    <w:rsid w:val="00603ACC"/>
    <w:rsid w:val="00603C6D"/>
    <w:rsid w:val="0060403E"/>
    <w:rsid w:val="006042C2"/>
    <w:rsid w:val="00604C21"/>
    <w:rsid w:val="00604DD0"/>
    <w:rsid w:val="0060592B"/>
    <w:rsid w:val="00605CDD"/>
    <w:rsid w:val="006062B1"/>
    <w:rsid w:val="00606761"/>
    <w:rsid w:val="00606EA0"/>
    <w:rsid w:val="00606EFD"/>
    <w:rsid w:val="00606F3F"/>
    <w:rsid w:val="0060714B"/>
    <w:rsid w:val="006076C3"/>
    <w:rsid w:val="0060771D"/>
    <w:rsid w:val="0060774B"/>
    <w:rsid w:val="00607CC4"/>
    <w:rsid w:val="00610284"/>
    <w:rsid w:val="0061030B"/>
    <w:rsid w:val="006104AE"/>
    <w:rsid w:val="00610C49"/>
    <w:rsid w:val="00610E5E"/>
    <w:rsid w:val="00610F1D"/>
    <w:rsid w:val="00611128"/>
    <w:rsid w:val="0061134B"/>
    <w:rsid w:val="006114A2"/>
    <w:rsid w:val="00611B30"/>
    <w:rsid w:val="00613320"/>
    <w:rsid w:val="006135FD"/>
    <w:rsid w:val="006137E7"/>
    <w:rsid w:val="006137F5"/>
    <w:rsid w:val="006138AD"/>
    <w:rsid w:val="00613DE6"/>
    <w:rsid w:val="00613E64"/>
    <w:rsid w:val="0061416F"/>
    <w:rsid w:val="006141D0"/>
    <w:rsid w:val="00614ACF"/>
    <w:rsid w:val="00614BEC"/>
    <w:rsid w:val="00614F9C"/>
    <w:rsid w:val="00615837"/>
    <w:rsid w:val="00615C58"/>
    <w:rsid w:val="00615E5C"/>
    <w:rsid w:val="00615F18"/>
    <w:rsid w:val="006161A1"/>
    <w:rsid w:val="006165CA"/>
    <w:rsid w:val="006167B0"/>
    <w:rsid w:val="00616A29"/>
    <w:rsid w:val="00617C2C"/>
    <w:rsid w:val="00617C46"/>
    <w:rsid w:val="00617C85"/>
    <w:rsid w:val="00617EE7"/>
    <w:rsid w:val="0062012F"/>
    <w:rsid w:val="00621570"/>
    <w:rsid w:val="00621A7B"/>
    <w:rsid w:val="00621B95"/>
    <w:rsid w:val="0062209F"/>
    <w:rsid w:val="00622620"/>
    <w:rsid w:val="00622664"/>
    <w:rsid w:val="00622695"/>
    <w:rsid w:val="006227BC"/>
    <w:rsid w:val="00622DA4"/>
    <w:rsid w:val="00622F35"/>
    <w:rsid w:val="00622FFA"/>
    <w:rsid w:val="0062340F"/>
    <w:rsid w:val="00623EC6"/>
    <w:rsid w:val="00623F49"/>
    <w:rsid w:val="006252B7"/>
    <w:rsid w:val="006259CE"/>
    <w:rsid w:val="00625A3E"/>
    <w:rsid w:val="00625B25"/>
    <w:rsid w:val="00625E20"/>
    <w:rsid w:val="0062683F"/>
    <w:rsid w:val="006268B8"/>
    <w:rsid w:val="00626BC1"/>
    <w:rsid w:val="00626C8B"/>
    <w:rsid w:val="006272A2"/>
    <w:rsid w:val="006272DF"/>
    <w:rsid w:val="00627DCC"/>
    <w:rsid w:val="00630105"/>
    <w:rsid w:val="006303C8"/>
    <w:rsid w:val="006304D5"/>
    <w:rsid w:val="00630E1D"/>
    <w:rsid w:val="0063100E"/>
    <w:rsid w:val="00631362"/>
    <w:rsid w:val="00631900"/>
    <w:rsid w:val="00631C16"/>
    <w:rsid w:val="00631DEB"/>
    <w:rsid w:val="00631E9F"/>
    <w:rsid w:val="00631EAD"/>
    <w:rsid w:val="00631F0E"/>
    <w:rsid w:val="006321B2"/>
    <w:rsid w:val="00632216"/>
    <w:rsid w:val="00632D66"/>
    <w:rsid w:val="0063339C"/>
    <w:rsid w:val="006334E9"/>
    <w:rsid w:val="006339C2"/>
    <w:rsid w:val="00633AFB"/>
    <w:rsid w:val="00633EF8"/>
    <w:rsid w:val="00633F3C"/>
    <w:rsid w:val="00634027"/>
    <w:rsid w:val="00634164"/>
    <w:rsid w:val="006342D1"/>
    <w:rsid w:val="00634AA8"/>
    <w:rsid w:val="00635FD9"/>
    <w:rsid w:val="0063603A"/>
    <w:rsid w:val="006362BE"/>
    <w:rsid w:val="00636792"/>
    <w:rsid w:val="00636DE7"/>
    <w:rsid w:val="00637004"/>
    <w:rsid w:val="006375CD"/>
    <w:rsid w:val="00637A80"/>
    <w:rsid w:val="00637C09"/>
    <w:rsid w:val="00640CFD"/>
    <w:rsid w:val="00640FAE"/>
    <w:rsid w:val="006412DD"/>
    <w:rsid w:val="006412F7"/>
    <w:rsid w:val="006418E6"/>
    <w:rsid w:val="00641907"/>
    <w:rsid w:val="00641D22"/>
    <w:rsid w:val="00642160"/>
    <w:rsid w:val="006428DC"/>
    <w:rsid w:val="006429C5"/>
    <w:rsid w:val="00643950"/>
    <w:rsid w:val="00643CA2"/>
    <w:rsid w:val="0064432C"/>
    <w:rsid w:val="006445A1"/>
    <w:rsid w:val="00644BA5"/>
    <w:rsid w:val="00644E2A"/>
    <w:rsid w:val="00645765"/>
    <w:rsid w:val="00645C51"/>
    <w:rsid w:val="00645DAD"/>
    <w:rsid w:val="006464E2"/>
    <w:rsid w:val="00646529"/>
    <w:rsid w:val="00646A7F"/>
    <w:rsid w:val="0064702A"/>
    <w:rsid w:val="0064712A"/>
    <w:rsid w:val="0064755C"/>
    <w:rsid w:val="00647869"/>
    <w:rsid w:val="0064788C"/>
    <w:rsid w:val="00647A8C"/>
    <w:rsid w:val="00647E63"/>
    <w:rsid w:val="00647F9F"/>
    <w:rsid w:val="00650A89"/>
    <w:rsid w:val="00650ACE"/>
    <w:rsid w:val="00650C20"/>
    <w:rsid w:val="00650E72"/>
    <w:rsid w:val="00650EF5"/>
    <w:rsid w:val="00651100"/>
    <w:rsid w:val="006511D3"/>
    <w:rsid w:val="0065121A"/>
    <w:rsid w:val="00651255"/>
    <w:rsid w:val="006518F8"/>
    <w:rsid w:val="00651C24"/>
    <w:rsid w:val="00651CB2"/>
    <w:rsid w:val="006526C5"/>
    <w:rsid w:val="006529F7"/>
    <w:rsid w:val="00652AE5"/>
    <w:rsid w:val="00652C62"/>
    <w:rsid w:val="00652F0C"/>
    <w:rsid w:val="00653301"/>
    <w:rsid w:val="00653C03"/>
    <w:rsid w:val="00653D02"/>
    <w:rsid w:val="00654439"/>
    <w:rsid w:val="0065452F"/>
    <w:rsid w:val="006546C2"/>
    <w:rsid w:val="006547A8"/>
    <w:rsid w:val="006547BD"/>
    <w:rsid w:val="00654D49"/>
    <w:rsid w:val="0065507F"/>
    <w:rsid w:val="00655296"/>
    <w:rsid w:val="006553E8"/>
    <w:rsid w:val="00655A00"/>
    <w:rsid w:val="00655C7F"/>
    <w:rsid w:val="00655F26"/>
    <w:rsid w:val="006560FE"/>
    <w:rsid w:val="00656102"/>
    <w:rsid w:val="00656364"/>
    <w:rsid w:val="00656546"/>
    <w:rsid w:val="006566DB"/>
    <w:rsid w:val="0065677C"/>
    <w:rsid w:val="00656849"/>
    <w:rsid w:val="00656E7F"/>
    <w:rsid w:val="006573C6"/>
    <w:rsid w:val="00657AE6"/>
    <w:rsid w:val="00657F8E"/>
    <w:rsid w:val="0066021F"/>
    <w:rsid w:val="006605F1"/>
    <w:rsid w:val="006609BA"/>
    <w:rsid w:val="00660C32"/>
    <w:rsid w:val="00660C3A"/>
    <w:rsid w:val="0066122A"/>
    <w:rsid w:val="006619CD"/>
    <w:rsid w:val="00661B5F"/>
    <w:rsid w:val="00661E1C"/>
    <w:rsid w:val="00662540"/>
    <w:rsid w:val="006625C8"/>
    <w:rsid w:val="00662A11"/>
    <w:rsid w:val="0066303D"/>
    <w:rsid w:val="0066326A"/>
    <w:rsid w:val="006633F4"/>
    <w:rsid w:val="00663502"/>
    <w:rsid w:val="00663E4B"/>
    <w:rsid w:val="00664098"/>
    <w:rsid w:val="006642AF"/>
    <w:rsid w:val="00664D57"/>
    <w:rsid w:val="00664E85"/>
    <w:rsid w:val="006657BB"/>
    <w:rsid w:val="006657F0"/>
    <w:rsid w:val="00665907"/>
    <w:rsid w:val="006660E1"/>
    <w:rsid w:val="00666839"/>
    <w:rsid w:val="00666866"/>
    <w:rsid w:val="00666A6A"/>
    <w:rsid w:val="00666DDB"/>
    <w:rsid w:val="00666E06"/>
    <w:rsid w:val="006674E8"/>
    <w:rsid w:val="00667CAB"/>
    <w:rsid w:val="006700ED"/>
    <w:rsid w:val="00670395"/>
    <w:rsid w:val="00670876"/>
    <w:rsid w:val="00670BCE"/>
    <w:rsid w:val="0067148C"/>
    <w:rsid w:val="006715BC"/>
    <w:rsid w:val="0067190C"/>
    <w:rsid w:val="00671E49"/>
    <w:rsid w:val="006722A6"/>
    <w:rsid w:val="00672451"/>
    <w:rsid w:val="006727AC"/>
    <w:rsid w:val="0067299D"/>
    <w:rsid w:val="00672BD2"/>
    <w:rsid w:val="006734FF"/>
    <w:rsid w:val="00673B05"/>
    <w:rsid w:val="00673CFC"/>
    <w:rsid w:val="00673F8F"/>
    <w:rsid w:val="00673FA1"/>
    <w:rsid w:val="00674198"/>
    <w:rsid w:val="006741E4"/>
    <w:rsid w:val="00674B4C"/>
    <w:rsid w:val="006759C3"/>
    <w:rsid w:val="00675A64"/>
    <w:rsid w:val="006760CA"/>
    <w:rsid w:val="006760EA"/>
    <w:rsid w:val="00676964"/>
    <w:rsid w:val="00676C8F"/>
    <w:rsid w:val="006770B6"/>
    <w:rsid w:val="00677792"/>
    <w:rsid w:val="00677881"/>
    <w:rsid w:val="00677B38"/>
    <w:rsid w:val="00677CEA"/>
    <w:rsid w:val="00680229"/>
    <w:rsid w:val="00680A04"/>
    <w:rsid w:val="00680E4C"/>
    <w:rsid w:val="0068118D"/>
    <w:rsid w:val="006814FD"/>
    <w:rsid w:val="00681617"/>
    <w:rsid w:val="00681685"/>
    <w:rsid w:val="006817C0"/>
    <w:rsid w:val="00681B1C"/>
    <w:rsid w:val="00681E25"/>
    <w:rsid w:val="00682327"/>
    <w:rsid w:val="00682F5C"/>
    <w:rsid w:val="00682F75"/>
    <w:rsid w:val="006830D2"/>
    <w:rsid w:val="00683442"/>
    <w:rsid w:val="00683689"/>
    <w:rsid w:val="0068392F"/>
    <w:rsid w:val="006839A1"/>
    <w:rsid w:val="006845DB"/>
    <w:rsid w:val="00684959"/>
    <w:rsid w:val="00684D9F"/>
    <w:rsid w:val="00684E50"/>
    <w:rsid w:val="00685499"/>
    <w:rsid w:val="006854EB"/>
    <w:rsid w:val="006855D9"/>
    <w:rsid w:val="00685B5E"/>
    <w:rsid w:val="00685F65"/>
    <w:rsid w:val="006862F7"/>
    <w:rsid w:val="006863D0"/>
    <w:rsid w:val="006865BF"/>
    <w:rsid w:val="0068685C"/>
    <w:rsid w:val="00686D93"/>
    <w:rsid w:val="0068708E"/>
    <w:rsid w:val="00687307"/>
    <w:rsid w:val="006879E1"/>
    <w:rsid w:val="00687C71"/>
    <w:rsid w:val="006900EF"/>
    <w:rsid w:val="006906EA"/>
    <w:rsid w:val="00690AE1"/>
    <w:rsid w:val="00690EA2"/>
    <w:rsid w:val="00690EE9"/>
    <w:rsid w:val="00690F31"/>
    <w:rsid w:val="006911ED"/>
    <w:rsid w:val="006914E9"/>
    <w:rsid w:val="006922B9"/>
    <w:rsid w:val="0069237C"/>
    <w:rsid w:val="006923BD"/>
    <w:rsid w:val="006925D1"/>
    <w:rsid w:val="00692797"/>
    <w:rsid w:val="0069282A"/>
    <w:rsid w:val="00692CA5"/>
    <w:rsid w:val="00692D8B"/>
    <w:rsid w:val="00693620"/>
    <w:rsid w:val="006936D8"/>
    <w:rsid w:val="0069490D"/>
    <w:rsid w:val="00694BB9"/>
    <w:rsid w:val="00694ED5"/>
    <w:rsid w:val="0069522B"/>
    <w:rsid w:val="006952E0"/>
    <w:rsid w:val="00695875"/>
    <w:rsid w:val="006959AA"/>
    <w:rsid w:val="00695E84"/>
    <w:rsid w:val="00696194"/>
    <w:rsid w:val="006961E3"/>
    <w:rsid w:val="00696307"/>
    <w:rsid w:val="006964D5"/>
    <w:rsid w:val="006967C6"/>
    <w:rsid w:val="006968CF"/>
    <w:rsid w:val="00696AFF"/>
    <w:rsid w:val="00696C62"/>
    <w:rsid w:val="00696EAE"/>
    <w:rsid w:val="00697415"/>
    <w:rsid w:val="00697A8E"/>
    <w:rsid w:val="00697FB2"/>
    <w:rsid w:val="006A00AF"/>
    <w:rsid w:val="006A10F3"/>
    <w:rsid w:val="006A142C"/>
    <w:rsid w:val="006A16DA"/>
    <w:rsid w:val="006A1DFB"/>
    <w:rsid w:val="006A21C0"/>
    <w:rsid w:val="006A229F"/>
    <w:rsid w:val="006A272F"/>
    <w:rsid w:val="006A2EDB"/>
    <w:rsid w:val="006A351F"/>
    <w:rsid w:val="006A37FA"/>
    <w:rsid w:val="006A3E63"/>
    <w:rsid w:val="006A49F5"/>
    <w:rsid w:val="006A4A0E"/>
    <w:rsid w:val="006A4EE7"/>
    <w:rsid w:val="006A5444"/>
    <w:rsid w:val="006A6882"/>
    <w:rsid w:val="006A6CC9"/>
    <w:rsid w:val="006A6D2B"/>
    <w:rsid w:val="006A728B"/>
    <w:rsid w:val="006A72D1"/>
    <w:rsid w:val="006A7886"/>
    <w:rsid w:val="006A7A87"/>
    <w:rsid w:val="006A7B04"/>
    <w:rsid w:val="006B0560"/>
    <w:rsid w:val="006B07E4"/>
    <w:rsid w:val="006B0865"/>
    <w:rsid w:val="006B0D9E"/>
    <w:rsid w:val="006B0DE4"/>
    <w:rsid w:val="006B1963"/>
    <w:rsid w:val="006B1D42"/>
    <w:rsid w:val="006B207A"/>
    <w:rsid w:val="006B2FD7"/>
    <w:rsid w:val="006B3979"/>
    <w:rsid w:val="006B39B5"/>
    <w:rsid w:val="006B3D33"/>
    <w:rsid w:val="006B5DE4"/>
    <w:rsid w:val="006B5E5C"/>
    <w:rsid w:val="006B5F00"/>
    <w:rsid w:val="006B5FE0"/>
    <w:rsid w:val="006B64F2"/>
    <w:rsid w:val="006B654B"/>
    <w:rsid w:val="006B6607"/>
    <w:rsid w:val="006B67D8"/>
    <w:rsid w:val="006B6A2C"/>
    <w:rsid w:val="006B6B46"/>
    <w:rsid w:val="006B6C4F"/>
    <w:rsid w:val="006B78BF"/>
    <w:rsid w:val="006B7A30"/>
    <w:rsid w:val="006C07F8"/>
    <w:rsid w:val="006C0CC9"/>
    <w:rsid w:val="006C10BF"/>
    <w:rsid w:val="006C14A8"/>
    <w:rsid w:val="006C176D"/>
    <w:rsid w:val="006C19DF"/>
    <w:rsid w:val="006C1FA7"/>
    <w:rsid w:val="006C28BA"/>
    <w:rsid w:val="006C2B22"/>
    <w:rsid w:val="006C34B1"/>
    <w:rsid w:val="006C4116"/>
    <w:rsid w:val="006C4158"/>
    <w:rsid w:val="006C4F9E"/>
    <w:rsid w:val="006C5245"/>
    <w:rsid w:val="006C5646"/>
    <w:rsid w:val="006C5CAB"/>
    <w:rsid w:val="006C606D"/>
    <w:rsid w:val="006C6B68"/>
    <w:rsid w:val="006C6BF8"/>
    <w:rsid w:val="006C71C2"/>
    <w:rsid w:val="006C72D6"/>
    <w:rsid w:val="006C7685"/>
    <w:rsid w:val="006C7C16"/>
    <w:rsid w:val="006C7D3A"/>
    <w:rsid w:val="006D0372"/>
    <w:rsid w:val="006D0690"/>
    <w:rsid w:val="006D074F"/>
    <w:rsid w:val="006D0A2B"/>
    <w:rsid w:val="006D0AF3"/>
    <w:rsid w:val="006D13E3"/>
    <w:rsid w:val="006D15F5"/>
    <w:rsid w:val="006D198A"/>
    <w:rsid w:val="006D2130"/>
    <w:rsid w:val="006D2AB5"/>
    <w:rsid w:val="006D2AD9"/>
    <w:rsid w:val="006D2D1D"/>
    <w:rsid w:val="006D31B5"/>
    <w:rsid w:val="006D340D"/>
    <w:rsid w:val="006D411D"/>
    <w:rsid w:val="006D43C6"/>
    <w:rsid w:val="006D4C38"/>
    <w:rsid w:val="006D4EEA"/>
    <w:rsid w:val="006D617F"/>
    <w:rsid w:val="006D62E2"/>
    <w:rsid w:val="006D6414"/>
    <w:rsid w:val="006D6AF5"/>
    <w:rsid w:val="006D70D5"/>
    <w:rsid w:val="006D7569"/>
    <w:rsid w:val="006D7E9D"/>
    <w:rsid w:val="006E0529"/>
    <w:rsid w:val="006E0ECC"/>
    <w:rsid w:val="006E0F1B"/>
    <w:rsid w:val="006E18B4"/>
    <w:rsid w:val="006E1E29"/>
    <w:rsid w:val="006E2607"/>
    <w:rsid w:val="006E27F2"/>
    <w:rsid w:val="006E34C6"/>
    <w:rsid w:val="006E37CC"/>
    <w:rsid w:val="006E38AF"/>
    <w:rsid w:val="006E38DA"/>
    <w:rsid w:val="006E38DC"/>
    <w:rsid w:val="006E3AF0"/>
    <w:rsid w:val="006E3FFF"/>
    <w:rsid w:val="006E44E8"/>
    <w:rsid w:val="006E46CB"/>
    <w:rsid w:val="006E5070"/>
    <w:rsid w:val="006E5494"/>
    <w:rsid w:val="006E5B60"/>
    <w:rsid w:val="006E5C48"/>
    <w:rsid w:val="006E629B"/>
    <w:rsid w:val="006E6415"/>
    <w:rsid w:val="006E682A"/>
    <w:rsid w:val="006E6C82"/>
    <w:rsid w:val="006E718C"/>
    <w:rsid w:val="006E7553"/>
    <w:rsid w:val="006E7939"/>
    <w:rsid w:val="006E7A74"/>
    <w:rsid w:val="006E7DAE"/>
    <w:rsid w:val="006F0A07"/>
    <w:rsid w:val="006F0C38"/>
    <w:rsid w:val="006F0ECA"/>
    <w:rsid w:val="006F150B"/>
    <w:rsid w:val="006F203F"/>
    <w:rsid w:val="006F22CB"/>
    <w:rsid w:val="006F26AA"/>
    <w:rsid w:val="006F2914"/>
    <w:rsid w:val="006F3BF5"/>
    <w:rsid w:val="006F3F5E"/>
    <w:rsid w:val="006F40C8"/>
    <w:rsid w:val="006F4970"/>
    <w:rsid w:val="006F4ACB"/>
    <w:rsid w:val="006F509E"/>
    <w:rsid w:val="006F513C"/>
    <w:rsid w:val="006F530F"/>
    <w:rsid w:val="006F57B6"/>
    <w:rsid w:val="006F5DA8"/>
    <w:rsid w:val="006F5E48"/>
    <w:rsid w:val="006F63B1"/>
    <w:rsid w:val="006F70D9"/>
    <w:rsid w:val="006F7827"/>
    <w:rsid w:val="006F7EB1"/>
    <w:rsid w:val="0070022F"/>
    <w:rsid w:val="007004FF"/>
    <w:rsid w:val="0070053B"/>
    <w:rsid w:val="00700A90"/>
    <w:rsid w:val="00701007"/>
    <w:rsid w:val="0070133B"/>
    <w:rsid w:val="007017AB"/>
    <w:rsid w:val="007020D1"/>
    <w:rsid w:val="0070243D"/>
    <w:rsid w:val="007028AF"/>
    <w:rsid w:val="007033F4"/>
    <w:rsid w:val="00703CEA"/>
    <w:rsid w:val="00703CF7"/>
    <w:rsid w:val="00703E8B"/>
    <w:rsid w:val="00703FBB"/>
    <w:rsid w:val="00704058"/>
    <w:rsid w:val="0070486C"/>
    <w:rsid w:val="00704A16"/>
    <w:rsid w:val="00704B56"/>
    <w:rsid w:val="0070509F"/>
    <w:rsid w:val="007056DF"/>
    <w:rsid w:val="0070574E"/>
    <w:rsid w:val="00705D81"/>
    <w:rsid w:val="007060E0"/>
    <w:rsid w:val="00706103"/>
    <w:rsid w:val="007061C0"/>
    <w:rsid w:val="00706320"/>
    <w:rsid w:val="00706426"/>
    <w:rsid w:val="00706698"/>
    <w:rsid w:val="007073FD"/>
    <w:rsid w:val="00707817"/>
    <w:rsid w:val="00707B37"/>
    <w:rsid w:val="00707E49"/>
    <w:rsid w:val="007102D2"/>
    <w:rsid w:val="00711115"/>
    <w:rsid w:val="0071118D"/>
    <w:rsid w:val="0071131A"/>
    <w:rsid w:val="00711B42"/>
    <w:rsid w:val="00711E19"/>
    <w:rsid w:val="007121D1"/>
    <w:rsid w:val="00712A62"/>
    <w:rsid w:val="0071321D"/>
    <w:rsid w:val="00713A48"/>
    <w:rsid w:val="00713E11"/>
    <w:rsid w:val="0071436C"/>
    <w:rsid w:val="0071565A"/>
    <w:rsid w:val="00715A0B"/>
    <w:rsid w:val="00715C80"/>
    <w:rsid w:val="00715DE0"/>
    <w:rsid w:val="00716CF3"/>
    <w:rsid w:val="00716E06"/>
    <w:rsid w:val="007179AC"/>
    <w:rsid w:val="00717AAB"/>
    <w:rsid w:val="00717ACE"/>
    <w:rsid w:val="00717F13"/>
    <w:rsid w:val="0072014B"/>
    <w:rsid w:val="0072094F"/>
    <w:rsid w:val="00720BF9"/>
    <w:rsid w:val="00720D3E"/>
    <w:rsid w:val="007210C6"/>
    <w:rsid w:val="0072111E"/>
    <w:rsid w:val="00721D94"/>
    <w:rsid w:val="00721E52"/>
    <w:rsid w:val="00721F65"/>
    <w:rsid w:val="00722BC3"/>
    <w:rsid w:val="00722CB7"/>
    <w:rsid w:val="00722E17"/>
    <w:rsid w:val="00723030"/>
    <w:rsid w:val="0072316F"/>
    <w:rsid w:val="0072364A"/>
    <w:rsid w:val="00723BBC"/>
    <w:rsid w:val="00723E83"/>
    <w:rsid w:val="00723FF2"/>
    <w:rsid w:val="007240F6"/>
    <w:rsid w:val="00724229"/>
    <w:rsid w:val="00724458"/>
    <w:rsid w:val="0072482D"/>
    <w:rsid w:val="00724F50"/>
    <w:rsid w:val="00724F56"/>
    <w:rsid w:val="007252D7"/>
    <w:rsid w:val="007259CC"/>
    <w:rsid w:val="00725AC9"/>
    <w:rsid w:val="00725BD6"/>
    <w:rsid w:val="007268A6"/>
    <w:rsid w:val="007273DA"/>
    <w:rsid w:val="00727F86"/>
    <w:rsid w:val="007305E2"/>
    <w:rsid w:val="0073083A"/>
    <w:rsid w:val="00730B5F"/>
    <w:rsid w:val="00730F25"/>
    <w:rsid w:val="00730FC9"/>
    <w:rsid w:val="00731351"/>
    <w:rsid w:val="007315AF"/>
    <w:rsid w:val="00731800"/>
    <w:rsid w:val="0073189C"/>
    <w:rsid w:val="00731A32"/>
    <w:rsid w:val="00731B65"/>
    <w:rsid w:val="00732040"/>
    <w:rsid w:val="007324F8"/>
    <w:rsid w:val="0073263B"/>
    <w:rsid w:val="0073263F"/>
    <w:rsid w:val="00732BCA"/>
    <w:rsid w:val="00733338"/>
    <w:rsid w:val="00733BB1"/>
    <w:rsid w:val="00733F8C"/>
    <w:rsid w:val="0073455E"/>
    <w:rsid w:val="00735302"/>
    <w:rsid w:val="0073536B"/>
    <w:rsid w:val="00735905"/>
    <w:rsid w:val="00735BBB"/>
    <w:rsid w:val="00735CA2"/>
    <w:rsid w:val="0073654B"/>
    <w:rsid w:val="007366DF"/>
    <w:rsid w:val="00737E49"/>
    <w:rsid w:val="00737F4C"/>
    <w:rsid w:val="00740027"/>
    <w:rsid w:val="007403EA"/>
    <w:rsid w:val="007404BF"/>
    <w:rsid w:val="0074062A"/>
    <w:rsid w:val="00740D5E"/>
    <w:rsid w:val="007417EF"/>
    <w:rsid w:val="00741DF2"/>
    <w:rsid w:val="00741EFC"/>
    <w:rsid w:val="00742919"/>
    <w:rsid w:val="00743203"/>
    <w:rsid w:val="00743611"/>
    <w:rsid w:val="00743620"/>
    <w:rsid w:val="00743BA1"/>
    <w:rsid w:val="00743CE9"/>
    <w:rsid w:val="00743DDB"/>
    <w:rsid w:val="00743DE1"/>
    <w:rsid w:val="007442A8"/>
    <w:rsid w:val="00744445"/>
    <w:rsid w:val="0074448E"/>
    <w:rsid w:val="00744577"/>
    <w:rsid w:val="0074558B"/>
    <w:rsid w:val="00745799"/>
    <w:rsid w:val="00745EDF"/>
    <w:rsid w:val="00746055"/>
    <w:rsid w:val="00746282"/>
    <w:rsid w:val="00747164"/>
    <w:rsid w:val="007471B8"/>
    <w:rsid w:val="007475A0"/>
    <w:rsid w:val="007476AF"/>
    <w:rsid w:val="00747F2C"/>
    <w:rsid w:val="00750540"/>
    <w:rsid w:val="0075063B"/>
    <w:rsid w:val="007506C6"/>
    <w:rsid w:val="0075076C"/>
    <w:rsid w:val="00750A68"/>
    <w:rsid w:val="00750D0F"/>
    <w:rsid w:val="00751215"/>
    <w:rsid w:val="0075161A"/>
    <w:rsid w:val="007520A3"/>
    <w:rsid w:val="00752566"/>
    <w:rsid w:val="00752570"/>
    <w:rsid w:val="00752BE8"/>
    <w:rsid w:val="00753148"/>
    <w:rsid w:val="007537D8"/>
    <w:rsid w:val="007539EC"/>
    <w:rsid w:val="00753CED"/>
    <w:rsid w:val="00754112"/>
    <w:rsid w:val="007544F4"/>
    <w:rsid w:val="007546F2"/>
    <w:rsid w:val="007548C6"/>
    <w:rsid w:val="0075509F"/>
    <w:rsid w:val="007553BA"/>
    <w:rsid w:val="00755D53"/>
    <w:rsid w:val="00755E19"/>
    <w:rsid w:val="00755E3C"/>
    <w:rsid w:val="007560DB"/>
    <w:rsid w:val="00756367"/>
    <w:rsid w:val="00756E94"/>
    <w:rsid w:val="00756F77"/>
    <w:rsid w:val="0075749B"/>
    <w:rsid w:val="00757983"/>
    <w:rsid w:val="00757C05"/>
    <w:rsid w:val="00757F07"/>
    <w:rsid w:val="00757F36"/>
    <w:rsid w:val="00760346"/>
    <w:rsid w:val="00760827"/>
    <w:rsid w:val="007611B9"/>
    <w:rsid w:val="00761824"/>
    <w:rsid w:val="00761A0D"/>
    <w:rsid w:val="00762B47"/>
    <w:rsid w:val="00762F59"/>
    <w:rsid w:val="00762FDB"/>
    <w:rsid w:val="007633E4"/>
    <w:rsid w:val="007635D1"/>
    <w:rsid w:val="007639AD"/>
    <w:rsid w:val="00763ADE"/>
    <w:rsid w:val="00764188"/>
    <w:rsid w:val="0076432A"/>
    <w:rsid w:val="00764AEE"/>
    <w:rsid w:val="00764CD1"/>
    <w:rsid w:val="00764E9E"/>
    <w:rsid w:val="00765A12"/>
    <w:rsid w:val="00765D54"/>
    <w:rsid w:val="00766330"/>
    <w:rsid w:val="007664ED"/>
    <w:rsid w:val="0076687E"/>
    <w:rsid w:val="00767849"/>
    <w:rsid w:val="0076791F"/>
    <w:rsid w:val="00767957"/>
    <w:rsid w:val="00767B3B"/>
    <w:rsid w:val="00767C71"/>
    <w:rsid w:val="00767FA5"/>
    <w:rsid w:val="007704DC"/>
    <w:rsid w:val="00770529"/>
    <w:rsid w:val="00770563"/>
    <w:rsid w:val="00770727"/>
    <w:rsid w:val="00770869"/>
    <w:rsid w:val="00770A7D"/>
    <w:rsid w:val="00770E11"/>
    <w:rsid w:val="0077100F"/>
    <w:rsid w:val="00771601"/>
    <w:rsid w:val="00771A1C"/>
    <w:rsid w:val="00772222"/>
    <w:rsid w:val="00772408"/>
    <w:rsid w:val="00772648"/>
    <w:rsid w:val="00772873"/>
    <w:rsid w:val="007728F2"/>
    <w:rsid w:val="007729A2"/>
    <w:rsid w:val="007729E0"/>
    <w:rsid w:val="00773246"/>
    <w:rsid w:val="00773586"/>
    <w:rsid w:val="0077375C"/>
    <w:rsid w:val="007738F7"/>
    <w:rsid w:val="00774055"/>
    <w:rsid w:val="0077406D"/>
    <w:rsid w:val="00774646"/>
    <w:rsid w:val="00774749"/>
    <w:rsid w:val="00774BDA"/>
    <w:rsid w:val="0077537A"/>
    <w:rsid w:val="00775539"/>
    <w:rsid w:val="007758F1"/>
    <w:rsid w:val="00775DC7"/>
    <w:rsid w:val="0077632D"/>
    <w:rsid w:val="00776B4A"/>
    <w:rsid w:val="00776E2B"/>
    <w:rsid w:val="007770DA"/>
    <w:rsid w:val="00777542"/>
    <w:rsid w:val="00777736"/>
    <w:rsid w:val="00777F1F"/>
    <w:rsid w:val="00777F6B"/>
    <w:rsid w:val="00780B27"/>
    <w:rsid w:val="00780C49"/>
    <w:rsid w:val="007811D1"/>
    <w:rsid w:val="007818C0"/>
    <w:rsid w:val="007819E9"/>
    <w:rsid w:val="00781BEA"/>
    <w:rsid w:val="00781FE2"/>
    <w:rsid w:val="0078255B"/>
    <w:rsid w:val="0078269B"/>
    <w:rsid w:val="00782772"/>
    <w:rsid w:val="00782799"/>
    <w:rsid w:val="007827E3"/>
    <w:rsid w:val="00782C48"/>
    <w:rsid w:val="0078320C"/>
    <w:rsid w:val="00783220"/>
    <w:rsid w:val="00783AFC"/>
    <w:rsid w:val="00783C41"/>
    <w:rsid w:val="00784088"/>
    <w:rsid w:val="007842B9"/>
    <w:rsid w:val="007845E7"/>
    <w:rsid w:val="00784AA1"/>
    <w:rsid w:val="0078504F"/>
    <w:rsid w:val="007851F7"/>
    <w:rsid w:val="00785D5B"/>
    <w:rsid w:val="00786452"/>
    <w:rsid w:val="007869B8"/>
    <w:rsid w:val="00786C10"/>
    <w:rsid w:val="00786C2D"/>
    <w:rsid w:val="00786E59"/>
    <w:rsid w:val="007870E8"/>
    <w:rsid w:val="00787172"/>
    <w:rsid w:val="00787397"/>
    <w:rsid w:val="00787B7E"/>
    <w:rsid w:val="00787FC0"/>
    <w:rsid w:val="00790115"/>
    <w:rsid w:val="007901F7"/>
    <w:rsid w:val="007901FC"/>
    <w:rsid w:val="0079065D"/>
    <w:rsid w:val="00790762"/>
    <w:rsid w:val="00790939"/>
    <w:rsid w:val="00790954"/>
    <w:rsid w:val="00790A65"/>
    <w:rsid w:val="00790FC7"/>
    <w:rsid w:val="00791295"/>
    <w:rsid w:val="007912D3"/>
    <w:rsid w:val="00791342"/>
    <w:rsid w:val="0079145A"/>
    <w:rsid w:val="007914C5"/>
    <w:rsid w:val="007922B2"/>
    <w:rsid w:val="0079275E"/>
    <w:rsid w:val="0079280A"/>
    <w:rsid w:val="00792AF4"/>
    <w:rsid w:val="00792B47"/>
    <w:rsid w:val="00793158"/>
    <w:rsid w:val="00793EB7"/>
    <w:rsid w:val="00793F00"/>
    <w:rsid w:val="007941B4"/>
    <w:rsid w:val="007942FB"/>
    <w:rsid w:val="00794307"/>
    <w:rsid w:val="00794664"/>
    <w:rsid w:val="00794690"/>
    <w:rsid w:val="007946C7"/>
    <w:rsid w:val="007947C9"/>
    <w:rsid w:val="00794C61"/>
    <w:rsid w:val="00794DD6"/>
    <w:rsid w:val="00795437"/>
    <w:rsid w:val="007962C5"/>
    <w:rsid w:val="007964CE"/>
    <w:rsid w:val="0079699D"/>
    <w:rsid w:val="00796A25"/>
    <w:rsid w:val="007975A8"/>
    <w:rsid w:val="0079799C"/>
    <w:rsid w:val="00797B47"/>
    <w:rsid w:val="00797BEA"/>
    <w:rsid w:val="007A0010"/>
    <w:rsid w:val="007A02DF"/>
    <w:rsid w:val="007A05F1"/>
    <w:rsid w:val="007A0D04"/>
    <w:rsid w:val="007A1749"/>
    <w:rsid w:val="007A1D0F"/>
    <w:rsid w:val="007A1E31"/>
    <w:rsid w:val="007A203B"/>
    <w:rsid w:val="007A203E"/>
    <w:rsid w:val="007A2687"/>
    <w:rsid w:val="007A2C64"/>
    <w:rsid w:val="007A30CD"/>
    <w:rsid w:val="007A3655"/>
    <w:rsid w:val="007A3912"/>
    <w:rsid w:val="007A4032"/>
    <w:rsid w:val="007A4172"/>
    <w:rsid w:val="007A4AD9"/>
    <w:rsid w:val="007A4C8A"/>
    <w:rsid w:val="007A4CD3"/>
    <w:rsid w:val="007A583D"/>
    <w:rsid w:val="007A5921"/>
    <w:rsid w:val="007A5F55"/>
    <w:rsid w:val="007A5FFC"/>
    <w:rsid w:val="007A615C"/>
    <w:rsid w:val="007A6945"/>
    <w:rsid w:val="007A6B3B"/>
    <w:rsid w:val="007A7008"/>
    <w:rsid w:val="007A7106"/>
    <w:rsid w:val="007A71CA"/>
    <w:rsid w:val="007A7244"/>
    <w:rsid w:val="007A7267"/>
    <w:rsid w:val="007A726A"/>
    <w:rsid w:val="007A73F5"/>
    <w:rsid w:val="007A776B"/>
    <w:rsid w:val="007A7770"/>
    <w:rsid w:val="007B002D"/>
    <w:rsid w:val="007B01DE"/>
    <w:rsid w:val="007B0576"/>
    <w:rsid w:val="007B05DD"/>
    <w:rsid w:val="007B099C"/>
    <w:rsid w:val="007B0CC9"/>
    <w:rsid w:val="007B12E4"/>
    <w:rsid w:val="007B14D6"/>
    <w:rsid w:val="007B162F"/>
    <w:rsid w:val="007B1746"/>
    <w:rsid w:val="007B1A70"/>
    <w:rsid w:val="007B24C1"/>
    <w:rsid w:val="007B27DA"/>
    <w:rsid w:val="007B2926"/>
    <w:rsid w:val="007B31E5"/>
    <w:rsid w:val="007B34D0"/>
    <w:rsid w:val="007B3915"/>
    <w:rsid w:val="007B3E2A"/>
    <w:rsid w:val="007B4FC4"/>
    <w:rsid w:val="007B5520"/>
    <w:rsid w:val="007B6067"/>
    <w:rsid w:val="007B6182"/>
    <w:rsid w:val="007B65E6"/>
    <w:rsid w:val="007B68CE"/>
    <w:rsid w:val="007B714F"/>
    <w:rsid w:val="007B73C9"/>
    <w:rsid w:val="007B7AF7"/>
    <w:rsid w:val="007B7D17"/>
    <w:rsid w:val="007C03CF"/>
    <w:rsid w:val="007C0591"/>
    <w:rsid w:val="007C11B1"/>
    <w:rsid w:val="007C12A3"/>
    <w:rsid w:val="007C182B"/>
    <w:rsid w:val="007C184A"/>
    <w:rsid w:val="007C1B8A"/>
    <w:rsid w:val="007C224D"/>
    <w:rsid w:val="007C2469"/>
    <w:rsid w:val="007C2A61"/>
    <w:rsid w:val="007C334A"/>
    <w:rsid w:val="007C3DD0"/>
    <w:rsid w:val="007C417F"/>
    <w:rsid w:val="007C41C9"/>
    <w:rsid w:val="007C41DF"/>
    <w:rsid w:val="007C42BB"/>
    <w:rsid w:val="007C47F0"/>
    <w:rsid w:val="007C49C4"/>
    <w:rsid w:val="007C4FDC"/>
    <w:rsid w:val="007C519F"/>
    <w:rsid w:val="007C55F2"/>
    <w:rsid w:val="007C5800"/>
    <w:rsid w:val="007C598D"/>
    <w:rsid w:val="007C5F68"/>
    <w:rsid w:val="007C6206"/>
    <w:rsid w:val="007C632E"/>
    <w:rsid w:val="007C6627"/>
    <w:rsid w:val="007C6661"/>
    <w:rsid w:val="007C66AB"/>
    <w:rsid w:val="007C6978"/>
    <w:rsid w:val="007C6BF6"/>
    <w:rsid w:val="007C6C9D"/>
    <w:rsid w:val="007C6D1B"/>
    <w:rsid w:val="007C6EC1"/>
    <w:rsid w:val="007C7A34"/>
    <w:rsid w:val="007C7EF1"/>
    <w:rsid w:val="007D018C"/>
    <w:rsid w:val="007D037C"/>
    <w:rsid w:val="007D060D"/>
    <w:rsid w:val="007D0CB7"/>
    <w:rsid w:val="007D1330"/>
    <w:rsid w:val="007D13E5"/>
    <w:rsid w:val="007D1686"/>
    <w:rsid w:val="007D1BBB"/>
    <w:rsid w:val="007D263F"/>
    <w:rsid w:val="007D2E27"/>
    <w:rsid w:val="007D3244"/>
    <w:rsid w:val="007D344B"/>
    <w:rsid w:val="007D3743"/>
    <w:rsid w:val="007D374E"/>
    <w:rsid w:val="007D4162"/>
    <w:rsid w:val="007D449B"/>
    <w:rsid w:val="007D44D3"/>
    <w:rsid w:val="007D4BD9"/>
    <w:rsid w:val="007D53FA"/>
    <w:rsid w:val="007D5625"/>
    <w:rsid w:val="007D5BF7"/>
    <w:rsid w:val="007D5DAB"/>
    <w:rsid w:val="007D5E7D"/>
    <w:rsid w:val="007D6523"/>
    <w:rsid w:val="007D75A1"/>
    <w:rsid w:val="007D7656"/>
    <w:rsid w:val="007E0CB5"/>
    <w:rsid w:val="007E0D13"/>
    <w:rsid w:val="007E12A7"/>
    <w:rsid w:val="007E161D"/>
    <w:rsid w:val="007E19A3"/>
    <w:rsid w:val="007E1A4E"/>
    <w:rsid w:val="007E1ADB"/>
    <w:rsid w:val="007E1C91"/>
    <w:rsid w:val="007E1DDB"/>
    <w:rsid w:val="007E1FD1"/>
    <w:rsid w:val="007E2053"/>
    <w:rsid w:val="007E2619"/>
    <w:rsid w:val="007E2F1D"/>
    <w:rsid w:val="007E328F"/>
    <w:rsid w:val="007E35F0"/>
    <w:rsid w:val="007E370F"/>
    <w:rsid w:val="007E37EB"/>
    <w:rsid w:val="007E3A1E"/>
    <w:rsid w:val="007E3BA2"/>
    <w:rsid w:val="007E3CB4"/>
    <w:rsid w:val="007E3E8D"/>
    <w:rsid w:val="007E3E9F"/>
    <w:rsid w:val="007E3FB7"/>
    <w:rsid w:val="007E4585"/>
    <w:rsid w:val="007E4875"/>
    <w:rsid w:val="007E4B18"/>
    <w:rsid w:val="007E4E61"/>
    <w:rsid w:val="007E5EFE"/>
    <w:rsid w:val="007E60D4"/>
    <w:rsid w:val="007E621B"/>
    <w:rsid w:val="007E6277"/>
    <w:rsid w:val="007E7322"/>
    <w:rsid w:val="007E7B31"/>
    <w:rsid w:val="007E7E23"/>
    <w:rsid w:val="007E7FDA"/>
    <w:rsid w:val="007F03E7"/>
    <w:rsid w:val="007F0668"/>
    <w:rsid w:val="007F07E8"/>
    <w:rsid w:val="007F07EF"/>
    <w:rsid w:val="007F08A6"/>
    <w:rsid w:val="007F09AC"/>
    <w:rsid w:val="007F124C"/>
    <w:rsid w:val="007F1D28"/>
    <w:rsid w:val="007F247B"/>
    <w:rsid w:val="007F24FC"/>
    <w:rsid w:val="007F25A2"/>
    <w:rsid w:val="007F2E24"/>
    <w:rsid w:val="007F3146"/>
    <w:rsid w:val="007F31EB"/>
    <w:rsid w:val="007F33EC"/>
    <w:rsid w:val="007F3986"/>
    <w:rsid w:val="007F3C8A"/>
    <w:rsid w:val="007F3F4F"/>
    <w:rsid w:val="007F4162"/>
    <w:rsid w:val="007F41B5"/>
    <w:rsid w:val="007F41BC"/>
    <w:rsid w:val="007F42E1"/>
    <w:rsid w:val="007F4579"/>
    <w:rsid w:val="007F4D19"/>
    <w:rsid w:val="007F560A"/>
    <w:rsid w:val="007F5D04"/>
    <w:rsid w:val="007F610C"/>
    <w:rsid w:val="007F6566"/>
    <w:rsid w:val="007F6AB2"/>
    <w:rsid w:val="007F6B5F"/>
    <w:rsid w:val="00800320"/>
    <w:rsid w:val="00800D7B"/>
    <w:rsid w:val="00800EA8"/>
    <w:rsid w:val="00800F1E"/>
    <w:rsid w:val="008011BC"/>
    <w:rsid w:val="008012D9"/>
    <w:rsid w:val="00801520"/>
    <w:rsid w:val="0080182A"/>
    <w:rsid w:val="00801D3F"/>
    <w:rsid w:val="0080232C"/>
    <w:rsid w:val="00802698"/>
    <w:rsid w:val="00802EBF"/>
    <w:rsid w:val="00803193"/>
    <w:rsid w:val="00803974"/>
    <w:rsid w:val="00803F52"/>
    <w:rsid w:val="00803FFA"/>
    <w:rsid w:val="008044D5"/>
    <w:rsid w:val="008052C3"/>
    <w:rsid w:val="00805632"/>
    <w:rsid w:val="00805724"/>
    <w:rsid w:val="00805AC3"/>
    <w:rsid w:val="00805B24"/>
    <w:rsid w:val="00805EF1"/>
    <w:rsid w:val="008065C7"/>
    <w:rsid w:val="00806ADC"/>
    <w:rsid w:val="00806B06"/>
    <w:rsid w:val="00806BCE"/>
    <w:rsid w:val="008072CA"/>
    <w:rsid w:val="00807715"/>
    <w:rsid w:val="0080795B"/>
    <w:rsid w:val="00807B18"/>
    <w:rsid w:val="00807DDD"/>
    <w:rsid w:val="0081001A"/>
    <w:rsid w:val="0081073C"/>
    <w:rsid w:val="00810B7B"/>
    <w:rsid w:val="00810C29"/>
    <w:rsid w:val="008115DA"/>
    <w:rsid w:val="00811613"/>
    <w:rsid w:val="0081179E"/>
    <w:rsid w:val="00811DFB"/>
    <w:rsid w:val="00811E08"/>
    <w:rsid w:val="00812DE6"/>
    <w:rsid w:val="00813826"/>
    <w:rsid w:val="0081389A"/>
    <w:rsid w:val="00813CFF"/>
    <w:rsid w:val="008141B6"/>
    <w:rsid w:val="008143A1"/>
    <w:rsid w:val="00814634"/>
    <w:rsid w:val="00814ED5"/>
    <w:rsid w:val="0081502B"/>
    <w:rsid w:val="00815486"/>
    <w:rsid w:val="008156AB"/>
    <w:rsid w:val="00815D17"/>
    <w:rsid w:val="00816028"/>
    <w:rsid w:val="00816288"/>
    <w:rsid w:val="00816385"/>
    <w:rsid w:val="008165D4"/>
    <w:rsid w:val="00816DBF"/>
    <w:rsid w:val="008171BF"/>
    <w:rsid w:val="00817A2D"/>
    <w:rsid w:val="00817B8E"/>
    <w:rsid w:val="0082132C"/>
    <w:rsid w:val="008218C4"/>
    <w:rsid w:val="00821A33"/>
    <w:rsid w:val="00821B96"/>
    <w:rsid w:val="00821C7A"/>
    <w:rsid w:val="00821E05"/>
    <w:rsid w:val="00822322"/>
    <w:rsid w:val="00822494"/>
    <w:rsid w:val="008227AA"/>
    <w:rsid w:val="008228F6"/>
    <w:rsid w:val="008229A7"/>
    <w:rsid w:val="00822FD3"/>
    <w:rsid w:val="00823661"/>
    <w:rsid w:val="00823674"/>
    <w:rsid w:val="00823A48"/>
    <w:rsid w:val="00823B3B"/>
    <w:rsid w:val="00824182"/>
    <w:rsid w:val="00824B47"/>
    <w:rsid w:val="00824B85"/>
    <w:rsid w:val="00825783"/>
    <w:rsid w:val="00825A8F"/>
    <w:rsid w:val="00825C0F"/>
    <w:rsid w:val="00825E99"/>
    <w:rsid w:val="00825FBF"/>
    <w:rsid w:val="00826212"/>
    <w:rsid w:val="00826312"/>
    <w:rsid w:val="00826A9C"/>
    <w:rsid w:val="00826C49"/>
    <w:rsid w:val="00826C5E"/>
    <w:rsid w:val="008301C2"/>
    <w:rsid w:val="0083023E"/>
    <w:rsid w:val="0083042A"/>
    <w:rsid w:val="00830EA1"/>
    <w:rsid w:val="00830F87"/>
    <w:rsid w:val="00831019"/>
    <w:rsid w:val="008310CA"/>
    <w:rsid w:val="0083167A"/>
    <w:rsid w:val="0083188F"/>
    <w:rsid w:val="0083191F"/>
    <w:rsid w:val="00831939"/>
    <w:rsid w:val="00831B67"/>
    <w:rsid w:val="00831D7E"/>
    <w:rsid w:val="0083252E"/>
    <w:rsid w:val="008329DA"/>
    <w:rsid w:val="00833400"/>
    <w:rsid w:val="00833900"/>
    <w:rsid w:val="00834123"/>
    <w:rsid w:val="00834555"/>
    <w:rsid w:val="00834891"/>
    <w:rsid w:val="0083490F"/>
    <w:rsid w:val="00834B0A"/>
    <w:rsid w:val="00834C34"/>
    <w:rsid w:val="00834C5F"/>
    <w:rsid w:val="00834C96"/>
    <w:rsid w:val="00834D9C"/>
    <w:rsid w:val="008351A8"/>
    <w:rsid w:val="0083571D"/>
    <w:rsid w:val="00835B69"/>
    <w:rsid w:val="00835F48"/>
    <w:rsid w:val="00836D53"/>
    <w:rsid w:val="00837215"/>
    <w:rsid w:val="0083744C"/>
    <w:rsid w:val="00837983"/>
    <w:rsid w:val="0084006C"/>
    <w:rsid w:val="0084018A"/>
    <w:rsid w:val="008408DC"/>
    <w:rsid w:val="008408ED"/>
    <w:rsid w:val="00840A04"/>
    <w:rsid w:val="00840B3A"/>
    <w:rsid w:val="008410CC"/>
    <w:rsid w:val="00841174"/>
    <w:rsid w:val="008412FC"/>
    <w:rsid w:val="00841569"/>
    <w:rsid w:val="0084182B"/>
    <w:rsid w:val="008419CC"/>
    <w:rsid w:val="00841D07"/>
    <w:rsid w:val="008423A1"/>
    <w:rsid w:val="00842B5D"/>
    <w:rsid w:val="00843014"/>
    <w:rsid w:val="008431A2"/>
    <w:rsid w:val="00843C02"/>
    <w:rsid w:val="00843F09"/>
    <w:rsid w:val="008440BD"/>
    <w:rsid w:val="00844156"/>
    <w:rsid w:val="00844187"/>
    <w:rsid w:val="0084453C"/>
    <w:rsid w:val="00844A05"/>
    <w:rsid w:val="008453A5"/>
    <w:rsid w:val="008454DE"/>
    <w:rsid w:val="0084556A"/>
    <w:rsid w:val="008455B8"/>
    <w:rsid w:val="008456E9"/>
    <w:rsid w:val="0084575B"/>
    <w:rsid w:val="00845C4B"/>
    <w:rsid w:val="00845D12"/>
    <w:rsid w:val="00845EE2"/>
    <w:rsid w:val="0084624E"/>
    <w:rsid w:val="00846422"/>
    <w:rsid w:val="0084669A"/>
    <w:rsid w:val="00846A21"/>
    <w:rsid w:val="00846A9D"/>
    <w:rsid w:val="00846BC9"/>
    <w:rsid w:val="00846C65"/>
    <w:rsid w:val="0084742C"/>
    <w:rsid w:val="00847B32"/>
    <w:rsid w:val="00847C71"/>
    <w:rsid w:val="0085017B"/>
    <w:rsid w:val="00850291"/>
    <w:rsid w:val="0085059A"/>
    <w:rsid w:val="008505D0"/>
    <w:rsid w:val="008505E4"/>
    <w:rsid w:val="00850FD6"/>
    <w:rsid w:val="0085123B"/>
    <w:rsid w:val="00851395"/>
    <w:rsid w:val="0085199B"/>
    <w:rsid w:val="00851ADD"/>
    <w:rsid w:val="0085233B"/>
    <w:rsid w:val="00852E37"/>
    <w:rsid w:val="00853756"/>
    <w:rsid w:val="00853ABC"/>
    <w:rsid w:val="00853D3C"/>
    <w:rsid w:val="00854253"/>
    <w:rsid w:val="008545F6"/>
    <w:rsid w:val="00854E3E"/>
    <w:rsid w:val="00855187"/>
    <w:rsid w:val="008551F4"/>
    <w:rsid w:val="00855449"/>
    <w:rsid w:val="008558E7"/>
    <w:rsid w:val="00856141"/>
    <w:rsid w:val="00856282"/>
    <w:rsid w:val="00856769"/>
    <w:rsid w:val="0085691F"/>
    <w:rsid w:val="00856D21"/>
    <w:rsid w:val="00856E64"/>
    <w:rsid w:val="00856F06"/>
    <w:rsid w:val="00857118"/>
    <w:rsid w:val="0085729E"/>
    <w:rsid w:val="0085799E"/>
    <w:rsid w:val="00857B94"/>
    <w:rsid w:val="00857D6D"/>
    <w:rsid w:val="00860617"/>
    <w:rsid w:val="0086072D"/>
    <w:rsid w:val="008609AA"/>
    <w:rsid w:val="00860D35"/>
    <w:rsid w:val="00860F32"/>
    <w:rsid w:val="0086137B"/>
    <w:rsid w:val="008617DA"/>
    <w:rsid w:val="008621D6"/>
    <w:rsid w:val="008624D9"/>
    <w:rsid w:val="00863626"/>
    <w:rsid w:val="008641B7"/>
    <w:rsid w:val="00864758"/>
    <w:rsid w:val="00864A4F"/>
    <w:rsid w:val="00864F6D"/>
    <w:rsid w:val="008656C6"/>
    <w:rsid w:val="008658D7"/>
    <w:rsid w:val="00865F15"/>
    <w:rsid w:val="008661A8"/>
    <w:rsid w:val="00866978"/>
    <w:rsid w:val="008669E8"/>
    <w:rsid w:val="00866D0E"/>
    <w:rsid w:val="00866DE2"/>
    <w:rsid w:val="008676E7"/>
    <w:rsid w:val="00867EC9"/>
    <w:rsid w:val="0087013A"/>
    <w:rsid w:val="00870579"/>
    <w:rsid w:val="00870E3A"/>
    <w:rsid w:val="008712E7"/>
    <w:rsid w:val="008715C5"/>
    <w:rsid w:val="008715D0"/>
    <w:rsid w:val="008717BD"/>
    <w:rsid w:val="00871F15"/>
    <w:rsid w:val="00872038"/>
    <w:rsid w:val="00872E2C"/>
    <w:rsid w:val="00872FA1"/>
    <w:rsid w:val="0087302F"/>
    <w:rsid w:val="008732B4"/>
    <w:rsid w:val="00873501"/>
    <w:rsid w:val="00873754"/>
    <w:rsid w:val="008738F8"/>
    <w:rsid w:val="0087413A"/>
    <w:rsid w:val="00874167"/>
    <w:rsid w:val="00875776"/>
    <w:rsid w:val="00875A8A"/>
    <w:rsid w:val="00875C94"/>
    <w:rsid w:val="00876247"/>
    <w:rsid w:val="0087634C"/>
    <w:rsid w:val="008766CB"/>
    <w:rsid w:val="00876CE8"/>
    <w:rsid w:val="0087711E"/>
    <w:rsid w:val="008775C9"/>
    <w:rsid w:val="008775D1"/>
    <w:rsid w:val="0087775F"/>
    <w:rsid w:val="00877AD9"/>
    <w:rsid w:val="00877D66"/>
    <w:rsid w:val="00877E9B"/>
    <w:rsid w:val="0088042E"/>
    <w:rsid w:val="008806C7"/>
    <w:rsid w:val="0088094D"/>
    <w:rsid w:val="00880F38"/>
    <w:rsid w:val="00881035"/>
    <w:rsid w:val="00881283"/>
    <w:rsid w:val="008816CE"/>
    <w:rsid w:val="00881746"/>
    <w:rsid w:val="00881AFD"/>
    <w:rsid w:val="00881BDF"/>
    <w:rsid w:val="00881D1E"/>
    <w:rsid w:val="0088227D"/>
    <w:rsid w:val="00882495"/>
    <w:rsid w:val="0088306B"/>
    <w:rsid w:val="00883078"/>
    <w:rsid w:val="008830EE"/>
    <w:rsid w:val="0088357B"/>
    <w:rsid w:val="00883CD8"/>
    <w:rsid w:val="00883D4B"/>
    <w:rsid w:val="00883FE7"/>
    <w:rsid w:val="008842DA"/>
    <w:rsid w:val="00884363"/>
    <w:rsid w:val="0088457D"/>
    <w:rsid w:val="0088484E"/>
    <w:rsid w:val="00884BEC"/>
    <w:rsid w:val="00884EB4"/>
    <w:rsid w:val="0088532C"/>
    <w:rsid w:val="008853DB"/>
    <w:rsid w:val="00885820"/>
    <w:rsid w:val="00885A82"/>
    <w:rsid w:val="00885E74"/>
    <w:rsid w:val="00886019"/>
    <w:rsid w:val="00886164"/>
    <w:rsid w:val="00886435"/>
    <w:rsid w:val="008869DB"/>
    <w:rsid w:val="00886C43"/>
    <w:rsid w:val="00886D0E"/>
    <w:rsid w:val="00886EB1"/>
    <w:rsid w:val="008870D9"/>
    <w:rsid w:val="008874EB"/>
    <w:rsid w:val="008875A2"/>
    <w:rsid w:val="0088777B"/>
    <w:rsid w:val="008877C3"/>
    <w:rsid w:val="008879E6"/>
    <w:rsid w:val="00887D3E"/>
    <w:rsid w:val="00887DD1"/>
    <w:rsid w:val="00887FDD"/>
    <w:rsid w:val="008900F8"/>
    <w:rsid w:val="00890244"/>
    <w:rsid w:val="00890C88"/>
    <w:rsid w:val="00890CC6"/>
    <w:rsid w:val="00891055"/>
    <w:rsid w:val="008913B1"/>
    <w:rsid w:val="00891521"/>
    <w:rsid w:val="00891640"/>
    <w:rsid w:val="008925CC"/>
    <w:rsid w:val="00892BA7"/>
    <w:rsid w:val="00892D3C"/>
    <w:rsid w:val="00892EA2"/>
    <w:rsid w:val="00892F04"/>
    <w:rsid w:val="0089349A"/>
    <w:rsid w:val="00893BE1"/>
    <w:rsid w:val="00894C90"/>
    <w:rsid w:val="00894EEA"/>
    <w:rsid w:val="0089502A"/>
    <w:rsid w:val="008956B9"/>
    <w:rsid w:val="00895A45"/>
    <w:rsid w:val="00895D58"/>
    <w:rsid w:val="00896B08"/>
    <w:rsid w:val="0089715A"/>
    <w:rsid w:val="0089758E"/>
    <w:rsid w:val="008975FB"/>
    <w:rsid w:val="008977DB"/>
    <w:rsid w:val="00897F12"/>
    <w:rsid w:val="008A0574"/>
    <w:rsid w:val="008A07E7"/>
    <w:rsid w:val="008A0CA2"/>
    <w:rsid w:val="008A0D01"/>
    <w:rsid w:val="008A0D05"/>
    <w:rsid w:val="008A1386"/>
    <w:rsid w:val="008A18C1"/>
    <w:rsid w:val="008A2CAD"/>
    <w:rsid w:val="008A30D3"/>
    <w:rsid w:val="008A3125"/>
    <w:rsid w:val="008A4001"/>
    <w:rsid w:val="008A40B4"/>
    <w:rsid w:val="008A4625"/>
    <w:rsid w:val="008A46EC"/>
    <w:rsid w:val="008A4EBD"/>
    <w:rsid w:val="008A5032"/>
    <w:rsid w:val="008A5181"/>
    <w:rsid w:val="008A5369"/>
    <w:rsid w:val="008A554C"/>
    <w:rsid w:val="008A5623"/>
    <w:rsid w:val="008A581C"/>
    <w:rsid w:val="008A5C5A"/>
    <w:rsid w:val="008A669B"/>
    <w:rsid w:val="008A6D7B"/>
    <w:rsid w:val="008A72F9"/>
    <w:rsid w:val="008A766C"/>
    <w:rsid w:val="008A7909"/>
    <w:rsid w:val="008A7A24"/>
    <w:rsid w:val="008A7AC2"/>
    <w:rsid w:val="008A7DE8"/>
    <w:rsid w:val="008B0022"/>
    <w:rsid w:val="008B02E8"/>
    <w:rsid w:val="008B07A5"/>
    <w:rsid w:val="008B10CE"/>
    <w:rsid w:val="008B115E"/>
    <w:rsid w:val="008B16BC"/>
    <w:rsid w:val="008B1AD8"/>
    <w:rsid w:val="008B1C8A"/>
    <w:rsid w:val="008B1D4E"/>
    <w:rsid w:val="008B1DAE"/>
    <w:rsid w:val="008B1E31"/>
    <w:rsid w:val="008B1F96"/>
    <w:rsid w:val="008B25A0"/>
    <w:rsid w:val="008B2722"/>
    <w:rsid w:val="008B2F9B"/>
    <w:rsid w:val="008B3122"/>
    <w:rsid w:val="008B3725"/>
    <w:rsid w:val="008B4014"/>
    <w:rsid w:val="008B4243"/>
    <w:rsid w:val="008B44A5"/>
    <w:rsid w:val="008B4F67"/>
    <w:rsid w:val="008B5AC8"/>
    <w:rsid w:val="008B5D1B"/>
    <w:rsid w:val="008B5E6E"/>
    <w:rsid w:val="008B68D8"/>
    <w:rsid w:val="008B6A7D"/>
    <w:rsid w:val="008B7006"/>
    <w:rsid w:val="008B7230"/>
    <w:rsid w:val="008B760E"/>
    <w:rsid w:val="008B7836"/>
    <w:rsid w:val="008B7A30"/>
    <w:rsid w:val="008B7D9B"/>
    <w:rsid w:val="008C0396"/>
    <w:rsid w:val="008C04FD"/>
    <w:rsid w:val="008C07AD"/>
    <w:rsid w:val="008C09C0"/>
    <w:rsid w:val="008C0B9E"/>
    <w:rsid w:val="008C0EFD"/>
    <w:rsid w:val="008C1326"/>
    <w:rsid w:val="008C1576"/>
    <w:rsid w:val="008C1C21"/>
    <w:rsid w:val="008C1C87"/>
    <w:rsid w:val="008C1E0F"/>
    <w:rsid w:val="008C228B"/>
    <w:rsid w:val="008C3C94"/>
    <w:rsid w:val="008C3EA3"/>
    <w:rsid w:val="008C41DA"/>
    <w:rsid w:val="008C4229"/>
    <w:rsid w:val="008C5066"/>
    <w:rsid w:val="008C54AC"/>
    <w:rsid w:val="008C564A"/>
    <w:rsid w:val="008C56A7"/>
    <w:rsid w:val="008C57A2"/>
    <w:rsid w:val="008C585E"/>
    <w:rsid w:val="008C5AB3"/>
    <w:rsid w:val="008C5CF4"/>
    <w:rsid w:val="008C5E47"/>
    <w:rsid w:val="008C60B7"/>
    <w:rsid w:val="008C60F8"/>
    <w:rsid w:val="008C63E4"/>
    <w:rsid w:val="008C66FD"/>
    <w:rsid w:val="008C6758"/>
    <w:rsid w:val="008C69CE"/>
    <w:rsid w:val="008C73E8"/>
    <w:rsid w:val="008C757C"/>
    <w:rsid w:val="008C7AC8"/>
    <w:rsid w:val="008C7D96"/>
    <w:rsid w:val="008C7EB2"/>
    <w:rsid w:val="008D0D95"/>
    <w:rsid w:val="008D11A8"/>
    <w:rsid w:val="008D1566"/>
    <w:rsid w:val="008D1B09"/>
    <w:rsid w:val="008D1E56"/>
    <w:rsid w:val="008D235F"/>
    <w:rsid w:val="008D244A"/>
    <w:rsid w:val="008D27A2"/>
    <w:rsid w:val="008D2B93"/>
    <w:rsid w:val="008D2FA4"/>
    <w:rsid w:val="008D3B61"/>
    <w:rsid w:val="008D3E3F"/>
    <w:rsid w:val="008D3FF5"/>
    <w:rsid w:val="008D44F4"/>
    <w:rsid w:val="008D4C18"/>
    <w:rsid w:val="008D4E52"/>
    <w:rsid w:val="008D4E84"/>
    <w:rsid w:val="008D5BBD"/>
    <w:rsid w:val="008D5C9B"/>
    <w:rsid w:val="008D60BF"/>
    <w:rsid w:val="008D60F7"/>
    <w:rsid w:val="008D6452"/>
    <w:rsid w:val="008D6D63"/>
    <w:rsid w:val="008D734D"/>
    <w:rsid w:val="008D7647"/>
    <w:rsid w:val="008D7941"/>
    <w:rsid w:val="008D7F2B"/>
    <w:rsid w:val="008D7F4F"/>
    <w:rsid w:val="008E00F0"/>
    <w:rsid w:val="008E0AC9"/>
    <w:rsid w:val="008E0C53"/>
    <w:rsid w:val="008E0F70"/>
    <w:rsid w:val="008E0FF3"/>
    <w:rsid w:val="008E1206"/>
    <w:rsid w:val="008E165D"/>
    <w:rsid w:val="008E188F"/>
    <w:rsid w:val="008E190E"/>
    <w:rsid w:val="008E1AD7"/>
    <w:rsid w:val="008E1BE2"/>
    <w:rsid w:val="008E1D8C"/>
    <w:rsid w:val="008E28A4"/>
    <w:rsid w:val="008E2A53"/>
    <w:rsid w:val="008E2B1F"/>
    <w:rsid w:val="008E2C31"/>
    <w:rsid w:val="008E2EDA"/>
    <w:rsid w:val="008E3306"/>
    <w:rsid w:val="008E3663"/>
    <w:rsid w:val="008E3A26"/>
    <w:rsid w:val="008E4162"/>
    <w:rsid w:val="008E4325"/>
    <w:rsid w:val="008E4653"/>
    <w:rsid w:val="008E4A89"/>
    <w:rsid w:val="008E5032"/>
    <w:rsid w:val="008E5410"/>
    <w:rsid w:val="008E58FD"/>
    <w:rsid w:val="008E5F2D"/>
    <w:rsid w:val="008E6477"/>
    <w:rsid w:val="008E68F1"/>
    <w:rsid w:val="008E6A6D"/>
    <w:rsid w:val="008E6FD7"/>
    <w:rsid w:val="008E6FDD"/>
    <w:rsid w:val="008E7141"/>
    <w:rsid w:val="008E7353"/>
    <w:rsid w:val="008E76BD"/>
    <w:rsid w:val="008E7846"/>
    <w:rsid w:val="008E7C2B"/>
    <w:rsid w:val="008E7CA6"/>
    <w:rsid w:val="008F034D"/>
    <w:rsid w:val="008F0600"/>
    <w:rsid w:val="008F0CF3"/>
    <w:rsid w:val="008F12C6"/>
    <w:rsid w:val="008F192B"/>
    <w:rsid w:val="008F19B0"/>
    <w:rsid w:val="008F1A9E"/>
    <w:rsid w:val="008F1C40"/>
    <w:rsid w:val="008F1F00"/>
    <w:rsid w:val="008F22C8"/>
    <w:rsid w:val="008F2547"/>
    <w:rsid w:val="008F2794"/>
    <w:rsid w:val="008F2A15"/>
    <w:rsid w:val="008F2CCD"/>
    <w:rsid w:val="008F2DB7"/>
    <w:rsid w:val="008F2EA6"/>
    <w:rsid w:val="008F3483"/>
    <w:rsid w:val="008F348A"/>
    <w:rsid w:val="008F3694"/>
    <w:rsid w:val="008F3DE8"/>
    <w:rsid w:val="008F3E16"/>
    <w:rsid w:val="008F3EEB"/>
    <w:rsid w:val="008F400B"/>
    <w:rsid w:val="008F41EA"/>
    <w:rsid w:val="008F54F8"/>
    <w:rsid w:val="008F578D"/>
    <w:rsid w:val="008F62E9"/>
    <w:rsid w:val="008F6753"/>
    <w:rsid w:val="008F6A97"/>
    <w:rsid w:val="008F6CA8"/>
    <w:rsid w:val="008F71EB"/>
    <w:rsid w:val="008F7405"/>
    <w:rsid w:val="008F7C9C"/>
    <w:rsid w:val="009000F5"/>
    <w:rsid w:val="00900B56"/>
    <w:rsid w:val="00901043"/>
    <w:rsid w:val="009011D2"/>
    <w:rsid w:val="00901222"/>
    <w:rsid w:val="009016B2"/>
    <w:rsid w:val="00901923"/>
    <w:rsid w:val="00901EF2"/>
    <w:rsid w:val="0090280A"/>
    <w:rsid w:val="009032D2"/>
    <w:rsid w:val="00903936"/>
    <w:rsid w:val="00903BAA"/>
    <w:rsid w:val="00903D2F"/>
    <w:rsid w:val="00904772"/>
    <w:rsid w:val="00904DB4"/>
    <w:rsid w:val="009050F1"/>
    <w:rsid w:val="009058A8"/>
    <w:rsid w:val="00905EAF"/>
    <w:rsid w:val="00905FA3"/>
    <w:rsid w:val="00906445"/>
    <w:rsid w:val="0090653C"/>
    <w:rsid w:val="00906745"/>
    <w:rsid w:val="00906AC8"/>
    <w:rsid w:val="00906C4E"/>
    <w:rsid w:val="00907998"/>
    <w:rsid w:val="00907F4D"/>
    <w:rsid w:val="00910689"/>
    <w:rsid w:val="0091085E"/>
    <w:rsid w:val="00910A82"/>
    <w:rsid w:val="00910AE7"/>
    <w:rsid w:val="00910FBD"/>
    <w:rsid w:val="009111B2"/>
    <w:rsid w:val="0091138E"/>
    <w:rsid w:val="00911697"/>
    <w:rsid w:val="00911F4F"/>
    <w:rsid w:val="00912464"/>
    <w:rsid w:val="00912AE8"/>
    <w:rsid w:val="00912E3F"/>
    <w:rsid w:val="00912F26"/>
    <w:rsid w:val="00913E1F"/>
    <w:rsid w:val="00914023"/>
    <w:rsid w:val="009143A7"/>
    <w:rsid w:val="00914413"/>
    <w:rsid w:val="009158FF"/>
    <w:rsid w:val="00915A13"/>
    <w:rsid w:val="00915DEF"/>
    <w:rsid w:val="00916520"/>
    <w:rsid w:val="00916CEA"/>
    <w:rsid w:val="00917913"/>
    <w:rsid w:val="00917FDF"/>
    <w:rsid w:val="00920074"/>
    <w:rsid w:val="009201ED"/>
    <w:rsid w:val="00921460"/>
    <w:rsid w:val="0092147A"/>
    <w:rsid w:val="009214C0"/>
    <w:rsid w:val="00921801"/>
    <w:rsid w:val="009218DB"/>
    <w:rsid w:val="00921AAD"/>
    <w:rsid w:val="00921DD1"/>
    <w:rsid w:val="00921FAF"/>
    <w:rsid w:val="0092204D"/>
    <w:rsid w:val="00922849"/>
    <w:rsid w:val="009228DC"/>
    <w:rsid w:val="00922D39"/>
    <w:rsid w:val="009235B2"/>
    <w:rsid w:val="0092385E"/>
    <w:rsid w:val="009238E4"/>
    <w:rsid w:val="00923B33"/>
    <w:rsid w:val="00923D52"/>
    <w:rsid w:val="009244D2"/>
    <w:rsid w:val="00924AEE"/>
    <w:rsid w:val="009254D2"/>
    <w:rsid w:val="00925506"/>
    <w:rsid w:val="0092632A"/>
    <w:rsid w:val="00926392"/>
    <w:rsid w:val="00926D34"/>
    <w:rsid w:val="00927BEA"/>
    <w:rsid w:val="0093000D"/>
    <w:rsid w:val="00930144"/>
    <w:rsid w:val="0093029B"/>
    <w:rsid w:val="00930970"/>
    <w:rsid w:val="009309D3"/>
    <w:rsid w:val="00930F03"/>
    <w:rsid w:val="0093186B"/>
    <w:rsid w:val="00931B3B"/>
    <w:rsid w:val="00931CB7"/>
    <w:rsid w:val="0093215F"/>
    <w:rsid w:val="00932653"/>
    <w:rsid w:val="009326E1"/>
    <w:rsid w:val="00932A2A"/>
    <w:rsid w:val="00932AFE"/>
    <w:rsid w:val="00932B7E"/>
    <w:rsid w:val="009333B6"/>
    <w:rsid w:val="00933AD3"/>
    <w:rsid w:val="00933EB5"/>
    <w:rsid w:val="00933FDD"/>
    <w:rsid w:val="00934D6E"/>
    <w:rsid w:val="00935168"/>
    <w:rsid w:val="0093543E"/>
    <w:rsid w:val="00936085"/>
    <w:rsid w:val="0093663B"/>
    <w:rsid w:val="00936A86"/>
    <w:rsid w:val="00936AA3"/>
    <w:rsid w:val="00936B80"/>
    <w:rsid w:val="00936CFC"/>
    <w:rsid w:val="00936D41"/>
    <w:rsid w:val="00937185"/>
    <w:rsid w:val="009373AF"/>
    <w:rsid w:val="00937825"/>
    <w:rsid w:val="0093782F"/>
    <w:rsid w:val="00937F22"/>
    <w:rsid w:val="0094043F"/>
    <w:rsid w:val="009404A2"/>
    <w:rsid w:val="009407A8"/>
    <w:rsid w:val="00940897"/>
    <w:rsid w:val="009409D8"/>
    <w:rsid w:val="00940B36"/>
    <w:rsid w:val="00940F65"/>
    <w:rsid w:val="009412BB"/>
    <w:rsid w:val="00941580"/>
    <w:rsid w:val="0094173D"/>
    <w:rsid w:val="00941CAA"/>
    <w:rsid w:val="00941DCA"/>
    <w:rsid w:val="0094229A"/>
    <w:rsid w:val="00942B4D"/>
    <w:rsid w:val="00942D30"/>
    <w:rsid w:val="009430D9"/>
    <w:rsid w:val="009434EB"/>
    <w:rsid w:val="009435C8"/>
    <w:rsid w:val="009439BA"/>
    <w:rsid w:val="00943A7C"/>
    <w:rsid w:val="00943BD1"/>
    <w:rsid w:val="00943F82"/>
    <w:rsid w:val="009440EC"/>
    <w:rsid w:val="00944486"/>
    <w:rsid w:val="009445D3"/>
    <w:rsid w:val="00944834"/>
    <w:rsid w:val="00945606"/>
    <w:rsid w:val="00945BFC"/>
    <w:rsid w:val="00945C12"/>
    <w:rsid w:val="00945E9A"/>
    <w:rsid w:val="009462B6"/>
    <w:rsid w:val="00946342"/>
    <w:rsid w:val="0094644C"/>
    <w:rsid w:val="0094646B"/>
    <w:rsid w:val="009465D0"/>
    <w:rsid w:val="00946859"/>
    <w:rsid w:val="00946C44"/>
    <w:rsid w:val="00946CA4"/>
    <w:rsid w:val="00946E1A"/>
    <w:rsid w:val="009471C2"/>
    <w:rsid w:val="0094722A"/>
    <w:rsid w:val="00947F80"/>
    <w:rsid w:val="009500E4"/>
    <w:rsid w:val="009501C1"/>
    <w:rsid w:val="009506DC"/>
    <w:rsid w:val="0095092B"/>
    <w:rsid w:val="0095095D"/>
    <w:rsid w:val="00950976"/>
    <w:rsid w:val="00950B17"/>
    <w:rsid w:val="00950FEC"/>
    <w:rsid w:val="00951356"/>
    <w:rsid w:val="00951774"/>
    <w:rsid w:val="0095193A"/>
    <w:rsid w:val="00951A60"/>
    <w:rsid w:val="00952129"/>
    <w:rsid w:val="009528F2"/>
    <w:rsid w:val="00952E38"/>
    <w:rsid w:val="00952FCE"/>
    <w:rsid w:val="00953266"/>
    <w:rsid w:val="0095331B"/>
    <w:rsid w:val="009537B0"/>
    <w:rsid w:val="009538A6"/>
    <w:rsid w:val="00953CEB"/>
    <w:rsid w:val="00953D04"/>
    <w:rsid w:val="0095441E"/>
    <w:rsid w:val="0095466A"/>
    <w:rsid w:val="0095481C"/>
    <w:rsid w:val="009548B3"/>
    <w:rsid w:val="00954C2D"/>
    <w:rsid w:val="00955020"/>
    <w:rsid w:val="0095516C"/>
    <w:rsid w:val="009554C7"/>
    <w:rsid w:val="0095576D"/>
    <w:rsid w:val="009557CD"/>
    <w:rsid w:val="00955BDA"/>
    <w:rsid w:val="00955CEE"/>
    <w:rsid w:val="00955F1C"/>
    <w:rsid w:val="009563EC"/>
    <w:rsid w:val="00956563"/>
    <w:rsid w:val="0095675C"/>
    <w:rsid w:val="00956763"/>
    <w:rsid w:val="00956AB7"/>
    <w:rsid w:val="00956BC7"/>
    <w:rsid w:val="00956D8A"/>
    <w:rsid w:val="00956DC7"/>
    <w:rsid w:val="00957009"/>
    <w:rsid w:val="009572F6"/>
    <w:rsid w:val="0095789D"/>
    <w:rsid w:val="00957BD9"/>
    <w:rsid w:val="00957D68"/>
    <w:rsid w:val="00960161"/>
    <w:rsid w:val="009601FE"/>
    <w:rsid w:val="0096073E"/>
    <w:rsid w:val="0096081A"/>
    <w:rsid w:val="00960A95"/>
    <w:rsid w:val="00960D24"/>
    <w:rsid w:val="00960D53"/>
    <w:rsid w:val="00960E86"/>
    <w:rsid w:val="009618B7"/>
    <w:rsid w:val="009618F9"/>
    <w:rsid w:val="00961C58"/>
    <w:rsid w:val="00961FBB"/>
    <w:rsid w:val="0096243D"/>
    <w:rsid w:val="00962512"/>
    <w:rsid w:val="009629CB"/>
    <w:rsid w:val="00962ED7"/>
    <w:rsid w:val="00962FF9"/>
    <w:rsid w:val="00963E83"/>
    <w:rsid w:val="00963FDB"/>
    <w:rsid w:val="0096414F"/>
    <w:rsid w:val="0096436C"/>
    <w:rsid w:val="00964579"/>
    <w:rsid w:val="009648F4"/>
    <w:rsid w:val="00964CEB"/>
    <w:rsid w:val="0096501B"/>
    <w:rsid w:val="0096563E"/>
    <w:rsid w:val="00965671"/>
    <w:rsid w:val="009659F4"/>
    <w:rsid w:val="00965EAA"/>
    <w:rsid w:val="009664A3"/>
    <w:rsid w:val="009670FC"/>
    <w:rsid w:val="009671BA"/>
    <w:rsid w:val="00967517"/>
    <w:rsid w:val="00967D82"/>
    <w:rsid w:val="0097014D"/>
    <w:rsid w:val="0097047C"/>
    <w:rsid w:val="00970B8F"/>
    <w:rsid w:val="009712C9"/>
    <w:rsid w:val="0097135E"/>
    <w:rsid w:val="009714EC"/>
    <w:rsid w:val="00971DD9"/>
    <w:rsid w:val="00972264"/>
    <w:rsid w:val="0097234F"/>
    <w:rsid w:val="0097244C"/>
    <w:rsid w:val="009730A3"/>
    <w:rsid w:val="0097359E"/>
    <w:rsid w:val="009739F3"/>
    <w:rsid w:val="00973B95"/>
    <w:rsid w:val="00974830"/>
    <w:rsid w:val="00974AF2"/>
    <w:rsid w:val="00974C0F"/>
    <w:rsid w:val="00974F2E"/>
    <w:rsid w:val="00975022"/>
    <w:rsid w:val="009750AF"/>
    <w:rsid w:val="009757A0"/>
    <w:rsid w:val="0097632B"/>
    <w:rsid w:val="00976FD2"/>
    <w:rsid w:val="009806A9"/>
    <w:rsid w:val="009809D9"/>
    <w:rsid w:val="00980B88"/>
    <w:rsid w:val="009819D0"/>
    <w:rsid w:val="00981BB1"/>
    <w:rsid w:val="00981D89"/>
    <w:rsid w:val="00981EE3"/>
    <w:rsid w:val="009822D8"/>
    <w:rsid w:val="00982680"/>
    <w:rsid w:val="00983287"/>
    <w:rsid w:val="00983308"/>
    <w:rsid w:val="009839DD"/>
    <w:rsid w:val="00983EA7"/>
    <w:rsid w:val="00983F28"/>
    <w:rsid w:val="0098459E"/>
    <w:rsid w:val="00984605"/>
    <w:rsid w:val="00984A0A"/>
    <w:rsid w:val="0098503E"/>
    <w:rsid w:val="00985CF1"/>
    <w:rsid w:val="0098666E"/>
    <w:rsid w:val="00986A27"/>
    <w:rsid w:val="00986E56"/>
    <w:rsid w:val="00987168"/>
    <w:rsid w:val="00987306"/>
    <w:rsid w:val="009878BD"/>
    <w:rsid w:val="00987A32"/>
    <w:rsid w:val="00987BE6"/>
    <w:rsid w:val="00987FAF"/>
    <w:rsid w:val="00990153"/>
    <w:rsid w:val="009902D5"/>
    <w:rsid w:val="00990368"/>
    <w:rsid w:val="0099036E"/>
    <w:rsid w:val="0099194B"/>
    <w:rsid w:val="0099194F"/>
    <w:rsid w:val="00991C2C"/>
    <w:rsid w:val="00991DAE"/>
    <w:rsid w:val="00991F3E"/>
    <w:rsid w:val="00991FA0"/>
    <w:rsid w:val="00992156"/>
    <w:rsid w:val="00992826"/>
    <w:rsid w:val="00992888"/>
    <w:rsid w:val="009929D7"/>
    <w:rsid w:val="0099304A"/>
    <w:rsid w:val="00993853"/>
    <w:rsid w:val="00993D34"/>
    <w:rsid w:val="00994560"/>
    <w:rsid w:val="009947D5"/>
    <w:rsid w:val="00994C46"/>
    <w:rsid w:val="009965AF"/>
    <w:rsid w:val="00997094"/>
    <w:rsid w:val="009972CF"/>
    <w:rsid w:val="0099741C"/>
    <w:rsid w:val="009974ED"/>
    <w:rsid w:val="00997B6C"/>
    <w:rsid w:val="00997F42"/>
    <w:rsid w:val="009A0BAD"/>
    <w:rsid w:val="009A0E24"/>
    <w:rsid w:val="009A0F15"/>
    <w:rsid w:val="009A1075"/>
    <w:rsid w:val="009A1661"/>
    <w:rsid w:val="009A1BA8"/>
    <w:rsid w:val="009A1CAE"/>
    <w:rsid w:val="009A241A"/>
    <w:rsid w:val="009A2863"/>
    <w:rsid w:val="009A29D8"/>
    <w:rsid w:val="009A2C0A"/>
    <w:rsid w:val="009A2C6A"/>
    <w:rsid w:val="009A2D60"/>
    <w:rsid w:val="009A2ED9"/>
    <w:rsid w:val="009A3068"/>
    <w:rsid w:val="009A3503"/>
    <w:rsid w:val="009A36DD"/>
    <w:rsid w:val="009A3847"/>
    <w:rsid w:val="009A392B"/>
    <w:rsid w:val="009A4A91"/>
    <w:rsid w:val="009A4D9D"/>
    <w:rsid w:val="009A50D5"/>
    <w:rsid w:val="009A54B9"/>
    <w:rsid w:val="009A5516"/>
    <w:rsid w:val="009A5582"/>
    <w:rsid w:val="009A56AB"/>
    <w:rsid w:val="009A5A95"/>
    <w:rsid w:val="009A5C0D"/>
    <w:rsid w:val="009A5E12"/>
    <w:rsid w:val="009A5E59"/>
    <w:rsid w:val="009A6139"/>
    <w:rsid w:val="009A633C"/>
    <w:rsid w:val="009A63ED"/>
    <w:rsid w:val="009A6438"/>
    <w:rsid w:val="009A6723"/>
    <w:rsid w:val="009A67E9"/>
    <w:rsid w:val="009A6985"/>
    <w:rsid w:val="009A6CD6"/>
    <w:rsid w:val="009A6D7F"/>
    <w:rsid w:val="009A7B7A"/>
    <w:rsid w:val="009B0318"/>
    <w:rsid w:val="009B0411"/>
    <w:rsid w:val="009B0892"/>
    <w:rsid w:val="009B117E"/>
    <w:rsid w:val="009B1481"/>
    <w:rsid w:val="009B1537"/>
    <w:rsid w:val="009B19D1"/>
    <w:rsid w:val="009B1CCA"/>
    <w:rsid w:val="009B3998"/>
    <w:rsid w:val="009B460D"/>
    <w:rsid w:val="009B482F"/>
    <w:rsid w:val="009B4F8C"/>
    <w:rsid w:val="009B5070"/>
    <w:rsid w:val="009B5134"/>
    <w:rsid w:val="009B5703"/>
    <w:rsid w:val="009B5BC5"/>
    <w:rsid w:val="009B6052"/>
    <w:rsid w:val="009B66FA"/>
    <w:rsid w:val="009B6E45"/>
    <w:rsid w:val="009B7053"/>
    <w:rsid w:val="009B79C2"/>
    <w:rsid w:val="009B7DBE"/>
    <w:rsid w:val="009C08FB"/>
    <w:rsid w:val="009C0CD1"/>
    <w:rsid w:val="009C1B33"/>
    <w:rsid w:val="009C2123"/>
    <w:rsid w:val="009C249B"/>
    <w:rsid w:val="009C2D18"/>
    <w:rsid w:val="009C2D44"/>
    <w:rsid w:val="009C336C"/>
    <w:rsid w:val="009C353B"/>
    <w:rsid w:val="009C3B55"/>
    <w:rsid w:val="009C3CFE"/>
    <w:rsid w:val="009C4054"/>
    <w:rsid w:val="009C43E7"/>
    <w:rsid w:val="009C4690"/>
    <w:rsid w:val="009C4797"/>
    <w:rsid w:val="009C48DF"/>
    <w:rsid w:val="009C4C0F"/>
    <w:rsid w:val="009C4CA1"/>
    <w:rsid w:val="009C4DC8"/>
    <w:rsid w:val="009C5183"/>
    <w:rsid w:val="009C5721"/>
    <w:rsid w:val="009C5992"/>
    <w:rsid w:val="009C61BE"/>
    <w:rsid w:val="009C6AA7"/>
    <w:rsid w:val="009C6CF7"/>
    <w:rsid w:val="009C7269"/>
    <w:rsid w:val="009C760A"/>
    <w:rsid w:val="009C7B58"/>
    <w:rsid w:val="009C7B81"/>
    <w:rsid w:val="009C7D69"/>
    <w:rsid w:val="009C7FEF"/>
    <w:rsid w:val="009D0954"/>
    <w:rsid w:val="009D129B"/>
    <w:rsid w:val="009D1581"/>
    <w:rsid w:val="009D17EE"/>
    <w:rsid w:val="009D1DB0"/>
    <w:rsid w:val="009D1E0A"/>
    <w:rsid w:val="009D1F8A"/>
    <w:rsid w:val="009D2268"/>
    <w:rsid w:val="009D2619"/>
    <w:rsid w:val="009D26FF"/>
    <w:rsid w:val="009D2FBD"/>
    <w:rsid w:val="009D35FD"/>
    <w:rsid w:val="009D37A0"/>
    <w:rsid w:val="009D3824"/>
    <w:rsid w:val="009D394F"/>
    <w:rsid w:val="009D45D6"/>
    <w:rsid w:val="009D478F"/>
    <w:rsid w:val="009D48B0"/>
    <w:rsid w:val="009D50A0"/>
    <w:rsid w:val="009D52D9"/>
    <w:rsid w:val="009D5769"/>
    <w:rsid w:val="009D6076"/>
    <w:rsid w:val="009D61D7"/>
    <w:rsid w:val="009D6856"/>
    <w:rsid w:val="009D7092"/>
    <w:rsid w:val="009D73B8"/>
    <w:rsid w:val="009D7AD9"/>
    <w:rsid w:val="009D7FB0"/>
    <w:rsid w:val="009E0069"/>
    <w:rsid w:val="009E0120"/>
    <w:rsid w:val="009E0147"/>
    <w:rsid w:val="009E05BB"/>
    <w:rsid w:val="009E06A5"/>
    <w:rsid w:val="009E073F"/>
    <w:rsid w:val="009E09BC"/>
    <w:rsid w:val="009E09DD"/>
    <w:rsid w:val="009E12AD"/>
    <w:rsid w:val="009E1319"/>
    <w:rsid w:val="009E1395"/>
    <w:rsid w:val="009E16C9"/>
    <w:rsid w:val="009E1B36"/>
    <w:rsid w:val="009E1C97"/>
    <w:rsid w:val="009E21F3"/>
    <w:rsid w:val="009E239C"/>
    <w:rsid w:val="009E376A"/>
    <w:rsid w:val="009E3BBD"/>
    <w:rsid w:val="009E3F5A"/>
    <w:rsid w:val="009E3F60"/>
    <w:rsid w:val="009E445F"/>
    <w:rsid w:val="009E497B"/>
    <w:rsid w:val="009E4A27"/>
    <w:rsid w:val="009E4B82"/>
    <w:rsid w:val="009E4BF4"/>
    <w:rsid w:val="009E4E65"/>
    <w:rsid w:val="009E4F4F"/>
    <w:rsid w:val="009E5B97"/>
    <w:rsid w:val="009E5CF4"/>
    <w:rsid w:val="009E5FA2"/>
    <w:rsid w:val="009E6309"/>
    <w:rsid w:val="009E6533"/>
    <w:rsid w:val="009E6931"/>
    <w:rsid w:val="009E6CBE"/>
    <w:rsid w:val="009E7B33"/>
    <w:rsid w:val="009E7F1F"/>
    <w:rsid w:val="009F0515"/>
    <w:rsid w:val="009F0925"/>
    <w:rsid w:val="009F09CB"/>
    <w:rsid w:val="009F0A6C"/>
    <w:rsid w:val="009F0E06"/>
    <w:rsid w:val="009F11C6"/>
    <w:rsid w:val="009F120A"/>
    <w:rsid w:val="009F17A4"/>
    <w:rsid w:val="009F1DBA"/>
    <w:rsid w:val="009F1E08"/>
    <w:rsid w:val="009F231E"/>
    <w:rsid w:val="009F2631"/>
    <w:rsid w:val="009F26E8"/>
    <w:rsid w:val="009F2813"/>
    <w:rsid w:val="009F29DB"/>
    <w:rsid w:val="009F33E1"/>
    <w:rsid w:val="009F357C"/>
    <w:rsid w:val="009F38F5"/>
    <w:rsid w:val="009F3A48"/>
    <w:rsid w:val="009F4408"/>
    <w:rsid w:val="009F5166"/>
    <w:rsid w:val="009F6458"/>
    <w:rsid w:val="009F686E"/>
    <w:rsid w:val="009F6945"/>
    <w:rsid w:val="009F7939"/>
    <w:rsid w:val="009F7C6C"/>
    <w:rsid w:val="009F7E96"/>
    <w:rsid w:val="00A00350"/>
    <w:rsid w:val="00A007DE"/>
    <w:rsid w:val="00A00894"/>
    <w:rsid w:val="00A008B0"/>
    <w:rsid w:val="00A009B5"/>
    <w:rsid w:val="00A00CF4"/>
    <w:rsid w:val="00A01202"/>
    <w:rsid w:val="00A0169A"/>
    <w:rsid w:val="00A01CED"/>
    <w:rsid w:val="00A01F54"/>
    <w:rsid w:val="00A02144"/>
    <w:rsid w:val="00A021F6"/>
    <w:rsid w:val="00A02216"/>
    <w:rsid w:val="00A02759"/>
    <w:rsid w:val="00A02934"/>
    <w:rsid w:val="00A03068"/>
    <w:rsid w:val="00A03E51"/>
    <w:rsid w:val="00A040A6"/>
    <w:rsid w:val="00A0432B"/>
    <w:rsid w:val="00A047C1"/>
    <w:rsid w:val="00A04C31"/>
    <w:rsid w:val="00A054D0"/>
    <w:rsid w:val="00A058B0"/>
    <w:rsid w:val="00A05A27"/>
    <w:rsid w:val="00A05DCF"/>
    <w:rsid w:val="00A05DF6"/>
    <w:rsid w:val="00A06674"/>
    <w:rsid w:val="00A0699A"/>
    <w:rsid w:val="00A06D50"/>
    <w:rsid w:val="00A06FAB"/>
    <w:rsid w:val="00A074E7"/>
    <w:rsid w:val="00A07819"/>
    <w:rsid w:val="00A078CD"/>
    <w:rsid w:val="00A07B63"/>
    <w:rsid w:val="00A07DCD"/>
    <w:rsid w:val="00A103EC"/>
    <w:rsid w:val="00A108EA"/>
    <w:rsid w:val="00A10BC2"/>
    <w:rsid w:val="00A10CB7"/>
    <w:rsid w:val="00A10D4D"/>
    <w:rsid w:val="00A10E1D"/>
    <w:rsid w:val="00A10F45"/>
    <w:rsid w:val="00A10FA6"/>
    <w:rsid w:val="00A11165"/>
    <w:rsid w:val="00A114E4"/>
    <w:rsid w:val="00A118A2"/>
    <w:rsid w:val="00A1190F"/>
    <w:rsid w:val="00A11C23"/>
    <w:rsid w:val="00A11C68"/>
    <w:rsid w:val="00A11F97"/>
    <w:rsid w:val="00A121FB"/>
    <w:rsid w:val="00A12BBD"/>
    <w:rsid w:val="00A12C3A"/>
    <w:rsid w:val="00A12C85"/>
    <w:rsid w:val="00A12D1A"/>
    <w:rsid w:val="00A12FEC"/>
    <w:rsid w:val="00A13189"/>
    <w:rsid w:val="00A140B0"/>
    <w:rsid w:val="00A14395"/>
    <w:rsid w:val="00A14437"/>
    <w:rsid w:val="00A14952"/>
    <w:rsid w:val="00A14E0D"/>
    <w:rsid w:val="00A153BF"/>
    <w:rsid w:val="00A15B70"/>
    <w:rsid w:val="00A15D75"/>
    <w:rsid w:val="00A15FA5"/>
    <w:rsid w:val="00A16208"/>
    <w:rsid w:val="00A162DB"/>
    <w:rsid w:val="00A163FC"/>
    <w:rsid w:val="00A1670C"/>
    <w:rsid w:val="00A16979"/>
    <w:rsid w:val="00A16EFC"/>
    <w:rsid w:val="00A17455"/>
    <w:rsid w:val="00A17697"/>
    <w:rsid w:val="00A17CE2"/>
    <w:rsid w:val="00A17ED5"/>
    <w:rsid w:val="00A17F6C"/>
    <w:rsid w:val="00A2042C"/>
    <w:rsid w:val="00A208B4"/>
    <w:rsid w:val="00A20AFA"/>
    <w:rsid w:val="00A20FFD"/>
    <w:rsid w:val="00A2145F"/>
    <w:rsid w:val="00A21BBF"/>
    <w:rsid w:val="00A21CAA"/>
    <w:rsid w:val="00A22C37"/>
    <w:rsid w:val="00A22D56"/>
    <w:rsid w:val="00A22D88"/>
    <w:rsid w:val="00A22E3F"/>
    <w:rsid w:val="00A232D0"/>
    <w:rsid w:val="00A23764"/>
    <w:rsid w:val="00A23A84"/>
    <w:rsid w:val="00A23FA1"/>
    <w:rsid w:val="00A2407C"/>
    <w:rsid w:val="00A24C6B"/>
    <w:rsid w:val="00A24CDD"/>
    <w:rsid w:val="00A24D9F"/>
    <w:rsid w:val="00A2528F"/>
    <w:rsid w:val="00A25D1E"/>
    <w:rsid w:val="00A26188"/>
    <w:rsid w:val="00A2628C"/>
    <w:rsid w:val="00A2638B"/>
    <w:rsid w:val="00A2642B"/>
    <w:rsid w:val="00A26495"/>
    <w:rsid w:val="00A26E61"/>
    <w:rsid w:val="00A26ED6"/>
    <w:rsid w:val="00A27AC8"/>
    <w:rsid w:val="00A30A97"/>
    <w:rsid w:val="00A310DB"/>
    <w:rsid w:val="00A31682"/>
    <w:rsid w:val="00A31724"/>
    <w:rsid w:val="00A32364"/>
    <w:rsid w:val="00A329B5"/>
    <w:rsid w:val="00A32D90"/>
    <w:rsid w:val="00A32DBA"/>
    <w:rsid w:val="00A332A6"/>
    <w:rsid w:val="00A33CAE"/>
    <w:rsid w:val="00A344EB"/>
    <w:rsid w:val="00A345D2"/>
    <w:rsid w:val="00A34784"/>
    <w:rsid w:val="00A34AFE"/>
    <w:rsid w:val="00A34DBE"/>
    <w:rsid w:val="00A34E66"/>
    <w:rsid w:val="00A35354"/>
    <w:rsid w:val="00A35B5E"/>
    <w:rsid w:val="00A35DF2"/>
    <w:rsid w:val="00A3614B"/>
    <w:rsid w:val="00A362E8"/>
    <w:rsid w:val="00A36343"/>
    <w:rsid w:val="00A36438"/>
    <w:rsid w:val="00A36491"/>
    <w:rsid w:val="00A367E3"/>
    <w:rsid w:val="00A369CF"/>
    <w:rsid w:val="00A36D52"/>
    <w:rsid w:val="00A3715A"/>
    <w:rsid w:val="00A3726D"/>
    <w:rsid w:val="00A37830"/>
    <w:rsid w:val="00A37AEC"/>
    <w:rsid w:val="00A37E16"/>
    <w:rsid w:val="00A40B89"/>
    <w:rsid w:val="00A40BCA"/>
    <w:rsid w:val="00A40CF5"/>
    <w:rsid w:val="00A410FC"/>
    <w:rsid w:val="00A414B4"/>
    <w:rsid w:val="00A41A16"/>
    <w:rsid w:val="00A41FF8"/>
    <w:rsid w:val="00A4217E"/>
    <w:rsid w:val="00A424FE"/>
    <w:rsid w:val="00A42646"/>
    <w:rsid w:val="00A42A69"/>
    <w:rsid w:val="00A43988"/>
    <w:rsid w:val="00A43BCB"/>
    <w:rsid w:val="00A43D24"/>
    <w:rsid w:val="00A43D58"/>
    <w:rsid w:val="00A43DC2"/>
    <w:rsid w:val="00A44022"/>
    <w:rsid w:val="00A44138"/>
    <w:rsid w:val="00A443F8"/>
    <w:rsid w:val="00A444CB"/>
    <w:rsid w:val="00A45654"/>
    <w:rsid w:val="00A456AE"/>
    <w:rsid w:val="00A459C7"/>
    <w:rsid w:val="00A45D96"/>
    <w:rsid w:val="00A45F4B"/>
    <w:rsid w:val="00A460AA"/>
    <w:rsid w:val="00A462F5"/>
    <w:rsid w:val="00A46900"/>
    <w:rsid w:val="00A46C0E"/>
    <w:rsid w:val="00A46E44"/>
    <w:rsid w:val="00A47497"/>
    <w:rsid w:val="00A5090B"/>
    <w:rsid w:val="00A50CA5"/>
    <w:rsid w:val="00A52A1E"/>
    <w:rsid w:val="00A52B75"/>
    <w:rsid w:val="00A530DC"/>
    <w:rsid w:val="00A53352"/>
    <w:rsid w:val="00A53CF3"/>
    <w:rsid w:val="00A54033"/>
    <w:rsid w:val="00A5521D"/>
    <w:rsid w:val="00A557EE"/>
    <w:rsid w:val="00A558C0"/>
    <w:rsid w:val="00A5593F"/>
    <w:rsid w:val="00A55EE2"/>
    <w:rsid w:val="00A56AFC"/>
    <w:rsid w:val="00A56B85"/>
    <w:rsid w:val="00A56EA8"/>
    <w:rsid w:val="00A57279"/>
    <w:rsid w:val="00A57C6D"/>
    <w:rsid w:val="00A57C71"/>
    <w:rsid w:val="00A60225"/>
    <w:rsid w:val="00A607DC"/>
    <w:rsid w:val="00A609B5"/>
    <w:rsid w:val="00A60A83"/>
    <w:rsid w:val="00A6104A"/>
    <w:rsid w:val="00A613AD"/>
    <w:rsid w:val="00A61608"/>
    <w:rsid w:val="00A61AD4"/>
    <w:rsid w:val="00A6214C"/>
    <w:rsid w:val="00A62992"/>
    <w:rsid w:val="00A634FE"/>
    <w:rsid w:val="00A6356D"/>
    <w:rsid w:val="00A635F1"/>
    <w:rsid w:val="00A64336"/>
    <w:rsid w:val="00A64CAF"/>
    <w:rsid w:val="00A64E2E"/>
    <w:rsid w:val="00A64E55"/>
    <w:rsid w:val="00A64EA6"/>
    <w:rsid w:val="00A64ED0"/>
    <w:rsid w:val="00A65032"/>
    <w:rsid w:val="00A65068"/>
    <w:rsid w:val="00A6527A"/>
    <w:rsid w:val="00A659D1"/>
    <w:rsid w:val="00A65A22"/>
    <w:rsid w:val="00A65CDC"/>
    <w:rsid w:val="00A65E9C"/>
    <w:rsid w:val="00A66139"/>
    <w:rsid w:val="00A6615C"/>
    <w:rsid w:val="00A6622B"/>
    <w:rsid w:val="00A665AB"/>
    <w:rsid w:val="00A66B62"/>
    <w:rsid w:val="00A673C8"/>
    <w:rsid w:val="00A67520"/>
    <w:rsid w:val="00A70335"/>
    <w:rsid w:val="00A70B7E"/>
    <w:rsid w:val="00A70FFD"/>
    <w:rsid w:val="00A713B0"/>
    <w:rsid w:val="00A71437"/>
    <w:rsid w:val="00A71804"/>
    <w:rsid w:val="00A71DF5"/>
    <w:rsid w:val="00A723BF"/>
    <w:rsid w:val="00A724A0"/>
    <w:rsid w:val="00A72812"/>
    <w:rsid w:val="00A72ED9"/>
    <w:rsid w:val="00A730E8"/>
    <w:rsid w:val="00A7310F"/>
    <w:rsid w:val="00A732B9"/>
    <w:rsid w:val="00A73768"/>
    <w:rsid w:val="00A73DE9"/>
    <w:rsid w:val="00A74020"/>
    <w:rsid w:val="00A740AB"/>
    <w:rsid w:val="00A74215"/>
    <w:rsid w:val="00A74F30"/>
    <w:rsid w:val="00A75422"/>
    <w:rsid w:val="00A75433"/>
    <w:rsid w:val="00A756D3"/>
    <w:rsid w:val="00A75BE0"/>
    <w:rsid w:val="00A75D91"/>
    <w:rsid w:val="00A75DF5"/>
    <w:rsid w:val="00A76087"/>
    <w:rsid w:val="00A764D0"/>
    <w:rsid w:val="00A76D7E"/>
    <w:rsid w:val="00A77052"/>
    <w:rsid w:val="00A771CF"/>
    <w:rsid w:val="00A7731B"/>
    <w:rsid w:val="00A77362"/>
    <w:rsid w:val="00A77530"/>
    <w:rsid w:val="00A7778B"/>
    <w:rsid w:val="00A77860"/>
    <w:rsid w:val="00A779BB"/>
    <w:rsid w:val="00A77BAA"/>
    <w:rsid w:val="00A77EA8"/>
    <w:rsid w:val="00A8004B"/>
    <w:rsid w:val="00A803F6"/>
    <w:rsid w:val="00A8044C"/>
    <w:rsid w:val="00A804AA"/>
    <w:rsid w:val="00A810C1"/>
    <w:rsid w:val="00A81121"/>
    <w:rsid w:val="00A8121E"/>
    <w:rsid w:val="00A819CF"/>
    <w:rsid w:val="00A82156"/>
    <w:rsid w:val="00A8280F"/>
    <w:rsid w:val="00A82C92"/>
    <w:rsid w:val="00A82E94"/>
    <w:rsid w:val="00A83378"/>
    <w:rsid w:val="00A83591"/>
    <w:rsid w:val="00A8382E"/>
    <w:rsid w:val="00A83A37"/>
    <w:rsid w:val="00A83A9F"/>
    <w:rsid w:val="00A83E66"/>
    <w:rsid w:val="00A8431C"/>
    <w:rsid w:val="00A8442A"/>
    <w:rsid w:val="00A84B6E"/>
    <w:rsid w:val="00A84B86"/>
    <w:rsid w:val="00A84E4B"/>
    <w:rsid w:val="00A84F84"/>
    <w:rsid w:val="00A8562E"/>
    <w:rsid w:val="00A85976"/>
    <w:rsid w:val="00A85EE0"/>
    <w:rsid w:val="00A8603C"/>
    <w:rsid w:val="00A86153"/>
    <w:rsid w:val="00A8661F"/>
    <w:rsid w:val="00A86943"/>
    <w:rsid w:val="00A86C9B"/>
    <w:rsid w:val="00A86D98"/>
    <w:rsid w:val="00A8754B"/>
    <w:rsid w:val="00A87562"/>
    <w:rsid w:val="00A8767F"/>
    <w:rsid w:val="00A87A6F"/>
    <w:rsid w:val="00A87D15"/>
    <w:rsid w:val="00A87F4B"/>
    <w:rsid w:val="00A90003"/>
    <w:rsid w:val="00A9012C"/>
    <w:rsid w:val="00A90203"/>
    <w:rsid w:val="00A90219"/>
    <w:rsid w:val="00A909AA"/>
    <w:rsid w:val="00A90CD5"/>
    <w:rsid w:val="00A90E27"/>
    <w:rsid w:val="00A91147"/>
    <w:rsid w:val="00A912E8"/>
    <w:rsid w:val="00A913A9"/>
    <w:rsid w:val="00A914EE"/>
    <w:rsid w:val="00A916D8"/>
    <w:rsid w:val="00A91A90"/>
    <w:rsid w:val="00A91EAA"/>
    <w:rsid w:val="00A92102"/>
    <w:rsid w:val="00A92DA5"/>
    <w:rsid w:val="00A92E05"/>
    <w:rsid w:val="00A92E26"/>
    <w:rsid w:val="00A92E50"/>
    <w:rsid w:val="00A93561"/>
    <w:rsid w:val="00A935BC"/>
    <w:rsid w:val="00A93D75"/>
    <w:rsid w:val="00A9412E"/>
    <w:rsid w:val="00A945F7"/>
    <w:rsid w:val="00A94CA4"/>
    <w:rsid w:val="00A95D75"/>
    <w:rsid w:val="00A95F9D"/>
    <w:rsid w:val="00A960F0"/>
    <w:rsid w:val="00A964C4"/>
    <w:rsid w:val="00A9653F"/>
    <w:rsid w:val="00A971B1"/>
    <w:rsid w:val="00A972C2"/>
    <w:rsid w:val="00A97557"/>
    <w:rsid w:val="00A97558"/>
    <w:rsid w:val="00A97EF9"/>
    <w:rsid w:val="00AA05BD"/>
    <w:rsid w:val="00AA06F1"/>
    <w:rsid w:val="00AA112E"/>
    <w:rsid w:val="00AA14DB"/>
    <w:rsid w:val="00AA1621"/>
    <w:rsid w:val="00AA1717"/>
    <w:rsid w:val="00AA1EFC"/>
    <w:rsid w:val="00AA20A2"/>
    <w:rsid w:val="00AA25E1"/>
    <w:rsid w:val="00AA2DD1"/>
    <w:rsid w:val="00AA2E92"/>
    <w:rsid w:val="00AA2FDE"/>
    <w:rsid w:val="00AA34B8"/>
    <w:rsid w:val="00AA35F8"/>
    <w:rsid w:val="00AA3B02"/>
    <w:rsid w:val="00AA3E87"/>
    <w:rsid w:val="00AA4491"/>
    <w:rsid w:val="00AA4A1C"/>
    <w:rsid w:val="00AA4C75"/>
    <w:rsid w:val="00AA4DF2"/>
    <w:rsid w:val="00AA518F"/>
    <w:rsid w:val="00AA56D5"/>
    <w:rsid w:val="00AA58F3"/>
    <w:rsid w:val="00AA6270"/>
    <w:rsid w:val="00AA66C1"/>
    <w:rsid w:val="00AA6DD6"/>
    <w:rsid w:val="00AA746A"/>
    <w:rsid w:val="00AA7B0C"/>
    <w:rsid w:val="00AB0339"/>
    <w:rsid w:val="00AB0455"/>
    <w:rsid w:val="00AB05DB"/>
    <w:rsid w:val="00AB14A5"/>
    <w:rsid w:val="00AB1AF7"/>
    <w:rsid w:val="00AB1F62"/>
    <w:rsid w:val="00AB215F"/>
    <w:rsid w:val="00AB2303"/>
    <w:rsid w:val="00AB2540"/>
    <w:rsid w:val="00AB25C2"/>
    <w:rsid w:val="00AB275E"/>
    <w:rsid w:val="00AB2B5B"/>
    <w:rsid w:val="00AB2CE1"/>
    <w:rsid w:val="00AB367B"/>
    <w:rsid w:val="00AB3B69"/>
    <w:rsid w:val="00AB4560"/>
    <w:rsid w:val="00AB4AE6"/>
    <w:rsid w:val="00AB4BB0"/>
    <w:rsid w:val="00AB4C26"/>
    <w:rsid w:val="00AB4E0E"/>
    <w:rsid w:val="00AB52B9"/>
    <w:rsid w:val="00AB53F7"/>
    <w:rsid w:val="00AB548F"/>
    <w:rsid w:val="00AB6C20"/>
    <w:rsid w:val="00AB6DA9"/>
    <w:rsid w:val="00AB70E8"/>
    <w:rsid w:val="00AB772D"/>
    <w:rsid w:val="00AC0476"/>
    <w:rsid w:val="00AC0540"/>
    <w:rsid w:val="00AC0597"/>
    <w:rsid w:val="00AC0693"/>
    <w:rsid w:val="00AC0870"/>
    <w:rsid w:val="00AC118C"/>
    <w:rsid w:val="00AC149D"/>
    <w:rsid w:val="00AC15F5"/>
    <w:rsid w:val="00AC18A9"/>
    <w:rsid w:val="00AC1E16"/>
    <w:rsid w:val="00AC2683"/>
    <w:rsid w:val="00AC2F95"/>
    <w:rsid w:val="00AC3123"/>
    <w:rsid w:val="00AC357E"/>
    <w:rsid w:val="00AC3A1B"/>
    <w:rsid w:val="00AC43A7"/>
    <w:rsid w:val="00AC48FC"/>
    <w:rsid w:val="00AC56C7"/>
    <w:rsid w:val="00AC5954"/>
    <w:rsid w:val="00AC5FF8"/>
    <w:rsid w:val="00AC60EB"/>
    <w:rsid w:val="00AC6D96"/>
    <w:rsid w:val="00AC7601"/>
    <w:rsid w:val="00AC7D97"/>
    <w:rsid w:val="00AC7FFB"/>
    <w:rsid w:val="00AD0285"/>
    <w:rsid w:val="00AD0ADD"/>
    <w:rsid w:val="00AD0CC2"/>
    <w:rsid w:val="00AD121F"/>
    <w:rsid w:val="00AD1375"/>
    <w:rsid w:val="00AD13CE"/>
    <w:rsid w:val="00AD13E1"/>
    <w:rsid w:val="00AD14EE"/>
    <w:rsid w:val="00AD177E"/>
    <w:rsid w:val="00AD187F"/>
    <w:rsid w:val="00AD1D0D"/>
    <w:rsid w:val="00AD2183"/>
    <w:rsid w:val="00AD2321"/>
    <w:rsid w:val="00AD2692"/>
    <w:rsid w:val="00AD275D"/>
    <w:rsid w:val="00AD324B"/>
    <w:rsid w:val="00AD34D3"/>
    <w:rsid w:val="00AD34E3"/>
    <w:rsid w:val="00AD46A1"/>
    <w:rsid w:val="00AD4997"/>
    <w:rsid w:val="00AD53CF"/>
    <w:rsid w:val="00AD581E"/>
    <w:rsid w:val="00AD64F8"/>
    <w:rsid w:val="00AD6710"/>
    <w:rsid w:val="00AD688F"/>
    <w:rsid w:val="00AD6CB3"/>
    <w:rsid w:val="00AD6EE8"/>
    <w:rsid w:val="00AD7427"/>
    <w:rsid w:val="00AD75E3"/>
    <w:rsid w:val="00AD777D"/>
    <w:rsid w:val="00AD7BCC"/>
    <w:rsid w:val="00AD7BF4"/>
    <w:rsid w:val="00AD7C5D"/>
    <w:rsid w:val="00AE013D"/>
    <w:rsid w:val="00AE1117"/>
    <w:rsid w:val="00AE1450"/>
    <w:rsid w:val="00AE1E24"/>
    <w:rsid w:val="00AE1E71"/>
    <w:rsid w:val="00AE235B"/>
    <w:rsid w:val="00AE262E"/>
    <w:rsid w:val="00AE2695"/>
    <w:rsid w:val="00AE2F8A"/>
    <w:rsid w:val="00AE3275"/>
    <w:rsid w:val="00AE3579"/>
    <w:rsid w:val="00AE3A34"/>
    <w:rsid w:val="00AE3CB4"/>
    <w:rsid w:val="00AE45DD"/>
    <w:rsid w:val="00AE467A"/>
    <w:rsid w:val="00AE46F3"/>
    <w:rsid w:val="00AE4E14"/>
    <w:rsid w:val="00AE519A"/>
    <w:rsid w:val="00AE55F3"/>
    <w:rsid w:val="00AE5C02"/>
    <w:rsid w:val="00AE5F3D"/>
    <w:rsid w:val="00AE6012"/>
    <w:rsid w:val="00AE6597"/>
    <w:rsid w:val="00AE6A07"/>
    <w:rsid w:val="00AE6CDB"/>
    <w:rsid w:val="00AE709F"/>
    <w:rsid w:val="00AE7639"/>
    <w:rsid w:val="00AE776A"/>
    <w:rsid w:val="00AF0506"/>
    <w:rsid w:val="00AF0982"/>
    <w:rsid w:val="00AF0A5B"/>
    <w:rsid w:val="00AF0BB6"/>
    <w:rsid w:val="00AF1042"/>
    <w:rsid w:val="00AF160C"/>
    <w:rsid w:val="00AF19F7"/>
    <w:rsid w:val="00AF1BA1"/>
    <w:rsid w:val="00AF26AC"/>
    <w:rsid w:val="00AF2CC4"/>
    <w:rsid w:val="00AF2D3A"/>
    <w:rsid w:val="00AF3467"/>
    <w:rsid w:val="00AF348A"/>
    <w:rsid w:val="00AF3545"/>
    <w:rsid w:val="00AF4201"/>
    <w:rsid w:val="00AF466D"/>
    <w:rsid w:val="00AF4715"/>
    <w:rsid w:val="00AF4745"/>
    <w:rsid w:val="00AF48EB"/>
    <w:rsid w:val="00AF50D6"/>
    <w:rsid w:val="00AF528B"/>
    <w:rsid w:val="00AF55F9"/>
    <w:rsid w:val="00AF59AD"/>
    <w:rsid w:val="00AF5F57"/>
    <w:rsid w:val="00AF68C3"/>
    <w:rsid w:val="00AF6B0D"/>
    <w:rsid w:val="00AF6C67"/>
    <w:rsid w:val="00AF731D"/>
    <w:rsid w:val="00AF77AA"/>
    <w:rsid w:val="00AF7C66"/>
    <w:rsid w:val="00AF7CEF"/>
    <w:rsid w:val="00AF7E47"/>
    <w:rsid w:val="00B00181"/>
    <w:rsid w:val="00B003B3"/>
    <w:rsid w:val="00B0077C"/>
    <w:rsid w:val="00B0081F"/>
    <w:rsid w:val="00B008F7"/>
    <w:rsid w:val="00B00A3F"/>
    <w:rsid w:val="00B01751"/>
    <w:rsid w:val="00B01D3C"/>
    <w:rsid w:val="00B01E2E"/>
    <w:rsid w:val="00B020C7"/>
    <w:rsid w:val="00B02C9C"/>
    <w:rsid w:val="00B02CAE"/>
    <w:rsid w:val="00B02D2C"/>
    <w:rsid w:val="00B02D6B"/>
    <w:rsid w:val="00B02EB6"/>
    <w:rsid w:val="00B0326C"/>
    <w:rsid w:val="00B033CF"/>
    <w:rsid w:val="00B0363E"/>
    <w:rsid w:val="00B03D60"/>
    <w:rsid w:val="00B0481A"/>
    <w:rsid w:val="00B0484E"/>
    <w:rsid w:val="00B04921"/>
    <w:rsid w:val="00B04AE0"/>
    <w:rsid w:val="00B04BB9"/>
    <w:rsid w:val="00B0541F"/>
    <w:rsid w:val="00B05A18"/>
    <w:rsid w:val="00B05B4D"/>
    <w:rsid w:val="00B060D1"/>
    <w:rsid w:val="00B062E9"/>
    <w:rsid w:val="00B06346"/>
    <w:rsid w:val="00B063F6"/>
    <w:rsid w:val="00B06626"/>
    <w:rsid w:val="00B06805"/>
    <w:rsid w:val="00B0688D"/>
    <w:rsid w:val="00B06937"/>
    <w:rsid w:val="00B06B95"/>
    <w:rsid w:val="00B06C85"/>
    <w:rsid w:val="00B07915"/>
    <w:rsid w:val="00B079A4"/>
    <w:rsid w:val="00B10366"/>
    <w:rsid w:val="00B1091D"/>
    <w:rsid w:val="00B10F66"/>
    <w:rsid w:val="00B112D7"/>
    <w:rsid w:val="00B11460"/>
    <w:rsid w:val="00B11990"/>
    <w:rsid w:val="00B12413"/>
    <w:rsid w:val="00B1253D"/>
    <w:rsid w:val="00B131C9"/>
    <w:rsid w:val="00B13F79"/>
    <w:rsid w:val="00B140BA"/>
    <w:rsid w:val="00B1416D"/>
    <w:rsid w:val="00B145EF"/>
    <w:rsid w:val="00B14B4F"/>
    <w:rsid w:val="00B14E59"/>
    <w:rsid w:val="00B154EC"/>
    <w:rsid w:val="00B15629"/>
    <w:rsid w:val="00B15709"/>
    <w:rsid w:val="00B15A26"/>
    <w:rsid w:val="00B15C33"/>
    <w:rsid w:val="00B15EFC"/>
    <w:rsid w:val="00B165F9"/>
    <w:rsid w:val="00B16DB7"/>
    <w:rsid w:val="00B16DCD"/>
    <w:rsid w:val="00B16FD0"/>
    <w:rsid w:val="00B20963"/>
    <w:rsid w:val="00B20E53"/>
    <w:rsid w:val="00B20F86"/>
    <w:rsid w:val="00B21018"/>
    <w:rsid w:val="00B210E1"/>
    <w:rsid w:val="00B21132"/>
    <w:rsid w:val="00B2162E"/>
    <w:rsid w:val="00B21D30"/>
    <w:rsid w:val="00B22099"/>
    <w:rsid w:val="00B22C7B"/>
    <w:rsid w:val="00B22FAF"/>
    <w:rsid w:val="00B23122"/>
    <w:rsid w:val="00B231E1"/>
    <w:rsid w:val="00B23C22"/>
    <w:rsid w:val="00B23CBA"/>
    <w:rsid w:val="00B2412D"/>
    <w:rsid w:val="00B24142"/>
    <w:rsid w:val="00B2430C"/>
    <w:rsid w:val="00B2501C"/>
    <w:rsid w:val="00B257FB"/>
    <w:rsid w:val="00B25B21"/>
    <w:rsid w:val="00B2612E"/>
    <w:rsid w:val="00B268F2"/>
    <w:rsid w:val="00B26B94"/>
    <w:rsid w:val="00B27143"/>
    <w:rsid w:val="00B27BEC"/>
    <w:rsid w:val="00B27C6F"/>
    <w:rsid w:val="00B27D51"/>
    <w:rsid w:val="00B27ED6"/>
    <w:rsid w:val="00B27F72"/>
    <w:rsid w:val="00B30C8B"/>
    <w:rsid w:val="00B30FA4"/>
    <w:rsid w:val="00B3105F"/>
    <w:rsid w:val="00B310E5"/>
    <w:rsid w:val="00B315CE"/>
    <w:rsid w:val="00B31861"/>
    <w:rsid w:val="00B323B5"/>
    <w:rsid w:val="00B32522"/>
    <w:rsid w:val="00B3268A"/>
    <w:rsid w:val="00B328EB"/>
    <w:rsid w:val="00B32A45"/>
    <w:rsid w:val="00B32A83"/>
    <w:rsid w:val="00B32AC3"/>
    <w:rsid w:val="00B32B93"/>
    <w:rsid w:val="00B32E64"/>
    <w:rsid w:val="00B33C38"/>
    <w:rsid w:val="00B3406F"/>
    <w:rsid w:val="00B34525"/>
    <w:rsid w:val="00B34A13"/>
    <w:rsid w:val="00B34C2A"/>
    <w:rsid w:val="00B34F45"/>
    <w:rsid w:val="00B3566C"/>
    <w:rsid w:val="00B359CC"/>
    <w:rsid w:val="00B35F26"/>
    <w:rsid w:val="00B368A6"/>
    <w:rsid w:val="00B36F20"/>
    <w:rsid w:val="00B37715"/>
    <w:rsid w:val="00B40F09"/>
    <w:rsid w:val="00B4111E"/>
    <w:rsid w:val="00B41D60"/>
    <w:rsid w:val="00B41D89"/>
    <w:rsid w:val="00B42BE5"/>
    <w:rsid w:val="00B4306D"/>
    <w:rsid w:val="00B43160"/>
    <w:rsid w:val="00B43396"/>
    <w:rsid w:val="00B43FDE"/>
    <w:rsid w:val="00B44231"/>
    <w:rsid w:val="00B44B82"/>
    <w:rsid w:val="00B44F09"/>
    <w:rsid w:val="00B44F27"/>
    <w:rsid w:val="00B45148"/>
    <w:rsid w:val="00B452BE"/>
    <w:rsid w:val="00B455A7"/>
    <w:rsid w:val="00B45724"/>
    <w:rsid w:val="00B45DFE"/>
    <w:rsid w:val="00B45EE3"/>
    <w:rsid w:val="00B46322"/>
    <w:rsid w:val="00B46852"/>
    <w:rsid w:val="00B46BD8"/>
    <w:rsid w:val="00B470CF"/>
    <w:rsid w:val="00B470E0"/>
    <w:rsid w:val="00B472BD"/>
    <w:rsid w:val="00B4732E"/>
    <w:rsid w:val="00B47452"/>
    <w:rsid w:val="00B478BA"/>
    <w:rsid w:val="00B47909"/>
    <w:rsid w:val="00B47ED9"/>
    <w:rsid w:val="00B47F15"/>
    <w:rsid w:val="00B47F60"/>
    <w:rsid w:val="00B5025D"/>
    <w:rsid w:val="00B505EB"/>
    <w:rsid w:val="00B50A74"/>
    <w:rsid w:val="00B50C1D"/>
    <w:rsid w:val="00B50C89"/>
    <w:rsid w:val="00B5102E"/>
    <w:rsid w:val="00B5126E"/>
    <w:rsid w:val="00B514CB"/>
    <w:rsid w:val="00B5152C"/>
    <w:rsid w:val="00B51773"/>
    <w:rsid w:val="00B519C9"/>
    <w:rsid w:val="00B51C71"/>
    <w:rsid w:val="00B52006"/>
    <w:rsid w:val="00B5214F"/>
    <w:rsid w:val="00B5293E"/>
    <w:rsid w:val="00B52A82"/>
    <w:rsid w:val="00B5335A"/>
    <w:rsid w:val="00B534F2"/>
    <w:rsid w:val="00B538BC"/>
    <w:rsid w:val="00B54543"/>
    <w:rsid w:val="00B54601"/>
    <w:rsid w:val="00B54883"/>
    <w:rsid w:val="00B54C26"/>
    <w:rsid w:val="00B5570F"/>
    <w:rsid w:val="00B557B7"/>
    <w:rsid w:val="00B55DDE"/>
    <w:rsid w:val="00B55FE2"/>
    <w:rsid w:val="00B5613C"/>
    <w:rsid w:val="00B5639A"/>
    <w:rsid w:val="00B5645C"/>
    <w:rsid w:val="00B56FB7"/>
    <w:rsid w:val="00B56FF7"/>
    <w:rsid w:val="00B57742"/>
    <w:rsid w:val="00B60003"/>
    <w:rsid w:val="00B60300"/>
    <w:rsid w:val="00B603C9"/>
    <w:rsid w:val="00B6096D"/>
    <w:rsid w:val="00B60FF2"/>
    <w:rsid w:val="00B61121"/>
    <w:rsid w:val="00B61A08"/>
    <w:rsid w:val="00B61A76"/>
    <w:rsid w:val="00B62104"/>
    <w:rsid w:val="00B6257F"/>
    <w:rsid w:val="00B627B4"/>
    <w:rsid w:val="00B62B1E"/>
    <w:rsid w:val="00B62B51"/>
    <w:rsid w:val="00B62B8C"/>
    <w:rsid w:val="00B62D82"/>
    <w:rsid w:val="00B62E9E"/>
    <w:rsid w:val="00B63E0C"/>
    <w:rsid w:val="00B6452D"/>
    <w:rsid w:val="00B64730"/>
    <w:rsid w:val="00B6485D"/>
    <w:rsid w:val="00B653AE"/>
    <w:rsid w:val="00B6541C"/>
    <w:rsid w:val="00B656AD"/>
    <w:rsid w:val="00B659F5"/>
    <w:rsid w:val="00B65A01"/>
    <w:rsid w:val="00B65BBE"/>
    <w:rsid w:val="00B65E8C"/>
    <w:rsid w:val="00B664EC"/>
    <w:rsid w:val="00B664F7"/>
    <w:rsid w:val="00B665D5"/>
    <w:rsid w:val="00B67039"/>
    <w:rsid w:val="00B705C9"/>
    <w:rsid w:val="00B706C5"/>
    <w:rsid w:val="00B71168"/>
    <w:rsid w:val="00B715DC"/>
    <w:rsid w:val="00B71793"/>
    <w:rsid w:val="00B72253"/>
    <w:rsid w:val="00B72BB6"/>
    <w:rsid w:val="00B72DB5"/>
    <w:rsid w:val="00B737FF"/>
    <w:rsid w:val="00B73B97"/>
    <w:rsid w:val="00B7500F"/>
    <w:rsid w:val="00B75324"/>
    <w:rsid w:val="00B75883"/>
    <w:rsid w:val="00B75BEB"/>
    <w:rsid w:val="00B76EF8"/>
    <w:rsid w:val="00B770D3"/>
    <w:rsid w:val="00B77CDE"/>
    <w:rsid w:val="00B80680"/>
    <w:rsid w:val="00B80845"/>
    <w:rsid w:val="00B80D42"/>
    <w:rsid w:val="00B81995"/>
    <w:rsid w:val="00B81AF8"/>
    <w:rsid w:val="00B81B3C"/>
    <w:rsid w:val="00B81B96"/>
    <w:rsid w:val="00B81C0F"/>
    <w:rsid w:val="00B81CCC"/>
    <w:rsid w:val="00B8218B"/>
    <w:rsid w:val="00B8347C"/>
    <w:rsid w:val="00B838CE"/>
    <w:rsid w:val="00B847E5"/>
    <w:rsid w:val="00B857F9"/>
    <w:rsid w:val="00B85B40"/>
    <w:rsid w:val="00B85D3A"/>
    <w:rsid w:val="00B85FD2"/>
    <w:rsid w:val="00B8601A"/>
    <w:rsid w:val="00B86CCB"/>
    <w:rsid w:val="00B86DDA"/>
    <w:rsid w:val="00B86E70"/>
    <w:rsid w:val="00B876D3"/>
    <w:rsid w:val="00B8795C"/>
    <w:rsid w:val="00B9008F"/>
    <w:rsid w:val="00B901A9"/>
    <w:rsid w:val="00B90B40"/>
    <w:rsid w:val="00B90D3F"/>
    <w:rsid w:val="00B911A1"/>
    <w:rsid w:val="00B91C70"/>
    <w:rsid w:val="00B920C2"/>
    <w:rsid w:val="00B921DD"/>
    <w:rsid w:val="00B9254A"/>
    <w:rsid w:val="00B9254E"/>
    <w:rsid w:val="00B92727"/>
    <w:rsid w:val="00B92CC2"/>
    <w:rsid w:val="00B938FC"/>
    <w:rsid w:val="00B94013"/>
    <w:rsid w:val="00B94241"/>
    <w:rsid w:val="00B946B4"/>
    <w:rsid w:val="00B94FF9"/>
    <w:rsid w:val="00B95352"/>
    <w:rsid w:val="00B953CB"/>
    <w:rsid w:val="00B954EE"/>
    <w:rsid w:val="00B95C35"/>
    <w:rsid w:val="00B9622E"/>
    <w:rsid w:val="00B96273"/>
    <w:rsid w:val="00B96C9E"/>
    <w:rsid w:val="00B96EBA"/>
    <w:rsid w:val="00B9732C"/>
    <w:rsid w:val="00B97743"/>
    <w:rsid w:val="00B97AFA"/>
    <w:rsid w:val="00B97E35"/>
    <w:rsid w:val="00BA02DD"/>
    <w:rsid w:val="00BA0708"/>
    <w:rsid w:val="00BA0CC1"/>
    <w:rsid w:val="00BA0F57"/>
    <w:rsid w:val="00BA22E5"/>
    <w:rsid w:val="00BA2714"/>
    <w:rsid w:val="00BA32A0"/>
    <w:rsid w:val="00BA3581"/>
    <w:rsid w:val="00BA383E"/>
    <w:rsid w:val="00BA39A3"/>
    <w:rsid w:val="00BA40C5"/>
    <w:rsid w:val="00BA42EF"/>
    <w:rsid w:val="00BA4316"/>
    <w:rsid w:val="00BA469E"/>
    <w:rsid w:val="00BA559E"/>
    <w:rsid w:val="00BA56B6"/>
    <w:rsid w:val="00BA58C6"/>
    <w:rsid w:val="00BA60A0"/>
    <w:rsid w:val="00BA6780"/>
    <w:rsid w:val="00BA6A09"/>
    <w:rsid w:val="00BA701E"/>
    <w:rsid w:val="00BA7091"/>
    <w:rsid w:val="00BA7806"/>
    <w:rsid w:val="00BA79F8"/>
    <w:rsid w:val="00BB0536"/>
    <w:rsid w:val="00BB0647"/>
    <w:rsid w:val="00BB0C41"/>
    <w:rsid w:val="00BB0C48"/>
    <w:rsid w:val="00BB0D92"/>
    <w:rsid w:val="00BB0ED5"/>
    <w:rsid w:val="00BB1449"/>
    <w:rsid w:val="00BB1614"/>
    <w:rsid w:val="00BB23FB"/>
    <w:rsid w:val="00BB29E2"/>
    <w:rsid w:val="00BB2CE6"/>
    <w:rsid w:val="00BB313B"/>
    <w:rsid w:val="00BB3806"/>
    <w:rsid w:val="00BB3C24"/>
    <w:rsid w:val="00BB3EFA"/>
    <w:rsid w:val="00BB408C"/>
    <w:rsid w:val="00BB5033"/>
    <w:rsid w:val="00BB57A3"/>
    <w:rsid w:val="00BB58BF"/>
    <w:rsid w:val="00BB5D3B"/>
    <w:rsid w:val="00BB5DDC"/>
    <w:rsid w:val="00BB5DEF"/>
    <w:rsid w:val="00BB5E86"/>
    <w:rsid w:val="00BB617F"/>
    <w:rsid w:val="00BB7923"/>
    <w:rsid w:val="00BB7E6E"/>
    <w:rsid w:val="00BB7ED8"/>
    <w:rsid w:val="00BC0CF4"/>
    <w:rsid w:val="00BC1259"/>
    <w:rsid w:val="00BC138C"/>
    <w:rsid w:val="00BC13E9"/>
    <w:rsid w:val="00BC1457"/>
    <w:rsid w:val="00BC14CD"/>
    <w:rsid w:val="00BC182F"/>
    <w:rsid w:val="00BC1955"/>
    <w:rsid w:val="00BC261D"/>
    <w:rsid w:val="00BC263C"/>
    <w:rsid w:val="00BC2BA4"/>
    <w:rsid w:val="00BC2DA2"/>
    <w:rsid w:val="00BC2F01"/>
    <w:rsid w:val="00BC32A1"/>
    <w:rsid w:val="00BC32B9"/>
    <w:rsid w:val="00BC3318"/>
    <w:rsid w:val="00BC38BA"/>
    <w:rsid w:val="00BC3E2A"/>
    <w:rsid w:val="00BC424C"/>
    <w:rsid w:val="00BC4C0A"/>
    <w:rsid w:val="00BC5284"/>
    <w:rsid w:val="00BC55B6"/>
    <w:rsid w:val="00BC5EC1"/>
    <w:rsid w:val="00BC607C"/>
    <w:rsid w:val="00BC6186"/>
    <w:rsid w:val="00BC67D3"/>
    <w:rsid w:val="00BC70A0"/>
    <w:rsid w:val="00BC766C"/>
    <w:rsid w:val="00BC7716"/>
    <w:rsid w:val="00BC7994"/>
    <w:rsid w:val="00BC7BC8"/>
    <w:rsid w:val="00BC7F29"/>
    <w:rsid w:val="00BD00F2"/>
    <w:rsid w:val="00BD0157"/>
    <w:rsid w:val="00BD019E"/>
    <w:rsid w:val="00BD05AC"/>
    <w:rsid w:val="00BD081E"/>
    <w:rsid w:val="00BD0A68"/>
    <w:rsid w:val="00BD1494"/>
    <w:rsid w:val="00BD1A85"/>
    <w:rsid w:val="00BD293B"/>
    <w:rsid w:val="00BD34EC"/>
    <w:rsid w:val="00BD357D"/>
    <w:rsid w:val="00BD390C"/>
    <w:rsid w:val="00BD3985"/>
    <w:rsid w:val="00BD46D2"/>
    <w:rsid w:val="00BD4E17"/>
    <w:rsid w:val="00BD57BB"/>
    <w:rsid w:val="00BD58D6"/>
    <w:rsid w:val="00BD5A89"/>
    <w:rsid w:val="00BD5E6C"/>
    <w:rsid w:val="00BD6086"/>
    <w:rsid w:val="00BD6247"/>
    <w:rsid w:val="00BD6264"/>
    <w:rsid w:val="00BD6352"/>
    <w:rsid w:val="00BD67A3"/>
    <w:rsid w:val="00BD6C34"/>
    <w:rsid w:val="00BD6C7C"/>
    <w:rsid w:val="00BD7031"/>
    <w:rsid w:val="00BD7146"/>
    <w:rsid w:val="00BD765A"/>
    <w:rsid w:val="00BD7C7F"/>
    <w:rsid w:val="00BE01FD"/>
    <w:rsid w:val="00BE048B"/>
    <w:rsid w:val="00BE0638"/>
    <w:rsid w:val="00BE0AA5"/>
    <w:rsid w:val="00BE0D76"/>
    <w:rsid w:val="00BE1302"/>
    <w:rsid w:val="00BE15C4"/>
    <w:rsid w:val="00BE1E31"/>
    <w:rsid w:val="00BE20AF"/>
    <w:rsid w:val="00BE2866"/>
    <w:rsid w:val="00BE2ED8"/>
    <w:rsid w:val="00BE310F"/>
    <w:rsid w:val="00BE3117"/>
    <w:rsid w:val="00BE3184"/>
    <w:rsid w:val="00BE33C4"/>
    <w:rsid w:val="00BE35BE"/>
    <w:rsid w:val="00BE36C9"/>
    <w:rsid w:val="00BE3E4F"/>
    <w:rsid w:val="00BE3F01"/>
    <w:rsid w:val="00BE402E"/>
    <w:rsid w:val="00BE42AC"/>
    <w:rsid w:val="00BE4AE2"/>
    <w:rsid w:val="00BE4EFB"/>
    <w:rsid w:val="00BE5B4A"/>
    <w:rsid w:val="00BE5F31"/>
    <w:rsid w:val="00BE5F4F"/>
    <w:rsid w:val="00BE6282"/>
    <w:rsid w:val="00BE694D"/>
    <w:rsid w:val="00BE6A38"/>
    <w:rsid w:val="00BE6B3B"/>
    <w:rsid w:val="00BE6D61"/>
    <w:rsid w:val="00BF0117"/>
    <w:rsid w:val="00BF091D"/>
    <w:rsid w:val="00BF0AFD"/>
    <w:rsid w:val="00BF0E31"/>
    <w:rsid w:val="00BF0F13"/>
    <w:rsid w:val="00BF1502"/>
    <w:rsid w:val="00BF1A32"/>
    <w:rsid w:val="00BF1CEA"/>
    <w:rsid w:val="00BF21DC"/>
    <w:rsid w:val="00BF2441"/>
    <w:rsid w:val="00BF2453"/>
    <w:rsid w:val="00BF264E"/>
    <w:rsid w:val="00BF2F50"/>
    <w:rsid w:val="00BF32A4"/>
    <w:rsid w:val="00BF3680"/>
    <w:rsid w:val="00BF39F2"/>
    <w:rsid w:val="00BF3DD7"/>
    <w:rsid w:val="00BF453E"/>
    <w:rsid w:val="00BF4772"/>
    <w:rsid w:val="00BF4DF9"/>
    <w:rsid w:val="00BF51C5"/>
    <w:rsid w:val="00BF6ACF"/>
    <w:rsid w:val="00BF7E05"/>
    <w:rsid w:val="00C011A2"/>
    <w:rsid w:val="00C013F0"/>
    <w:rsid w:val="00C013F8"/>
    <w:rsid w:val="00C01430"/>
    <w:rsid w:val="00C01B3F"/>
    <w:rsid w:val="00C0282F"/>
    <w:rsid w:val="00C0298C"/>
    <w:rsid w:val="00C02C08"/>
    <w:rsid w:val="00C02EF9"/>
    <w:rsid w:val="00C03486"/>
    <w:rsid w:val="00C034CE"/>
    <w:rsid w:val="00C036F3"/>
    <w:rsid w:val="00C048B9"/>
    <w:rsid w:val="00C04ECB"/>
    <w:rsid w:val="00C05080"/>
    <w:rsid w:val="00C05502"/>
    <w:rsid w:val="00C05792"/>
    <w:rsid w:val="00C058B2"/>
    <w:rsid w:val="00C05978"/>
    <w:rsid w:val="00C05BC1"/>
    <w:rsid w:val="00C06012"/>
    <w:rsid w:val="00C06C99"/>
    <w:rsid w:val="00C06D0F"/>
    <w:rsid w:val="00C07005"/>
    <w:rsid w:val="00C07025"/>
    <w:rsid w:val="00C076D3"/>
    <w:rsid w:val="00C0784F"/>
    <w:rsid w:val="00C07F51"/>
    <w:rsid w:val="00C10126"/>
    <w:rsid w:val="00C1036D"/>
    <w:rsid w:val="00C10405"/>
    <w:rsid w:val="00C1122D"/>
    <w:rsid w:val="00C1134F"/>
    <w:rsid w:val="00C11466"/>
    <w:rsid w:val="00C1158F"/>
    <w:rsid w:val="00C11A03"/>
    <w:rsid w:val="00C11A7A"/>
    <w:rsid w:val="00C11BE1"/>
    <w:rsid w:val="00C11BF0"/>
    <w:rsid w:val="00C12FD6"/>
    <w:rsid w:val="00C135AB"/>
    <w:rsid w:val="00C14222"/>
    <w:rsid w:val="00C14531"/>
    <w:rsid w:val="00C146F9"/>
    <w:rsid w:val="00C14DFB"/>
    <w:rsid w:val="00C14E2D"/>
    <w:rsid w:val="00C15DB7"/>
    <w:rsid w:val="00C16184"/>
    <w:rsid w:val="00C16337"/>
    <w:rsid w:val="00C164AC"/>
    <w:rsid w:val="00C16516"/>
    <w:rsid w:val="00C16541"/>
    <w:rsid w:val="00C16B05"/>
    <w:rsid w:val="00C16E60"/>
    <w:rsid w:val="00C1783D"/>
    <w:rsid w:val="00C178C6"/>
    <w:rsid w:val="00C17A94"/>
    <w:rsid w:val="00C17E23"/>
    <w:rsid w:val="00C20259"/>
    <w:rsid w:val="00C2043E"/>
    <w:rsid w:val="00C21339"/>
    <w:rsid w:val="00C213F2"/>
    <w:rsid w:val="00C21707"/>
    <w:rsid w:val="00C2194C"/>
    <w:rsid w:val="00C21C2A"/>
    <w:rsid w:val="00C22A75"/>
    <w:rsid w:val="00C22BE5"/>
    <w:rsid w:val="00C23403"/>
    <w:rsid w:val="00C2345C"/>
    <w:rsid w:val="00C24628"/>
    <w:rsid w:val="00C247DF"/>
    <w:rsid w:val="00C24D9E"/>
    <w:rsid w:val="00C25041"/>
    <w:rsid w:val="00C2552A"/>
    <w:rsid w:val="00C25596"/>
    <w:rsid w:val="00C255AB"/>
    <w:rsid w:val="00C2583A"/>
    <w:rsid w:val="00C25D0D"/>
    <w:rsid w:val="00C25DEA"/>
    <w:rsid w:val="00C26792"/>
    <w:rsid w:val="00C26960"/>
    <w:rsid w:val="00C26F7E"/>
    <w:rsid w:val="00C301CA"/>
    <w:rsid w:val="00C30270"/>
    <w:rsid w:val="00C30372"/>
    <w:rsid w:val="00C315BE"/>
    <w:rsid w:val="00C316B9"/>
    <w:rsid w:val="00C31A4E"/>
    <w:rsid w:val="00C32B0C"/>
    <w:rsid w:val="00C32C2E"/>
    <w:rsid w:val="00C333AD"/>
    <w:rsid w:val="00C3376D"/>
    <w:rsid w:val="00C33A8C"/>
    <w:rsid w:val="00C33BA9"/>
    <w:rsid w:val="00C3419D"/>
    <w:rsid w:val="00C3529B"/>
    <w:rsid w:val="00C355C4"/>
    <w:rsid w:val="00C35EF0"/>
    <w:rsid w:val="00C362BE"/>
    <w:rsid w:val="00C36832"/>
    <w:rsid w:val="00C36884"/>
    <w:rsid w:val="00C3691C"/>
    <w:rsid w:val="00C36D97"/>
    <w:rsid w:val="00C3725E"/>
    <w:rsid w:val="00C37885"/>
    <w:rsid w:val="00C379CF"/>
    <w:rsid w:val="00C37D15"/>
    <w:rsid w:val="00C37E3A"/>
    <w:rsid w:val="00C40ACF"/>
    <w:rsid w:val="00C40C91"/>
    <w:rsid w:val="00C40DC7"/>
    <w:rsid w:val="00C410F3"/>
    <w:rsid w:val="00C41947"/>
    <w:rsid w:val="00C41A7A"/>
    <w:rsid w:val="00C41C1D"/>
    <w:rsid w:val="00C41F1F"/>
    <w:rsid w:val="00C42C2B"/>
    <w:rsid w:val="00C42D54"/>
    <w:rsid w:val="00C42F05"/>
    <w:rsid w:val="00C43582"/>
    <w:rsid w:val="00C43978"/>
    <w:rsid w:val="00C446FE"/>
    <w:rsid w:val="00C46461"/>
    <w:rsid w:val="00C46870"/>
    <w:rsid w:val="00C468AC"/>
    <w:rsid w:val="00C47A2A"/>
    <w:rsid w:val="00C47CCE"/>
    <w:rsid w:val="00C47D75"/>
    <w:rsid w:val="00C5014D"/>
    <w:rsid w:val="00C505B2"/>
    <w:rsid w:val="00C51EEE"/>
    <w:rsid w:val="00C52437"/>
    <w:rsid w:val="00C531BD"/>
    <w:rsid w:val="00C532C5"/>
    <w:rsid w:val="00C53352"/>
    <w:rsid w:val="00C5346E"/>
    <w:rsid w:val="00C537D3"/>
    <w:rsid w:val="00C53DC7"/>
    <w:rsid w:val="00C54006"/>
    <w:rsid w:val="00C54AD2"/>
    <w:rsid w:val="00C54C81"/>
    <w:rsid w:val="00C55169"/>
    <w:rsid w:val="00C5530F"/>
    <w:rsid w:val="00C5594A"/>
    <w:rsid w:val="00C55C59"/>
    <w:rsid w:val="00C5605E"/>
    <w:rsid w:val="00C560F7"/>
    <w:rsid w:val="00C564C5"/>
    <w:rsid w:val="00C56716"/>
    <w:rsid w:val="00C56AE9"/>
    <w:rsid w:val="00C56F8A"/>
    <w:rsid w:val="00C57DB4"/>
    <w:rsid w:val="00C57F27"/>
    <w:rsid w:val="00C57F3B"/>
    <w:rsid w:val="00C601AC"/>
    <w:rsid w:val="00C6071F"/>
    <w:rsid w:val="00C60BEA"/>
    <w:rsid w:val="00C60C12"/>
    <w:rsid w:val="00C60E15"/>
    <w:rsid w:val="00C614AB"/>
    <w:rsid w:val="00C615B4"/>
    <w:rsid w:val="00C6185E"/>
    <w:rsid w:val="00C61A40"/>
    <w:rsid w:val="00C61B91"/>
    <w:rsid w:val="00C622FB"/>
    <w:rsid w:val="00C62432"/>
    <w:rsid w:val="00C627D3"/>
    <w:rsid w:val="00C628A2"/>
    <w:rsid w:val="00C629AB"/>
    <w:rsid w:val="00C63588"/>
    <w:rsid w:val="00C6376A"/>
    <w:rsid w:val="00C638D7"/>
    <w:rsid w:val="00C63D2D"/>
    <w:rsid w:val="00C64868"/>
    <w:rsid w:val="00C6490C"/>
    <w:rsid w:val="00C64B15"/>
    <w:rsid w:val="00C651A5"/>
    <w:rsid w:val="00C65FD9"/>
    <w:rsid w:val="00C66104"/>
    <w:rsid w:val="00C662B6"/>
    <w:rsid w:val="00C669EC"/>
    <w:rsid w:val="00C66BCD"/>
    <w:rsid w:val="00C672EB"/>
    <w:rsid w:val="00C67A66"/>
    <w:rsid w:val="00C703CE"/>
    <w:rsid w:val="00C703EC"/>
    <w:rsid w:val="00C712FB"/>
    <w:rsid w:val="00C71BF9"/>
    <w:rsid w:val="00C71D4D"/>
    <w:rsid w:val="00C71E34"/>
    <w:rsid w:val="00C71ECD"/>
    <w:rsid w:val="00C72947"/>
    <w:rsid w:val="00C72973"/>
    <w:rsid w:val="00C72DCD"/>
    <w:rsid w:val="00C72E73"/>
    <w:rsid w:val="00C72FCA"/>
    <w:rsid w:val="00C73889"/>
    <w:rsid w:val="00C73B4E"/>
    <w:rsid w:val="00C74106"/>
    <w:rsid w:val="00C74A2D"/>
    <w:rsid w:val="00C74AAA"/>
    <w:rsid w:val="00C754F4"/>
    <w:rsid w:val="00C7550D"/>
    <w:rsid w:val="00C762B0"/>
    <w:rsid w:val="00C766BA"/>
    <w:rsid w:val="00C767BA"/>
    <w:rsid w:val="00C7686B"/>
    <w:rsid w:val="00C768E3"/>
    <w:rsid w:val="00C76BA8"/>
    <w:rsid w:val="00C76DD9"/>
    <w:rsid w:val="00C77551"/>
    <w:rsid w:val="00C80042"/>
    <w:rsid w:val="00C800BC"/>
    <w:rsid w:val="00C8083F"/>
    <w:rsid w:val="00C80DFB"/>
    <w:rsid w:val="00C8189E"/>
    <w:rsid w:val="00C81987"/>
    <w:rsid w:val="00C81FAF"/>
    <w:rsid w:val="00C82058"/>
    <w:rsid w:val="00C820BE"/>
    <w:rsid w:val="00C82268"/>
    <w:rsid w:val="00C8276D"/>
    <w:rsid w:val="00C82BC9"/>
    <w:rsid w:val="00C82FC9"/>
    <w:rsid w:val="00C833FD"/>
    <w:rsid w:val="00C83453"/>
    <w:rsid w:val="00C83536"/>
    <w:rsid w:val="00C839B9"/>
    <w:rsid w:val="00C849D0"/>
    <w:rsid w:val="00C84E1C"/>
    <w:rsid w:val="00C85312"/>
    <w:rsid w:val="00C853CF"/>
    <w:rsid w:val="00C853E2"/>
    <w:rsid w:val="00C8552E"/>
    <w:rsid w:val="00C85677"/>
    <w:rsid w:val="00C85DB4"/>
    <w:rsid w:val="00C86824"/>
    <w:rsid w:val="00C86D79"/>
    <w:rsid w:val="00C873F6"/>
    <w:rsid w:val="00C908A1"/>
    <w:rsid w:val="00C90B21"/>
    <w:rsid w:val="00C90E6D"/>
    <w:rsid w:val="00C91D36"/>
    <w:rsid w:val="00C92687"/>
    <w:rsid w:val="00C92D23"/>
    <w:rsid w:val="00C92E56"/>
    <w:rsid w:val="00C92F36"/>
    <w:rsid w:val="00C92F8E"/>
    <w:rsid w:val="00C93014"/>
    <w:rsid w:val="00C93604"/>
    <w:rsid w:val="00C937BF"/>
    <w:rsid w:val="00C939BD"/>
    <w:rsid w:val="00C93A25"/>
    <w:rsid w:val="00C93B87"/>
    <w:rsid w:val="00C94446"/>
    <w:rsid w:val="00C944D8"/>
    <w:rsid w:val="00C946B7"/>
    <w:rsid w:val="00C94AC7"/>
    <w:rsid w:val="00C94E73"/>
    <w:rsid w:val="00C95499"/>
    <w:rsid w:val="00C956D4"/>
    <w:rsid w:val="00C958B7"/>
    <w:rsid w:val="00C95962"/>
    <w:rsid w:val="00C95C66"/>
    <w:rsid w:val="00C95E4F"/>
    <w:rsid w:val="00C96315"/>
    <w:rsid w:val="00C9667E"/>
    <w:rsid w:val="00C96719"/>
    <w:rsid w:val="00C96C3C"/>
    <w:rsid w:val="00C96F1C"/>
    <w:rsid w:val="00C9712F"/>
    <w:rsid w:val="00C97361"/>
    <w:rsid w:val="00C975FC"/>
    <w:rsid w:val="00C976D9"/>
    <w:rsid w:val="00C97CED"/>
    <w:rsid w:val="00CA0064"/>
    <w:rsid w:val="00CA0312"/>
    <w:rsid w:val="00CA0762"/>
    <w:rsid w:val="00CA0846"/>
    <w:rsid w:val="00CA09F1"/>
    <w:rsid w:val="00CA0EBE"/>
    <w:rsid w:val="00CA1328"/>
    <w:rsid w:val="00CA152A"/>
    <w:rsid w:val="00CA16C1"/>
    <w:rsid w:val="00CA1F40"/>
    <w:rsid w:val="00CA21DA"/>
    <w:rsid w:val="00CA2930"/>
    <w:rsid w:val="00CA2B42"/>
    <w:rsid w:val="00CA2FF5"/>
    <w:rsid w:val="00CA355E"/>
    <w:rsid w:val="00CA3735"/>
    <w:rsid w:val="00CA395D"/>
    <w:rsid w:val="00CA3B35"/>
    <w:rsid w:val="00CA41CC"/>
    <w:rsid w:val="00CA453B"/>
    <w:rsid w:val="00CA47F4"/>
    <w:rsid w:val="00CA49F1"/>
    <w:rsid w:val="00CA4B1A"/>
    <w:rsid w:val="00CA4B47"/>
    <w:rsid w:val="00CA4D6D"/>
    <w:rsid w:val="00CA5037"/>
    <w:rsid w:val="00CA53B7"/>
    <w:rsid w:val="00CA594B"/>
    <w:rsid w:val="00CA59FB"/>
    <w:rsid w:val="00CA5F31"/>
    <w:rsid w:val="00CA65D9"/>
    <w:rsid w:val="00CA6747"/>
    <w:rsid w:val="00CA71A5"/>
    <w:rsid w:val="00CA7C36"/>
    <w:rsid w:val="00CB0010"/>
    <w:rsid w:val="00CB01E7"/>
    <w:rsid w:val="00CB040C"/>
    <w:rsid w:val="00CB04B8"/>
    <w:rsid w:val="00CB1E31"/>
    <w:rsid w:val="00CB1EB4"/>
    <w:rsid w:val="00CB1EFD"/>
    <w:rsid w:val="00CB23AC"/>
    <w:rsid w:val="00CB23CF"/>
    <w:rsid w:val="00CB2401"/>
    <w:rsid w:val="00CB2505"/>
    <w:rsid w:val="00CB285A"/>
    <w:rsid w:val="00CB2B87"/>
    <w:rsid w:val="00CB338B"/>
    <w:rsid w:val="00CB3C5E"/>
    <w:rsid w:val="00CB4271"/>
    <w:rsid w:val="00CB42F8"/>
    <w:rsid w:val="00CB4429"/>
    <w:rsid w:val="00CB45FA"/>
    <w:rsid w:val="00CB47B8"/>
    <w:rsid w:val="00CB47C4"/>
    <w:rsid w:val="00CB4847"/>
    <w:rsid w:val="00CB49D5"/>
    <w:rsid w:val="00CB4F33"/>
    <w:rsid w:val="00CB50D0"/>
    <w:rsid w:val="00CB5659"/>
    <w:rsid w:val="00CB58C3"/>
    <w:rsid w:val="00CB6078"/>
    <w:rsid w:val="00CB647C"/>
    <w:rsid w:val="00CB6670"/>
    <w:rsid w:val="00CB67CB"/>
    <w:rsid w:val="00CB6BCA"/>
    <w:rsid w:val="00CB6F96"/>
    <w:rsid w:val="00CB7040"/>
    <w:rsid w:val="00CB7513"/>
    <w:rsid w:val="00CB75BB"/>
    <w:rsid w:val="00CB78C7"/>
    <w:rsid w:val="00CC034D"/>
    <w:rsid w:val="00CC0447"/>
    <w:rsid w:val="00CC04B8"/>
    <w:rsid w:val="00CC0F9E"/>
    <w:rsid w:val="00CC11F8"/>
    <w:rsid w:val="00CC12F8"/>
    <w:rsid w:val="00CC17DF"/>
    <w:rsid w:val="00CC17F6"/>
    <w:rsid w:val="00CC1A52"/>
    <w:rsid w:val="00CC1B84"/>
    <w:rsid w:val="00CC1FAB"/>
    <w:rsid w:val="00CC2334"/>
    <w:rsid w:val="00CC2B1B"/>
    <w:rsid w:val="00CC3161"/>
    <w:rsid w:val="00CC31B7"/>
    <w:rsid w:val="00CC36B5"/>
    <w:rsid w:val="00CC3902"/>
    <w:rsid w:val="00CC3DB8"/>
    <w:rsid w:val="00CC3F9D"/>
    <w:rsid w:val="00CC43CD"/>
    <w:rsid w:val="00CC4B03"/>
    <w:rsid w:val="00CC4BF2"/>
    <w:rsid w:val="00CC50B0"/>
    <w:rsid w:val="00CC52F1"/>
    <w:rsid w:val="00CC555E"/>
    <w:rsid w:val="00CC5630"/>
    <w:rsid w:val="00CC5895"/>
    <w:rsid w:val="00CC5D81"/>
    <w:rsid w:val="00CC5E77"/>
    <w:rsid w:val="00CC621A"/>
    <w:rsid w:val="00CD0089"/>
    <w:rsid w:val="00CD02BA"/>
    <w:rsid w:val="00CD0C6D"/>
    <w:rsid w:val="00CD1388"/>
    <w:rsid w:val="00CD1CBD"/>
    <w:rsid w:val="00CD1E5A"/>
    <w:rsid w:val="00CD1EAE"/>
    <w:rsid w:val="00CD25CE"/>
    <w:rsid w:val="00CD2CD2"/>
    <w:rsid w:val="00CD2E29"/>
    <w:rsid w:val="00CD3821"/>
    <w:rsid w:val="00CD38CD"/>
    <w:rsid w:val="00CD3DFF"/>
    <w:rsid w:val="00CD4732"/>
    <w:rsid w:val="00CD4E42"/>
    <w:rsid w:val="00CD4E5F"/>
    <w:rsid w:val="00CD51E1"/>
    <w:rsid w:val="00CD5851"/>
    <w:rsid w:val="00CD5B1A"/>
    <w:rsid w:val="00CD5BC4"/>
    <w:rsid w:val="00CD5BE5"/>
    <w:rsid w:val="00CD6CE7"/>
    <w:rsid w:val="00CD6DE0"/>
    <w:rsid w:val="00CD73FE"/>
    <w:rsid w:val="00CD74A2"/>
    <w:rsid w:val="00CD769B"/>
    <w:rsid w:val="00CD7C32"/>
    <w:rsid w:val="00CE00AC"/>
    <w:rsid w:val="00CE11E7"/>
    <w:rsid w:val="00CE1332"/>
    <w:rsid w:val="00CE1F70"/>
    <w:rsid w:val="00CE2277"/>
    <w:rsid w:val="00CE22F2"/>
    <w:rsid w:val="00CE2366"/>
    <w:rsid w:val="00CE2551"/>
    <w:rsid w:val="00CE2A7C"/>
    <w:rsid w:val="00CE2E8C"/>
    <w:rsid w:val="00CE3E87"/>
    <w:rsid w:val="00CE3F1F"/>
    <w:rsid w:val="00CE3FB9"/>
    <w:rsid w:val="00CE40F6"/>
    <w:rsid w:val="00CE4157"/>
    <w:rsid w:val="00CE45FB"/>
    <w:rsid w:val="00CE4CB0"/>
    <w:rsid w:val="00CE5106"/>
    <w:rsid w:val="00CE5147"/>
    <w:rsid w:val="00CE52D9"/>
    <w:rsid w:val="00CE52FE"/>
    <w:rsid w:val="00CE54A9"/>
    <w:rsid w:val="00CE5520"/>
    <w:rsid w:val="00CE57AA"/>
    <w:rsid w:val="00CE57C9"/>
    <w:rsid w:val="00CE5BEC"/>
    <w:rsid w:val="00CE5C2C"/>
    <w:rsid w:val="00CE5D96"/>
    <w:rsid w:val="00CE6261"/>
    <w:rsid w:val="00CE6558"/>
    <w:rsid w:val="00CE6724"/>
    <w:rsid w:val="00CE69D2"/>
    <w:rsid w:val="00CE6B2A"/>
    <w:rsid w:val="00CE6E9B"/>
    <w:rsid w:val="00CE6F15"/>
    <w:rsid w:val="00CE6FB7"/>
    <w:rsid w:val="00CE6FE8"/>
    <w:rsid w:val="00CE7924"/>
    <w:rsid w:val="00CF00FD"/>
    <w:rsid w:val="00CF0597"/>
    <w:rsid w:val="00CF05C0"/>
    <w:rsid w:val="00CF0AB9"/>
    <w:rsid w:val="00CF0EEC"/>
    <w:rsid w:val="00CF181A"/>
    <w:rsid w:val="00CF1A95"/>
    <w:rsid w:val="00CF1EC6"/>
    <w:rsid w:val="00CF227B"/>
    <w:rsid w:val="00CF25D6"/>
    <w:rsid w:val="00CF2749"/>
    <w:rsid w:val="00CF27F3"/>
    <w:rsid w:val="00CF33A8"/>
    <w:rsid w:val="00CF33D4"/>
    <w:rsid w:val="00CF3443"/>
    <w:rsid w:val="00CF3B0B"/>
    <w:rsid w:val="00CF4207"/>
    <w:rsid w:val="00CF4402"/>
    <w:rsid w:val="00CF4894"/>
    <w:rsid w:val="00CF4A09"/>
    <w:rsid w:val="00CF4A92"/>
    <w:rsid w:val="00CF4E66"/>
    <w:rsid w:val="00CF5277"/>
    <w:rsid w:val="00CF5336"/>
    <w:rsid w:val="00CF55B4"/>
    <w:rsid w:val="00CF5F2D"/>
    <w:rsid w:val="00CF5F76"/>
    <w:rsid w:val="00CF65E5"/>
    <w:rsid w:val="00CF6889"/>
    <w:rsid w:val="00CF6AF9"/>
    <w:rsid w:val="00CF705C"/>
    <w:rsid w:val="00CF707C"/>
    <w:rsid w:val="00CF72B8"/>
    <w:rsid w:val="00CF7733"/>
    <w:rsid w:val="00CF7E23"/>
    <w:rsid w:val="00D0049F"/>
    <w:rsid w:val="00D00936"/>
    <w:rsid w:val="00D00EA2"/>
    <w:rsid w:val="00D00ECF"/>
    <w:rsid w:val="00D00F44"/>
    <w:rsid w:val="00D01030"/>
    <w:rsid w:val="00D011AC"/>
    <w:rsid w:val="00D012F3"/>
    <w:rsid w:val="00D01529"/>
    <w:rsid w:val="00D01710"/>
    <w:rsid w:val="00D019CB"/>
    <w:rsid w:val="00D02120"/>
    <w:rsid w:val="00D02644"/>
    <w:rsid w:val="00D029BA"/>
    <w:rsid w:val="00D029FE"/>
    <w:rsid w:val="00D02DAD"/>
    <w:rsid w:val="00D03044"/>
    <w:rsid w:val="00D03088"/>
    <w:rsid w:val="00D032FF"/>
    <w:rsid w:val="00D03350"/>
    <w:rsid w:val="00D037D6"/>
    <w:rsid w:val="00D04AD1"/>
    <w:rsid w:val="00D052B6"/>
    <w:rsid w:val="00D05B02"/>
    <w:rsid w:val="00D05E8D"/>
    <w:rsid w:val="00D06280"/>
    <w:rsid w:val="00D0642A"/>
    <w:rsid w:val="00D06CF9"/>
    <w:rsid w:val="00D06D0A"/>
    <w:rsid w:val="00D06D73"/>
    <w:rsid w:val="00D07ABB"/>
    <w:rsid w:val="00D07FE4"/>
    <w:rsid w:val="00D1032C"/>
    <w:rsid w:val="00D10530"/>
    <w:rsid w:val="00D109C8"/>
    <w:rsid w:val="00D10A73"/>
    <w:rsid w:val="00D10C20"/>
    <w:rsid w:val="00D10E1F"/>
    <w:rsid w:val="00D110BF"/>
    <w:rsid w:val="00D111CA"/>
    <w:rsid w:val="00D11803"/>
    <w:rsid w:val="00D11C17"/>
    <w:rsid w:val="00D12F3C"/>
    <w:rsid w:val="00D1312A"/>
    <w:rsid w:val="00D138C4"/>
    <w:rsid w:val="00D139C4"/>
    <w:rsid w:val="00D13B85"/>
    <w:rsid w:val="00D13BB4"/>
    <w:rsid w:val="00D13D4D"/>
    <w:rsid w:val="00D13DEE"/>
    <w:rsid w:val="00D13F2A"/>
    <w:rsid w:val="00D141FD"/>
    <w:rsid w:val="00D1430E"/>
    <w:rsid w:val="00D14EB9"/>
    <w:rsid w:val="00D14EEA"/>
    <w:rsid w:val="00D1535B"/>
    <w:rsid w:val="00D15437"/>
    <w:rsid w:val="00D15E5C"/>
    <w:rsid w:val="00D15FF5"/>
    <w:rsid w:val="00D16149"/>
    <w:rsid w:val="00D1674D"/>
    <w:rsid w:val="00D16972"/>
    <w:rsid w:val="00D16DA3"/>
    <w:rsid w:val="00D17665"/>
    <w:rsid w:val="00D178A5"/>
    <w:rsid w:val="00D178CC"/>
    <w:rsid w:val="00D17DF9"/>
    <w:rsid w:val="00D203A0"/>
    <w:rsid w:val="00D204FA"/>
    <w:rsid w:val="00D210F8"/>
    <w:rsid w:val="00D21216"/>
    <w:rsid w:val="00D2145F"/>
    <w:rsid w:val="00D214D6"/>
    <w:rsid w:val="00D21C03"/>
    <w:rsid w:val="00D21F63"/>
    <w:rsid w:val="00D223A5"/>
    <w:rsid w:val="00D223E9"/>
    <w:rsid w:val="00D225E4"/>
    <w:rsid w:val="00D22670"/>
    <w:rsid w:val="00D22D2D"/>
    <w:rsid w:val="00D22E42"/>
    <w:rsid w:val="00D239AC"/>
    <w:rsid w:val="00D247D9"/>
    <w:rsid w:val="00D24EB2"/>
    <w:rsid w:val="00D24F11"/>
    <w:rsid w:val="00D254CC"/>
    <w:rsid w:val="00D255F0"/>
    <w:rsid w:val="00D25AB5"/>
    <w:rsid w:val="00D25DB4"/>
    <w:rsid w:val="00D25FE0"/>
    <w:rsid w:val="00D26463"/>
    <w:rsid w:val="00D26DBE"/>
    <w:rsid w:val="00D26ECC"/>
    <w:rsid w:val="00D27179"/>
    <w:rsid w:val="00D271EC"/>
    <w:rsid w:val="00D2728F"/>
    <w:rsid w:val="00D2750D"/>
    <w:rsid w:val="00D278FA"/>
    <w:rsid w:val="00D27A47"/>
    <w:rsid w:val="00D27AA5"/>
    <w:rsid w:val="00D27E84"/>
    <w:rsid w:val="00D30CBD"/>
    <w:rsid w:val="00D30DFF"/>
    <w:rsid w:val="00D30F31"/>
    <w:rsid w:val="00D3183C"/>
    <w:rsid w:val="00D31D4A"/>
    <w:rsid w:val="00D31DFF"/>
    <w:rsid w:val="00D3206E"/>
    <w:rsid w:val="00D32126"/>
    <w:rsid w:val="00D3254B"/>
    <w:rsid w:val="00D326D4"/>
    <w:rsid w:val="00D3276E"/>
    <w:rsid w:val="00D32BE8"/>
    <w:rsid w:val="00D337B1"/>
    <w:rsid w:val="00D33E22"/>
    <w:rsid w:val="00D34115"/>
    <w:rsid w:val="00D3418B"/>
    <w:rsid w:val="00D34B40"/>
    <w:rsid w:val="00D34BA1"/>
    <w:rsid w:val="00D34BAB"/>
    <w:rsid w:val="00D34C14"/>
    <w:rsid w:val="00D34D3B"/>
    <w:rsid w:val="00D350FD"/>
    <w:rsid w:val="00D359BF"/>
    <w:rsid w:val="00D35EA5"/>
    <w:rsid w:val="00D363D9"/>
    <w:rsid w:val="00D364D5"/>
    <w:rsid w:val="00D36E95"/>
    <w:rsid w:val="00D37552"/>
    <w:rsid w:val="00D3762F"/>
    <w:rsid w:val="00D37A58"/>
    <w:rsid w:val="00D404DF"/>
    <w:rsid w:val="00D407D9"/>
    <w:rsid w:val="00D40A0A"/>
    <w:rsid w:val="00D40E20"/>
    <w:rsid w:val="00D40EF2"/>
    <w:rsid w:val="00D41701"/>
    <w:rsid w:val="00D4180A"/>
    <w:rsid w:val="00D41C71"/>
    <w:rsid w:val="00D42211"/>
    <w:rsid w:val="00D4266F"/>
    <w:rsid w:val="00D42CD7"/>
    <w:rsid w:val="00D43321"/>
    <w:rsid w:val="00D43488"/>
    <w:rsid w:val="00D43E1D"/>
    <w:rsid w:val="00D43EF5"/>
    <w:rsid w:val="00D440EB"/>
    <w:rsid w:val="00D4433C"/>
    <w:rsid w:val="00D44347"/>
    <w:rsid w:val="00D44CB4"/>
    <w:rsid w:val="00D44F4D"/>
    <w:rsid w:val="00D452A1"/>
    <w:rsid w:val="00D45581"/>
    <w:rsid w:val="00D4589F"/>
    <w:rsid w:val="00D45E55"/>
    <w:rsid w:val="00D4693E"/>
    <w:rsid w:val="00D469D9"/>
    <w:rsid w:val="00D46CC2"/>
    <w:rsid w:val="00D46E1C"/>
    <w:rsid w:val="00D46F16"/>
    <w:rsid w:val="00D471E1"/>
    <w:rsid w:val="00D47A80"/>
    <w:rsid w:val="00D47DE1"/>
    <w:rsid w:val="00D50040"/>
    <w:rsid w:val="00D507E4"/>
    <w:rsid w:val="00D5089B"/>
    <w:rsid w:val="00D50A2E"/>
    <w:rsid w:val="00D50C48"/>
    <w:rsid w:val="00D5117B"/>
    <w:rsid w:val="00D51460"/>
    <w:rsid w:val="00D515F5"/>
    <w:rsid w:val="00D516C3"/>
    <w:rsid w:val="00D51AAB"/>
    <w:rsid w:val="00D51C82"/>
    <w:rsid w:val="00D527E8"/>
    <w:rsid w:val="00D52DDB"/>
    <w:rsid w:val="00D533B1"/>
    <w:rsid w:val="00D5348A"/>
    <w:rsid w:val="00D534FE"/>
    <w:rsid w:val="00D536B1"/>
    <w:rsid w:val="00D536BB"/>
    <w:rsid w:val="00D537BB"/>
    <w:rsid w:val="00D538A9"/>
    <w:rsid w:val="00D539BF"/>
    <w:rsid w:val="00D53FA7"/>
    <w:rsid w:val="00D541C8"/>
    <w:rsid w:val="00D5444F"/>
    <w:rsid w:val="00D54A07"/>
    <w:rsid w:val="00D54B25"/>
    <w:rsid w:val="00D55419"/>
    <w:rsid w:val="00D555A2"/>
    <w:rsid w:val="00D55A23"/>
    <w:rsid w:val="00D55FE0"/>
    <w:rsid w:val="00D569CF"/>
    <w:rsid w:val="00D56A73"/>
    <w:rsid w:val="00D56CBB"/>
    <w:rsid w:val="00D571C3"/>
    <w:rsid w:val="00D57617"/>
    <w:rsid w:val="00D57AE1"/>
    <w:rsid w:val="00D60288"/>
    <w:rsid w:val="00D60A5E"/>
    <w:rsid w:val="00D60B44"/>
    <w:rsid w:val="00D60B6A"/>
    <w:rsid w:val="00D60D3A"/>
    <w:rsid w:val="00D613E2"/>
    <w:rsid w:val="00D616AC"/>
    <w:rsid w:val="00D61826"/>
    <w:rsid w:val="00D61839"/>
    <w:rsid w:val="00D6192D"/>
    <w:rsid w:val="00D61D78"/>
    <w:rsid w:val="00D61E66"/>
    <w:rsid w:val="00D62C95"/>
    <w:rsid w:val="00D62D0C"/>
    <w:rsid w:val="00D62E64"/>
    <w:rsid w:val="00D632A0"/>
    <w:rsid w:val="00D6346E"/>
    <w:rsid w:val="00D63844"/>
    <w:rsid w:val="00D63A15"/>
    <w:rsid w:val="00D63ACD"/>
    <w:rsid w:val="00D63BA9"/>
    <w:rsid w:val="00D63CB0"/>
    <w:rsid w:val="00D63D75"/>
    <w:rsid w:val="00D64226"/>
    <w:rsid w:val="00D642D8"/>
    <w:rsid w:val="00D64362"/>
    <w:rsid w:val="00D643F2"/>
    <w:rsid w:val="00D64ADE"/>
    <w:rsid w:val="00D65494"/>
    <w:rsid w:val="00D655B8"/>
    <w:rsid w:val="00D65E85"/>
    <w:rsid w:val="00D66569"/>
    <w:rsid w:val="00D6677D"/>
    <w:rsid w:val="00D66B73"/>
    <w:rsid w:val="00D66ED1"/>
    <w:rsid w:val="00D679D3"/>
    <w:rsid w:val="00D67C03"/>
    <w:rsid w:val="00D67E84"/>
    <w:rsid w:val="00D70005"/>
    <w:rsid w:val="00D7086A"/>
    <w:rsid w:val="00D709F9"/>
    <w:rsid w:val="00D70AB5"/>
    <w:rsid w:val="00D70EA7"/>
    <w:rsid w:val="00D710E0"/>
    <w:rsid w:val="00D71183"/>
    <w:rsid w:val="00D71607"/>
    <w:rsid w:val="00D7169A"/>
    <w:rsid w:val="00D71CA6"/>
    <w:rsid w:val="00D720D5"/>
    <w:rsid w:val="00D735DD"/>
    <w:rsid w:val="00D74D05"/>
    <w:rsid w:val="00D74D60"/>
    <w:rsid w:val="00D754B0"/>
    <w:rsid w:val="00D755FC"/>
    <w:rsid w:val="00D76171"/>
    <w:rsid w:val="00D762D6"/>
    <w:rsid w:val="00D7638A"/>
    <w:rsid w:val="00D763BC"/>
    <w:rsid w:val="00D76A04"/>
    <w:rsid w:val="00D774BD"/>
    <w:rsid w:val="00D77E6B"/>
    <w:rsid w:val="00D801E8"/>
    <w:rsid w:val="00D80AB9"/>
    <w:rsid w:val="00D80E56"/>
    <w:rsid w:val="00D80F21"/>
    <w:rsid w:val="00D80F56"/>
    <w:rsid w:val="00D80F68"/>
    <w:rsid w:val="00D8122C"/>
    <w:rsid w:val="00D81442"/>
    <w:rsid w:val="00D821D7"/>
    <w:rsid w:val="00D8249E"/>
    <w:rsid w:val="00D8261C"/>
    <w:rsid w:val="00D82E96"/>
    <w:rsid w:val="00D82F28"/>
    <w:rsid w:val="00D82F96"/>
    <w:rsid w:val="00D83133"/>
    <w:rsid w:val="00D83A4F"/>
    <w:rsid w:val="00D83E47"/>
    <w:rsid w:val="00D83F6E"/>
    <w:rsid w:val="00D83FEE"/>
    <w:rsid w:val="00D840CD"/>
    <w:rsid w:val="00D84149"/>
    <w:rsid w:val="00D84492"/>
    <w:rsid w:val="00D84589"/>
    <w:rsid w:val="00D85775"/>
    <w:rsid w:val="00D85939"/>
    <w:rsid w:val="00D85B96"/>
    <w:rsid w:val="00D85CB1"/>
    <w:rsid w:val="00D85CC8"/>
    <w:rsid w:val="00D85D97"/>
    <w:rsid w:val="00D86179"/>
    <w:rsid w:val="00D86DA0"/>
    <w:rsid w:val="00D870BA"/>
    <w:rsid w:val="00D90270"/>
    <w:rsid w:val="00D9072E"/>
    <w:rsid w:val="00D90B07"/>
    <w:rsid w:val="00D90CE8"/>
    <w:rsid w:val="00D90D45"/>
    <w:rsid w:val="00D90E2F"/>
    <w:rsid w:val="00D90FEF"/>
    <w:rsid w:val="00D911A3"/>
    <w:rsid w:val="00D9120F"/>
    <w:rsid w:val="00D913AB"/>
    <w:rsid w:val="00D921F3"/>
    <w:rsid w:val="00D922A3"/>
    <w:rsid w:val="00D9230C"/>
    <w:rsid w:val="00D92DC1"/>
    <w:rsid w:val="00D92FC0"/>
    <w:rsid w:val="00D935F0"/>
    <w:rsid w:val="00D9403A"/>
    <w:rsid w:val="00D94956"/>
    <w:rsid w:val="00D949F9"/>
    <w:rsid w:val="00D94C16"/>
    <w:rsid w:val="00D94E11"/>
    <w:rsid w:val="00D9513B"/>
    <w:rsid w:val="00D956C5"/>
    <w:rsid w:val="00D95DCF"/>
    <w:rsid w:val="00D95FDE"/>
    <w:rsid w:val="00D96318"/>
    <w:rsid w:val="00D96CD6"/>
    <w:rsid w:val="00D96CFC"/>
    <w:rsid w:val="00D97269"/>
    <w:rsid w:val="00D9772E"/>
    <w:rsid w:val="00D979D5"/>
    <w:rsid w:val="00D979DF"/>
    <w:rsid w:val="00D97B47"/>
    <w:rsid w:val="00D97F81"/>
    <w:rsid w:val="00DA0966"/>
    <w:rsid w:val="00DA0C48"/>
    <w:rsid w:val="00DA0CBD"/>
    <w:rsid w:val="00DA1326"/>
    <w:rsid w:val="00DA142E"/>
    <w:rsid w:val="00DA16BB"/>
    <w:rsid w:val="00DA18D9"/>
    <w:rsid w:val="00DA19F9"/>
    <w:rsid w:val="00DA1C06"/>
    <w:rsid w:val="00DA1ED0"/>
    <w:rsid w:val="00DA216F"/>
    <w:rsid w:val="00DA279B"/>
    <w:rsid w:val="00DA2C14"/>
    <w:rsid w:val="00DA33BC"/>
    <w:rsid w:val="00DA3CE6"/>
    <w:rsid w:val="00DA4024"/>
    <w:rsid w:val="00DA443F"/>
    <w:rsid w:val="00DA468C"/>
    <w:rsid w:val="00DA4850"/>
    <w:rsid w:val="00DA4BE0"/>
    <w:rsid w:val="00DA4F10"/>
    <w:rsid w:val="00DA506C"/>
    <w:rsid w:val="00DA54C7"/>
    <w:rsid w:val="00DA59AB"/>
    <w:rsid w:val="00DA5D32"/>
    <w:rsid w:val="00DA696A"/>
    <w:rsid w:val="00DA6A11"/>
    <w:rsid w:val="00DA6B83"/>
    <w:rsid w:val="00DA7253"/>
    <w:rsid w:val="00DA7538"/>
    <w:rsid w:val="00DA7719"/>
    <w:rsid w:val="00DA7F95"/>
    <w:rsid w:val="00DB02AE"/>
    <w:rsid w:val="00DB065D"/>
    <w:rsid w:val="00DB0A86"/>
    <w:rsid w:val="00DB173A"/>
    <w:rsid w:val="00DB176B"/>
    <w:rsid w:val="00DB185D"/>
    <w:rsid w:val="00DB1FC9"/>
    <w:rsid w:val="00DB2592"/>
    <w:rsid w:val="00DB2655"/>
    <w:rsid w:val="00DB2947"/>
    <w:rsid w:val="00DB2C19"/>
    <w:rsid w:val="00DB2D6B"/>
    <w:rsid w:val="00DB328E"/>
    <w:rsid w:val="00DB3356"/>
    <w:rsid w:val="00DB3998"/>
    <w:rsid w:val="00DB3E5A"/>
    <w:rsid w:val="00DB4089"/>
    <w:rsid w:val="00DB4379"/>
    <w:rsid w:val="00DB4668"/>
    <w:rsid w:val="00DB4960"/>
    <w:rsid w:val="00DB4B74"/>
    <w:rsid w:val="00DB51A6"/>
    <w:rsid w:val="00DB52A5"/>
    <w:rsid w:val="00DB549C"/>
    <w:rsid w:val="00DB56C2"/>
    <w:rsid w:val="00DB58BA"/>
    <w:rsid w:val="00DB664D"/>
    <w:rsid w:val="00DB6E48"/>
    <w:rsid w:val="00DB7221"/>
    <w:rsid w:val="00DB7594"/>
    <w:rsid w:val="00DB7D07"/>
    <w:rsid w:val="00DC0199"/>
    <w:rsid w:val="00DC01DD"/>
    <w:rsid w:val="00DC0306"/>
    <w:rsid w:val="00DC05A2"/>
    <w:rsid w:val="00DC0729"/>
    <w:rsid w:val="00DC09D0"/>
    <w:rsid w:val="00DC0C6D"/>
    <w:rsid w:val="00DC0E23"/>
    <w:rsid w:val="00DC0F12"/>
    <w:rsid w:val="00DC0F3B"/>
    <w:rsid w:val="00DC1354"/>
    <w:rsid w:val="00DC143F"/>
    <w:rsid w:val="00DC1D57"/>
    <w:rsid w:val="00DC1EA9"/>
    <w:rsid w:val="00DC20FF"/>
    <w:rsid w:val="00DC2106"/>
    <w:rsid w:val="00DC2274"/>
    <w:rsid w:val="00DC2558"/>
    <w:rsid w:val="00DC2763"/>
    <w:rsid w:val="00DC31B2"/>
    <w:rsid w:val="00DC399A"/>
    <w:rsid w:val="00DC3A81"/>
    <w:rsid w:val="00DC4B9D"/>
    <w:rsid w:val="00DC4FE2"/>
    <w:rsid w:val="00DC5241"/>
    <w:rsid w:val="00DC548F"/>
    <w:rsid w:val="00DC5A2D"/>
    <w:rsid w:val="00DC5D64"/>
    <w:rsid w:val="00DC6091"/>
    <w:rsid w:val="00DC6747"/>
    <w:rsid w:val="00DC6BE7"/>
    <w:rsid w:val="00DC6DE7"/>
    <w:rsid w:val="00DC6E45"/>
    <w:rsid w:val="00DC7541"/>
    <w:rsid w:val="00DC793D"/>
    <w:rsid w:val="00DC7A6C"/>
    <w:rsid w:val="00DC7EA0"/>
    <w:rsid w:val="00DD0243"/>
    <w:rsid w:val="00DD0445"/>
    <w:rsid w:val="00DD048D"/>
    <w:rsid w:val="00DD04E7"/>
    <w:rsid w:val="00DD0AD6"/>
    <w:rsid w:val="00DD0BA1"/>
    <w:rsid w:val="00DD1086"/>
    <w:rsid w:val="00DD1205"/>
    <w:rsid w:val="00DD1247"/>
    <w:rsid w:val="00DD2009"/>
    <w:rsid w:val="00DD2574"/>
    <w:rsid w:val="00DD279A"/>
    <w:rsid w:val="00DD297F"/>
    <w:rsid w:val="00DD3026"/>
    <w:rsid w:val="00DD3E11"/>
    <w:rsid w:val="00DD42AA"/>
    <w:rsid w:val="00DD43D8"/>
    <w:rsid w:val="00DD43DE"/>
    <w:rsid w:val="00DD499D"/>
    <w:rsid w:val="00DD4B38"/>
    <w:rsid w:val="00DD4C1B"/>
    <w:rsid w:val="00DD52EB"/>
    <w:rsid w:val="00DD5435"/>
    <w:rsid w:val="00DD5538"/>
    <w:rsid w:val="00DD56AD"/>
    <w:rsid w:val="00DD5AD8"/>
    <w:rsid w:val="00DD6521"/>
    <w:rsid w:val="00DD671E"/>
    <w:rsid w:val="00DD6F57"/>
    <w:rsid w:val="00DD7125"/>
    <w:rsid w:val="00DD7592"/>
    <w:rsid w:val="00DD77A8"/>
    <w:rsid w:val="00DD7D0B"/>
    <w:rsid w:val="00DD7E38"/>
    <w:rsid w:val="00DE0684"/>
    <w:rsid w:val="00DE070E"/>
    <w:rsid w:val="00DE089F"/>
    <w:rsid w:val="00DE0FF5"/>
    <w:rsid w:val="00DE1316"/>
    <w:rsid w:val="00DE1619"/>
    <w:rsid w:val="00DE17C5"/>
    <w:rsid w:val="00DE1915"/>
    <w:rsid w:val="00DE1967"/>
    <w:rsid w:val="00DE1B5B"/>
    <w:rsid w:val="00DE1CCA"/>
    <w:rsid w:val="00DE1E0F"/>
    <w:rsid w:val="00DE1FC6"/>
    <w:rsid w:val="00DE2054"/>
    <w:rsid w:val="00DE29DC"/>
    <w:rsid w:val="00DE2DF5"/>
    <w:rsid w:val="00DE3263"/>
    <w:rsid w:val="00DE32CF"/>
    <w:rsid w:val="00DE37BB"/>
    <w:rsid w:val="00DE3A6B"/>
    <w:rsid w:val="00DE40EB"/>
    <w:rsid w:val="00DE45F1"/>
    <w:rsid w:val="00DE49FA"/>
    <w:rsid w:val="00DE4AE6"/>
    <w:rsid w:val="00DE4DAD"/>
    <w:rsid w:val="00DE5A99"/>
    <w:rsid w:val="00DE6027"/>
    <w:rsid w:val="00DE61A8"/>
    <w:rsid w:val="00DE6A7F"/>
    <w:rsid w:val="00DE7367"/>
    <w:rsid w:val="00DE7446"/>
    <w:rsid w:val="00DE78EA"/>
    <w:rsid w:val="00DE7A93"/>
    <w:rsid w:val="00DF0086"/>
    <w:rsid w:val="00DF00F8"/>
    <w:rsid w:val="00DF0169"/>
    <w:rsid w:val="00DF05B6"/>
    <w:rsid w:val="00DF0A0E"/>
    <w:rsid w:val="00DF0B83"/>
    <w:rsid w:val="00DF0CAE"/>
    <w:rsid w:val="00DF138E"/>
    <w:rsid w:val="00DF151D"/>
    <w:rsid w:val="00DF1820"/>
    <w:rsid w:val="00DF1892"/>
    <w:rsid w:val="00DF19B0"/>
    <w:rsid w:val="00DF1C3B"/>
    <w:rsid w:val="00DF1C48"/>
    <w:rsid w:val="00DF1CF2"/>
    <w:rsid w:val="00DF273C"/>
    <w:rsid w:val="00DF295A"/>
    <w:rsid w:val="00DF2C89"/>
    <w:rsid w:val="00DF3272"/>
    <w:rsid w:val="00DF3412"/>
    <w:rsid w:val="00DF363D"/>
    <w:rsid w:val="00DF3830"/>
    <w:rsid w:val="00DF3A8A"/>
    <w:rsid w:val="00DF44C0"/>
    <w:rsid w:val="00DF4C06"/>
    <w:rsid w:val="00DF4E20"/>
    <w:rsid w:val="00DF51F8"/>
    <w:rsid w:val="00DF542C"/>
    <w:rsid w:val="00DF5B72"/>
    <w:rsid w:val="00DF5C5E"/>
    <w:rsid w:val="00DF600F"/>
    <w:rsid w:val="00DF61EA"/>
    <w:rsid w:val="00DF635F"/>
    <w:rsid w:val="00DF636D"/>
    <w:rsid w:val="00DF6462"/>
    <w:rsid w:val="00DF677D"/>
    <w:rsid w:val="00DF6CAE"/>
    <w:rsid w:val="00DF6D90"/>
    <w:rsid w:val="00DF7370"/>
    <w:rsid w:val="00DF743E"/>
    <w:rsid w:val="00E0015D"/>
    <w:rsid w:val="00E00678"/>
    <w:rsid w:val="00E015B4"/>
    <w:rsid w:val="00E0177D"/>
    <w:rsid w:val="00E02059"/>
    <w:rsid w:val="00E02135"/>
    <w:rsid w:val="00E02784"/>
    <w:rsid w:val="00E02D25"/>
    <w:rsid w:val="00E02E60"/>
    <w:rsid w:val="00E031D6"/>
    <w:rsid w:val="00E032B8"/>
    <w:rsid w:val="00E034F9"/>
    <w:rsid w:val="00E0361B"/>
    <w:rsid w:val="00E037FD"/>
    <w:rsid w:val="00E03FAF"/>
    <w:rsid w:val="00E04088"/>
    <w:rsid w:val="00E049BD"/>
    <w:rsid w:val="00E04EB6"/>
    <w:rsid w:val="00E05183"/>
    <w:rsid w:val="00E0594D"/>
    <w:rsid w:val="00E05D37"/>
    <w:rsid w:val="00E05D6D"/>
    <w:rsid w:val="00E064E1"/>
    <w:rsid w:val="00E06CB9"/>
    <w:rsid w:val="00E06DE3"/>
    <w:rsid w:val="00E076C2"/>
    <w:rsid w:val="00E07984"/>
    <w:rsid w:val="00E07D2B"/>
    <w:rsid w:val="00E1009F"/>
    <w:rsid w:val="00E106AC"/>
    <w:rsid w:val="00E10B39"/>
    <w:rsid w:val="00E11ACD"/>
    <w:rsid w:val="00E11DE1"/>
    <w:rsid w:val="00E11ED5"/>
    <w:rsid w:val="00E11F4C"/>
    <w:rsid w:val="00E12083"/>
    <w:rsid w:val="00E12156"/>
    <w:rsid w:val="00E12254"/>
    <w:rsid w:val="00E123E2"/>
    <w:rsid w:val="00E1292A"/>
    <w:rsid w:val="00E1393F"/>
    <w:rsid w:val="00E13A57"/>
    <w:rsid w:val="00E13AF3"/>
    <w:rsid w:val="00E13DE3"/>
    <w:rsid w:val="00E14608"/>
    <w:rsid w:val="00E14770"/>
    <w:rsid w:val="00E14816"/>
    <w:rsid w:val="00E14936"/>
    <w:rsid w:val="00E14A38"/>
    <w:rsid w:val="00E14A7A"/>
    <w:rsid w:val="00E14ACB"/>
    <w:rsid w:val="00E14B51"/>
    <w:rsid w:val="00E14E48"/>
    <w:rsid w:val="00E14F5C"/>
    <w:rsid w:val="00E1538F"/>
    <w:rsid w:val="00E1543D"/>
    <w:rsid w:val="00E15EEF"/>
    <w:rsid w:val="00E16356"/>
    <w:rsid w:val="00E16FA4"/>
    <w:rsid w:val="00E17885"/>
    <w:rsid w:val="00E20B64"/>
    <w:rsid w:val="00E21762"/>
    <w:rsid w:val="00E219BD"/>
    <w:rsid w:val="00E21AC4"/>
    <w:rsid w:val="00E21B43"/>
    <w:rsid w:val="00E21E24"/>
    <w:rsid w:val="00E22399"/>
    <w:rsid w:val="00E22593"/>
    <w:rsid w:val="00E229BE"/>
    <w:rsid w:val="00E22E58"/>
    <w:rsid w:val="00E2324D"/>
    <w:rsid w:val="00E23F9A"/>
    <w:rsid w:val="00E24100"/>
    <w:rsid w:val="00E242F7"/>
    <w:rsid w:val="00E24378"/>
    <w:rsid w:val="00E243F2"/>
    <w:rsid w:val="00E246D6"/>
    <w:rsid w:val="00E24967"/>
    <w:rsid w:val="00E24CD8"/>
    <w:rsid w:val="00E25712"/>
    <w:rsid w:val="00E2635C"/>
    <w:rsid w:val="00E2669A"/>
    <w:rsid w:val="00E26A55"/>
    <w:rsid w:val="00E26ACD"/>
    <w:rsid w:val="00E26D4E"/>
    <w:rsid w:val="00E27068"/>
    <w:rsid w:val="00E270F9"/>
    <w:rsid w:val="00E271CF"/>
    <w:rsid w:val="00E27E21"/>
    <w:rsid w:val="00E27FE7"/>
    <w:rsid w:val="00E30211"/>
    <w:rsid w:val="00E30395"/>
    <w:rsid w:val="00E30AAE"/>
    <w:rsid w:val="00E30C0F"/>
    <w:rsid w:val="00E310B6"/>
    <w:rsid w:val="00E3216B"/>
    <w:rsid w:val="00E3254D"/>
    <w:rsid w:val="00E326AA"/>
    <w:rsid w:val="00E32AA9"/>
    <w:rsid w:val="00E32FEE"/>
    <w:rsid w:val="00E33A1A"/>
    <w:rsid w:val="00E33F5C"/>
    <w:rsid w:val="00E34A2E"/>
    <w:rsid w:val="00E34B82"/>
    <w:rsid w:val="00E34DDA"/>
    <w:rsid w:val="00E35553"/>
    <w:rsid w:val="00E355A8"/>
    <w:rsid w:val="00E35B36"/>
    <w:rsid w:val="00E35D23"/>
    <w:rsid w:val="00E35E55"/>
    <w:rsid w:val="00E36FE1"/>
    <w:rsid w:val="00E37285"/>
    <w:rsid w:val="00E3736F"/>
    <w:rsid w:val="00E37A9A"/>
    <w:rsid w:val="00E37BB3"/>
    <w:rsid w:val="00E37DF9"/>
    <w:rsid w:val="00E37F4E"/>
    <w:rsid w:val="00E40304"/>
    <w:rsid w:val="00E404D1"/>
    <w:rsid w:val="00E405CE"/>
    <w:rsid w:val="00E40E2B"/>
    <w:rsid w:val="00E416E1"/>
    <w:rsid w:val="00E420BE"/>
    <w:rsid w:val="00E423C6"/>
    <w:rsid w:val="00E423D5"/>
    <w:rsid w:val="00E425E5"/>
    <w:rsid w:val="00E42749"/>
    <w:rsid w:val="00E42D92"/>
    <w:rsid w:val="00E42DB5"/>
    <w:rsid w:val="00E43BDF"/>
    <w:rsid w:val="00E43C3E"/>
    <w:rsid w:val="00E43D45"/>
    <w:rsid w:val="00E4447C"/>
    <w:rsid w:val="00E44693"/>
    <w:rsid w:val="00E446D5"/>
    <w:rsid w:val="00E4480A"/>
    <w:rsid w:val="00E44835"/>
    <w:rsid w:val="00E44904"/>
    <w:rsid w:val="00E44B5B"/>
    <w:rsid w:val="00E45B07"/>
    <w:rsid w:val="00E45CA8"/>
    <w:rsid w:val="00E46960"/>
    <w:rsid w:val="00E476E3"/>
    <w:rsid w:val="00E47A35"/>
    <w:rsid w:val="00E47A9D"/>
    <w:rsid w:val="00E47E43"/>
    <w:rsid w:val="00E50067"/>
    <w:rsid w:val="00E50389"/>
    <w:rsid w:val="00E5062C"/>
    <w:rsid w:val="00E5075A"/>
    <w:rsid w:val="00E50967"/>
    <w:rsid w:val="00E50989"/>
    <w:rsid w:val="00E50D2D"/>
    <w:rsid w:val="00E50ED8"/>
    <w:rsid w:val="00E50FDD"/>
    <w:rsid w:val="00E516B4"/>
    <w:rsid w:val="00E51D40"/>
    <w:rsid w:val="00E51E30"/>
    <w:rsid w:val="00E522D1"/>
    <w:rsid w:val="00E526E8"/>
    <w:rsid w:val="00E53047"/>
    <w:rsid w:val="00E5358C"/>
    <w:rsid w:val="00E536C8"/>
    <w:rsid w:val="00E53B51"/>
    <w:rsid w:val="00E53F81"/>
    <w:rsid w:val="00E54089"/>
    <w:rsid w:val="00E54279"/>
    <w:rsid w:val="00E548DA"/>
    <w:rsid w:val="00E54E38"/>
    <w:rsid w:val="00E54E62"/>
    <w:rsid w:val="00E55066"/>
    <w:rsid w:val="00E5532A"/>
    <w:rsid w:val="00E55448"/>
    <w:rsid w:val="00E558B0"/>
    <w:rsid w:val="00E57164"/>
    <w:rsid w:val="00E574A5"/>
    <w:rsid w:val="00E57CC0"/>
    <w:rsid w:val="00E57E14"/>
    <w:rsid w:val="00E60177"/>
    <w:rsid w:val="00E60782"/>
    <w:rsid w:val="00E60B71"/>
    <w:rsid w:val="00E610D7"/>
    <w:rsid w:val="00E61214"/>
    <w:rsid w:val="00E61863"/>
    <w:rsid w:val="00E61B3E"/>
    <w:rsid w:val="00E61C2E"/>
    <w:rsid w:val="00E61DA3"/>
    <w:rsid w:val="00E6294C"/>
    <w:rsid w:val="00E62DC7"/>
    <w:rsid w:val="00E63A13"/>
    <w:rsid w:val="00E644F6"/>
    <w:rsid w:val="00E645F6"/>
    <w:rsid w:val="00E64A72"/>
    <w:rsid w:val="00E64BE2"/>
    <w:rsid w:val="00E65022"/>
    <w:rsid w:val="00E6518F"/>
    <w:rsid w:val="00E65624"/>
    <w:rsid w:val="00E657D9"/>
    <w:rsid w:val="00E658D9"/>
    <w:rsid w:val="00E6593B"/>
    <w:rsid w:val="00E65964"/>
    <w:rsid w:val="00E65A76"/>
    <w:rsid w:val="00E664E7"/>
    <w:rsid w:val="00E66A07"/>
    <w:rsid w:val="00E66B88"/>
    <w:rsid w:val="00E66D27"/>
    <w:rsid w:val="00E66D65"/>
    <w:rsid w:val="00E66E4C"/>
    <w:rsid w:val="00E66F51"/>
    <w:rsid w:val="00E66FF1"/>
    <w:rsid w:val="00E6726F"/>
    <w:rsid w:val="00E67561"/>
    <w:rsid w:val="00E676C3"/>
    <w:rsid w:val="00E676D5"/>
    <w:rsid w:val="00E67ACF"/>
    <w:rsid w:val="00E70572"/>
    <w:rsid w:val="00E709C2"/>
    <w:rsid w:val="00E70DC5"/>
    <w:rsid w:val="00E70E43"/>
    <w:rsid w:val="00E71096"/>
    <w:rsid w:val="00E714F8"/>
    <w:rsid w:val="00E7168D"/>
    <w:rsid w:val="00E71B6B"/>
    <w:rsid w:val="00E71C84"/>
    <w:rsid w:val="00E72041"/>
    <w:rsid w:val="00E7234A"/>
    <w:rsid w:val="00E7252D"/>
    <w:rsid w:val="00E7274E"/>
    <w:rsid w:val="00E729A8"/>
    <w:rsid w:val="00E72A9F"/>
    <w:rsid w:val="00E731A7"/>
    <w:rsid w:val="00E735B1"/>
    <w:rsid w:val="00E7367D"/>
    <w:rsid w:val="00E73FF9"/>
    <w:rsid w:val="00E740A6"/>
    <w:rsid w:val="00E74315"/>
    <w:rsid w:val="00E74630"/>
    <w:rsid w:val="00E746BE"/>
    <w:rsid w:val="00E7474E"/>
    <w:rsid w:val="00E75170"/>
    <w:rsid w:val="00E75347"/>
    <w:rsid w:val="00E756F7"/>
    <w:rsid w:val="00E7645D"/>
    <w:rsid w:val="00E7716C"/>
    <w:rsid w:val="00E7736A"/>
    <w:rsid w:val="00E776C0"/>
    <w:rsid w:val="00E777E4"/>
    <w:rsid w:val="00E7789A"/>
    <w:rsid w:val="00E77AB5"/>
    <w:rsid w:val="00E77B50"/>
    <w:rsid w:val="00E8025A"/>
    <w:rsid w:val="00E80DE1"/>
    <w:rsid w:val="00E81620"/>
    <w:rsid w:val="00E81CD1"/>
    <w:rsid w:val="00E81F57"/>
    <w:rsid w:val="00E824CA"/>
    <w:rsid w:val="00E82F87"/>
    <w:rsid w:val="00E8311F"/>
    <w:rsid w:val="00E83A99"/>
    <w:rsid w:val="00E84A8E"/>
    <w:rsid w:val="00E84B77"/>
    <w:rsid w:val="00E84BC5"/>
    <w:rsid w:val="00E84E30"/>
    <w:rsid w:val="00E84F38"/>
    <w:rsid w:val="00E85F2E"/>
    <w:rsid w:val="00E8606D"/>
    <w:rsid w:val="00E86BDA"/>
    <w:rsid w:val="00E86EC0"/>
    <w:rsid w:val="00E90431"/>
    <w:rsid w:val="00E90DF4"/>
    <w:rsid w:val="00E9196B"/>
    <w:rsid w:val="00E91C40"/>
    <w:rsid w:val="00E9207C"/>
    <w:rsid w:val="00E92C4B"/>
    <w:rsid w:val="00E9395F"/>
    <w:rsid w:val="00E9397E"/>
    <w:rsid w:val="00E93B13"/>
    <w:rsid w:val="00E93CA1"/>
    <w:rsid w:val="00E93F70"/>
    <w:rsid w:val="00E94042"/>
    <w:rsid w:val="00E947A4"/>
    <w:rsid w:val="00E94C75"/>
    <w:rsid w:val="00E94C8B"/>
    <w:rsid w:val="00E94D48"/>
    <w:rsid w:val="00E95083"/>
    <w:rsid w:val="00E95162"/>
    <w:rsid w:val="00E965BE"/>
    <w:rsid w:val="00E968A5"/>
    <w:rsid w:val="00E96AC7"/>
    <w:rsid w:val="00E9751F"/>
    <w:rsid w:val="00E9777C"/>
    <w:rsid w:val="00E977F4"/>
    <w:rsid w:val="00EA02CF"/>
    <w:rsid w:val="00EA0542"/>
    <w:rsid w:val="00EA07A3"/>
    <w:rsid w:val="00EA0C96"/>
    <w:rsid w:val="00EA0D22"/>
    <w:rsid w:val="00EA1089"/>
    <w:rsid w:val="00EA178A"/>
    <w:rsid w:val="00EA2DB4"/>
    <w:rsid w:val="00EA2F4E"/>
    <w:rsid w:val="00EA30A7"/>
    <w:rsid w:val="00EA31B6"/>
    <w:rsid w:val="00EA35C4"/>
    <w:rsid w:val="00EA3641"/>
    <w:rsid w:val="00EA38AF"/>
    <w:rsid w:val="00EA3E3D"/>
    <w:rsid w:val="00EA413C"/>
    <w:rsid w:val="00EA433D"/>
    <w:rsid w:val="00EA44BE"/>
    <w:rsid w:val="00EA4DD9"/>
    <w:rsid w:val="00EA5104"/>
    <w:rsid w:val="00EA5259"/>
    <w:rsid w:val="00EA5263"/>
    <w:rsid w:val="00EA542B"/>
    <w:rsid w:val="00EA559D"/>
    <w:rsid w:val="00EA5C10"/>
    <w:rsid w:val="00EA66CB"/>
    <w:rsid w:val="00EA6752"/>
    <w:rsid w:val="00EA6858"/>
    <w:rsid w:val="00EA6AE4"/>
    <w:rsid w:val="00EA6D9C"/>
    <w:rsid w:val="00EA6FEA"/>
    <w:rsid w:val="00EA7272"/>
    <w:rsid w:val="00EA73C8"/>
    <w:rsid w:val="00EA7D57"/>
    <w:rsid w:val="00EA7EA0"/>
    <w:rsid w:val="00EA7FC2"/>
    <w:rsid w:val="00EB01AF"/>
    <w:rsid w:val="00EB08EF"/>
    <w:rsid w:val="00EB0A4B"/>
    <w:rsid w:val="00EB12BC"/>
    <w:rsid w:val="00EB14B6"/>
    <w:rsid w:val="00EB165C"/>
    <w:rsid w:val="00EB1911"/>
    <w:rsid w:val="00EB1CD5"/>
    <w:rsid w:val="00EB2269"/>
    <w:rsid w:val="00EB28F5"/>
    <w:rsid w:val="00EB2B36"/>
    <w:rsid w:val="00EB31B0"/>
    <w:rsid w:val="00EB341B"/>
    <w:rsid w:val="00EB4674"/>
    <w:rsid w:val="00EB4A28"/>
    <w:rsid w:val="00EB4EBA"/>
    <w:rsid w:val="00EB5082"/>
    <w:rsid w:val="00EB556D"/>
    <w:rsid w:val="00EB58D6"/>
    <w:rsid w:val="00EB5FB3"/>
    <w:rsid w:val="00EB62E1"/>
    <w:rsid w:val="00EB6482"/>
    <w:rsid w:val="00EB64A2"/>
    <w:rsid w:val="00EB6612"/>
    <w:rsid w:val="00EB6C14"/>
    <w:rsid w:val="00EB75D2"/>
    <w:rsid w:val="00EB75D8"/>
    <w:rsid w:val="00EB79E5"/>
    <w:rsid w:val="00EB7B3B"/>
    <w:rsid w:val="00EB7D3F"/>
    <w:rsid w:val="00EC0297"/>
    <w:rsid w:val="00EC06FC"/>
    <w:rsid w:val="00EC1094"/>
    <w:rsid w:val="00EC1362"/>
    <w:rsid w:val="00EC1500"/>
    <w:rsid w:val="00EC19DF"/>
    <w:rsid w:val="00EC1C4B"/>
    <w:rsid w:val="00EC2409"/>
    <w:rsid w:val="00EC296C"/>
    <w:rsid w:val="00EC30F2"/>
    <w:rsid w:val="00EC3166"/>
    <w:rsid w:val="00EC427B"/>
    <w:rsid w:val="00EC4900"/>
    <w:rsid w:val="00EC4951"/>
    <w:rsid w:val="00EC4FFA"/>
    <w:rsid w:val="00EC5ADB"/>
    <w:rsid w:val="00EC61E3"/>
    <w:rsid w:val="00EC6952"/>
    <w:rsid w:val="00EC6B36"/>
    <w:rsid w:val="00EC7B7A"/>
    <w:rsid w:val="00ED001A"/>
    <w:rsid w:val="00ED0215"/>
    <w:rsid w:val="00ED0260"/>
    <w:rsid w:val="00ED02BF"/>
    <w:rsid w:val="00ED0476"/>
    <w:rsid w:val="00ED05B3"/>
    <w:rsid w:val="00ED0A70"/>
    <w:rsid w:val="00ED0A8C"/>
    <w:rsid w:val="00ED12B7"/>
    <w:rsid w:val="00ED1557"/>
    <w:rsid w:val="00ED1832"/>
    <w:rsid w:val="00ED1D83"/>
    <w:rsid w:val="00ED3148"/>
    <w:rsid w:val="00ED331A"/>
    <w:rsid w:val="00ED3908"/>
    <w:rsid w:val="00ED3930"/>
    <w:rsid w:val="00ED3A93"/>
    <w:rsid w:val="00ED3B12"/>
    <w:rsid w:val="00ED3B5F"/>
    <w:rsid w:val="00ED3C7D"/>
    <w:rsid w:val="00ED3D9C"/>
    <w:rsid w:val="00ED47C9"/>
    <w:rsid w:val="00ED504A"/>
    <w:rsid w:val="00ED562C"/>
    <w:rsid w:val="00ED58B7"/>
    <w:rsid w:val="00ED5987"/>
    <w:rsid w:val="00ED5EC4"/>
    <w:rsid w:val="00ED72A0"/>
    <w:rsid w:val="00ED72F1"/>
    <w:rsid w:val="00ED7CE9"/>
    <w:rsid w:val="00EE001D"/>
    <w:rsid w:val="00EE040D"/>
    <w:rsid w:val="00EE0B0A"/>
    <w:rsid w:val="00EE0E91"/>
    <w:rsid w:val="00EE150B"/>
    <w:rsid w:val="00EE1623"/>
    <w:rsid w:val="00EE1934"/>
    <w:rsid w:val="00EE195E"/>
    <w:rsid w:val="00EE1D79"/>
    <w:rsid w:val="00EE2031"/>
    <w:rsid w:val="00EE2477"/>
    <w:rsid w:val="00EE2524"/>
    <w:rsid w:val="00EE3022"/>
    <w:rsid w:val="00EE31A5"/>
    <w:rsid w:val="00EE365C"/>
    <w:rsid w:val="00EE39A3"/>
    <w:rsid w:val="00EE3AEF"/>
    <w:rsid w:val="00EE3C84"/>
    <w:rsid w:val="00EE3C8B"/>
    <w:rsid w:val="00EE498F"/>
    <w:rsid w:val="00EE4DA8"/>
    <w:rsid w:val="00EE4F82"/>
    <w:rsid w:val="00EE508D"/>
    <w:rsid w:val="00EE50DC"/>
    <w:rsid w:val="00EE5388"/>
    <w:rsid w:val="00EE5525"/>
    <w:rsid w:val="00EE555C"/>
    <w:rsid w:val="00EE5EC0"/>
    <w:rsid w:val="00EE5FAB"/>
    <w:rsid w:val="00EE6013"/>
    <w:rsid w:val="00EE65EE"/>
    <w:rsid w:val="00EE74E1"/>
    <w:rsid w:val="00EE76C6"/>
    <w:rsid w:val="00EE7FEC"/>
    <w:rsid w:val="00EF07E6"/>
    <w:rsid w:val="00EF0E11"/>
    <w:rsid w:val="00EF0E97"/>
    <w:rsid w:val="00EF114B"/>
    <w:rsid w:val="00EF11C3"/>
    <w:rsid w:val="00EF1754"/>
    <w:rsid w:val="00EF2F6B"/>
    <w:rsid w:val="00EF36CA"/>
    <w:rsid w:val="00EF37C5"/>
    <w:rsid w:val="00EF46FF"/>
    <w:rsid w:val="00EF473C"/>
    <w:rsid w:val="00EF4809"/>
    <w:rsid w:val="00EF49B4"/>
    <w:rsid w:val="00EF4D2D"/>
    <w:rsid w:val="00EF5135"/>
    <w:rsid w:val="00EF5435"/>
    <w:rsid w:val="00EF5701"/>
    <w:rsid w:val="00EF58DA"/>
    <w:rsid w:val="00EF59B3"/>
    <w:rsid w:val="00EF5A37"/>
    <w:rsid w:val="00EF5ADD"/>
    <w:rsid w:val="00EF5B03"/>
    <w:rsid w:val="00EF5FF3"/>
    <w:rsid w:val="00EF62EE"/>
    <w:rsid w:val="00EF669F"/>
    <w:rsid w:val="00EF6F96"/>
    <w:rsid w:val="00EF703C"/>
    <w:rsid w:val="00EF76EC"/>
    <w:rsid w:val="00EF7B46"/>
    <w:rsid w:val="00EF7E51"/>
    <w:rsid w:val="00EF7EB1"/>
    <w:rsid w:val="00F00184"/>
    <w:rsid w:val="00F00696"/>
    <w:rsid w:val="00F01555"/>
    <w:rsid w:val="00F01AA3"/>
    <w:rsid w:val="00F0232E"/>
    <w:rsid w:val="00F02732"/>
    <w:rsid w:val="00F02AD6"/>
    <w:rsid w:val="00F02EB0"/>
    <w:rsid w:val="00F02EBB"/>
    <w:rsid w:val="00F03191"/>
    <w:rsid w:val="00F03272"/>
    <w:rsid w:val="00F03607"/>
    <w:rsid w:val="00F03702"/>
    <w:rsid w:val="00F0451F"/>
    <w:rsid w:val="00F04BCE"/>
    <w:rsid w:val="00F04D94"/>
    <w:rsid w:val="00F0524B"/>
    <w:rsid w:val="00F0626F"/>
    <w:rsid w:val="00F062C0"/>
    <w:rsid w:val="00F062E6"/>
    <w:rsid w:val="00F06451"/>
    <w:rsid w:val="00F06D49"/>
    <w:rsid w:val="00F06F5C"/>
    <w:rsid w:val="00F070A3"/>
    <w:rsid w:val="00F0753F"/>
    <w:rsid w:val="00F10551"/>
    <w:rsid w:val="00F10ADA"/>
    <w:rsid w:val="00F10BB4"/>
    <w:rsid w:val="00F10DB3"/>
    <w:rsid w:val="00F117C8"/>
    <w:rsid w:val="00F12193"/>
    <w:rsid w:val="00F12EE7"/>
    <w:rsid w:val="00F12F3B"/>
    <w:rsid w:val="00F1320A"/>
    <w:rsid w:val="00F13BE6"/>
    <w:rsid w:val="00F13DB8"/>
    <w:rsid w:val="00F14863"/>
    <w:rsid w:val="00F14CF5"/>
    <w:rsid w:val="00F14E15"/>
    <w:rsid w:val="00F15E14"/>
    <w:rsid w:val="00F15F5B"/>
    <w:rsid w:val="00F16422"/>
    <w:rsid w:val="00F16834"/>
    <w:rsid w:val="00F1717F"/>
    <w:rsid w:val="00F20712"/>
    <w:rsid w:val="00F20777"/>
    <w:rsid w:val="00F207D8"/>
    <w:rsid w:val="00F20EE5"/>
    <w:rsid w:val="00F2107D"/>
    <w:rsid w:val="00F212D9"/>
    <w:rsid w:val="00F224AE"/>
    <w:rsid w:val="00F233CB"/>
    <w:rsid w:val="00F23821"/>
    <w:rsid w:val="00F23A19"/>
    <w:rsid w:val="00F23DE5"/>
    <w:rsid w:val="00F23E85"/>
    <w:rsid w:val="00F2415B"/>
    <w:rsid w:val="00F247DC"/>
    <w:rsid w:val="00F24A08"/>
    <w:rsid w:val="00F24E18"/>
    <w:rsid w:val="00F24F79"/>
    <w:rsid w:val="00F24FBE"/>
    <w:rsid w:val="00F251F8"/>
    <w:rsid w:val="00F253AD"/>
    <w:rsid w:val="00F2540A"/>
    <w:rsid w:val="00F25915"/>
    <w:rsid w:val="00F25A2A"/>
    <w:rsid w:val="00F25B37"/>
    <w:rsid w:val="00F26830"/>
    <w:rsid w:val="00F271F1"/>
    <w:rsid w:val="00F27485"/>
    <w:rsid w:val="00F27831"/>
    <w:rsid w:val="00F27FB9"/>
    <w:rsid w:val="00F30066"/>
    <w:rsid w:val="00F30949"/>
    <w:rsid w:val="00F30DD2"/>
    <w:rsid w:val="00F314AB"/>
    <w:rsid w:val="00F316A6"/>
    <w:rsid w:val="00F3216C"/>
    <w:rsid w:val="00F324BF"/>
    <w:rsid w:val="00F324C5"/>
    <w:rsid w:val="00F326E0"/>
    <w:rsid w:val="00F32F9D"/>
    <w:rsid w:val="00F3394F"/>
    <w:rsid w:val="00F33C98"/>
    <w:rsid w:val="00F340A0"/>
    <w:rsid w:val="00F34369"/>
    <w:rsid w:val="00F34668"/>
    <w:rsid w:val="00F34759"/>
    <w:rsid w:val="00F348A6"/>
    <w:rsid w:val="00F34CDE"/>
    <w:rsid w:val="00F34D4A"/>
    <w:rsid w:val="00F34DF4"/>
    <w:rsid w:val="00F351A8"/>
    <w:rsid w:val="00F35D8C"/>
    <w:rsid w:val="00F35E62"/>
    <w:rsid w:val="00F35F74"/>
    <w:rsid w:val="00F35FF4"/>
    <w:rsid w:val="00F361ED"/>
    <w:rsid w:val="00F367C2"/>
    <w:rsid w:val="00F3690F"/>
    <w:rsid w:val="00F3692D"/>
    <w:rsid w:val="00F36D83"/>
    <w:rsid w:val="00F3712C"/>
    <w:rsid w:val="00F3723F"/>
    <w:rsid w:val="00F372B5"/>
    <w:rsid w:val="00F41574"/>
    <w:rsid w:val="00F41CE3"/>
    <w:rsid w:val="00F41E43"/>
    <w:rsid w:val="00F42021"/>
    <w:rsid w:val="00F422B5"/>
    <w:rsid w:val="00F42492"/>
    <w:rsid w:val="00F42575"/>
    <w:rsid w:val="00F425F2"/>
    <w:rsid w:val="00F42E81"/>
    <w:rsid w:val="00F4399F"/>
    <w:rsid w:val="00F43B34"/>
    <w:rsid w:val="00F440FA"/>
    <w:rsid w:val="00F442EC"/>
    <w:rsid w:val="00F44460"/>
    <w:rsid w:val="00F44702"/>
    <w:rsid w:val="00F44C37"/>
    <w:rsid w:val="00F4512E"/>
    <w:rsid w:val="00F451A7"/>
    <w:rsid w:val="00F45205"/>
    <w:rsid w:val="00F4521A"/>
    <w:rsid w:val="00F452A6"/>
    <w:rsid w:val="00F45431"/>
    <w:rsid w:val="00F459AC"/>
    <w:rsid w:val="00F461A5"/>
    <w:rsid w:val="00F4644C"/>
    <w:rsid w:val="00F4688D"/>
    <w:rsid w:val="00F468B6"/>
    <w:rsid w:val="00F46AC7"/>
    <w:rsid w:val="00F46CFD"/>
    <w:rsid w:val="00F46D0F"/>
    <w:rsid w:val="00F47241"/>
    <w:rsid w:val="00F472E2"/>
    <w:rsid w:val="00F47358"/>
    <w:rsid w:val="00F476DB"/>
    <w:rsid w:val="00F47CCD"/>
    <w:rsid w:val="00F50CF1"/>
    <w:rsid w:val="00F511A9"/>
    <w:rsid w:val="00F51C02"/>
    <w:rsid w:val="00F51C88"/>
    <w:rsid w:val="00F51CB2"/>
    <w:rsid w:val="00F51E07"/>
    <w:rsid w:val="00F52214"/>
    <w:rsid w:val="00F5271A"/>
    <w:rsid w:val="00F52B03"/>
    <w:rsid w:val="00F52D0C"/>
    <w:rsid w:val="00F52EBF"/>
    <w:rsid w:val="00F5303E"/>
    <w:rsid w:val="00F5319A"/>
    <w:rsid w:val="00F53A15"/>
    <w:rsid w:val="00F53B4F"/>
    <w:rsid w:val="00F54071"/>
    <w:rsid w:val="00F544A7"/>
    <w:rsid w:val="00F54604"/>
    <w:rsid w:val="00F54ACD"/>
    <w:rsid w:val="00F54CF3"/>
    <w:rsid w:val="00F554E4"/>
    <w:rsid w:val="00F55571"/>
    <w:rsid w:val="00F555DB"/>
    <w:rsid w:val="00F5587E"/>
    <w:rsid w:val="00F5626C"/>
    <w:rsid w:val="00F56AB2"/>
    <w:rsid w:val="00F56C5C"/>
    <w:rsid w:val="00F5732B"/>
    <w:rsid w:val="00F57734"/>
    <w:rsid w:val="00F57802"/>
    <w:rsid w:val="00F57A9E"/>
    <w:rsid w:val="00F6040E"/>
    <w:rsid w:val="00F60715"/>
    <w:rsid w:val="00F609B0"/>
    <w:rsid w:val="00F60BD5"/>
    <w:rsid w:val="00F6140A"/>
    <w:rsid w:val="00F61588"/>
    <w:rsid w:val="00F61927"/>
    <w:rsid w:val="00F61DEC"/>
    <w:rsid w:val="00F61EBC"/>
    <w:rsid w:val="00F61F87"/>
    <w:rsid w:val="00F620A8"/>
    <w:rsid w:val="00F621FF"/>
    <w:rsid w:val="00F62BDA"/>
    <w:rsid w:val="00F62E3F"/>
    <w:rsid w:val="00F632FD"/>
    <w:rsid w:val="00F63A2E"/>
    <w:rsid w:val="00F63CB6"/>
    <w:rsid w:val="00F64093"/>
    <w:rsid w:val="00F641FE"/>
    <w:rsid w:val="00F644F7"/>
    <w:rsid w:val="00F64780"/>
    <w:rsid w:val="00F6498B"/>
    <w:rsid w:val="00F64A42"/>
    <w:rsid w:val="00F64A99"/>
    <w:rsid w:val="00F64D3E"/>
    <w:rsid w:val="00F64EFB"/>
    <w:rsid w:val="00F65617"/>
    <w:rsid w:val="00F657BC"/>
    <w:rsid w:val="00F65CE5"/>
    <w:rsid w:val="00F6607E"/>
    <w:rsid w:val="00F6645A"/>
    <w:rsid w:val="00F6694D"/>
    <w:rsid w:val="00F66990"/>
    <w:rsid w:val="00F669B5"/>
    <w:rsid w:val="00F66D6A"/>
    <w:rsid w:val="00F66FDE"/>
    <w:rsid w:val="00F670DD"/>
    <w:rsid w:val="00F6752C"/>
    <w:rsid w:val="00F6771D"/>
    <w:rsid w:val="00F67C0A"/>
    <w:rsid w:val="00F67EAA"/>
    <w:rsid w:val="00F70A4A"/>
    <w:rsid w:val="00F716F6"/>
    <w:rsid w:val="00F71A0A"/>
    <w:rsid w:val="00F71DF5"/>
    <w:rsid w:val="00F7242E"/>
    <w:rsid w:val="00F724A4"/>
    <w:rsid w:val="00F7260C"/>
    <w:rsid w:val="00F72FB3"/>
    <w:rsid w:val="00F73E9E"/>
    <w:rsid w:val="00F75312"/>
    <w:rsid w:val="00F75A7F"/>
    <w:rsid w:val="00F75F14"/>
    <w:rsid w:val="00F76183"/>
    <w:rsid w:val="00F76302"/>
    <w:rsid w:val="00F76320"/>
    <w:rsid w:val="00F7692C"/>
    <w:rsid w:val="00F76C9C"/>
    <w:rsid w:val="00F76F25"/>
    <w:rsid w:val="00F76FC6"/>
    <w:rsid w:val="00F77A89"/>
    <w:rsid w:val="00F80268"/>
    <w:rsid w:val="00F80B28"/>
    <w:rsid w:val="00F812E3"/>
    <w:rsid w:val="00F81596"/>
    <w:rsid w:val="00F82245"/>
    <w:rsid w:val="00F82510"/>
    <w:rsid w:val="00F82598"/>
    <w:rsid w:val="00F828EA"/>
    <w:rsid w:val="00F82FD5"/>
    <w:rsid w:val="00F830AE"/>
    <w:rsid w:val="00F83275"/>
    <w:rsid w:val="00F839C4"/>
    <w:rsid w:val="00F83AC1"/>
    <w:rsid w:val="00F84054"/>
    <w:rsid w:val="00F842F2"/>
    <w:rsid w:val="00F84353"/>
    <w:rsid w:val="00F84BF0"/>
    <w:rsid w:val="00F851AA"/>
    <w:rsid w:val="00F85367"/>
    <w:rsid w:val="00F853EB"/>
    <w:rsid w:val="00F85542"/>
    <w:rsid w:val="00F855A1"/>
    <w:rsid w:val="00F85796"/>
    <w:rsid w:val="00F85E6A"/>
    <w:rsid w:val="00F862FD"/>
    <w:rsid w:val="00F86407"/>
    <w:rsid w:val="00F866A8"/>
    <w:rsid w:val="00F8785F"/>
    <w:rsid w:val="00F878A5"/>
    <w:rsid w:val="00F87AF8"/>
    <w:rsid w:val="00F87E97"/>
    <w:rsid w:val="00F87F3F"/>
    <w:rsid w:val="00F90064"/>
    <w:rsid w:val="00F901AB"/>
    <w:rsid w:val="00F9088C"/>
    <w:rsid w:val="00F90E99"/>
    <w:rsid w:val="00F91635"/>
    <w:rsid w:val="00F919C8"/>
    <w:rsid w:val="00F9281E"/>
    <w:rsid w:val="00F92AB9"/>
    <w:rsid w:val="00F92B9F"/>
    <w:rsid w:val="00F92E12"/>
    <w:rsid w:val="00F92F9A"/>
    <w:rsid w:val="00F92FCD"/>
    <w:rsid w:val="00F9342E"/>
    <w:rsid w:val="00F93564"/>
    <w:rsid w:val="00F93B66"/>
    <w:rsid w:val="00F93CE3"/>
    <w:rsid w:val="00F949B7"/>
    <w:rsid w:val="00F94B67"/>
    <w:rsid w:val="00F9505C"/>
    <w:rsid w:val="00F952F9"/>
    <w:rsid w:val="00F95957"/>
    <w:rsid w:val="00F95B7F"/>
    <w:rsid w:val="00F961ED"/>
    <w:rsid w:val="00F962A8"/>
    <w:rsid w:val="00F962C7"/>
    <w:rsid w:val="00F9667C"/>
    <w:rsid w:val="00F969C6"/>
    <w:rsid w:val="00F96A46"/>
    <w:rsid w:val="00F96B7A"/>
    <w:rsid w:val="00F97005"/>
    <w:rsid w:val="00F9735C"/>
    <w:rsid w:val="00F97646"/>
    <w:rsid w:val="00F97B05"/>
    <w:rsid w:val="00F97C33"/>
    <w:rsid w:val="00FA05EC"/>
    <w:rsid w:val="00FA0810"/>
    <w:rsid w:val="00FA0A7B"/>
    <w:rsid w:val="00FA0CFB"/>
    <w:rsid w:val="00FA0D17"/>
    <w:rsid w:val="00FA11C7"/>
    <w:rsid w:val="00FA154B"/>
    <w:rsid w:val="00FA1A6C"/>
    <w:rsid w:val="00FA1B67"/>
    <w:rsid w:val="00FA1C3A"/>
    <w:rsid w:val="00FA3594"/>
    <w:rsid w:val="00FA3AC9"/>
    <w:rsid w:val="00FA49F8"/>
    <w:rsid w:val="00FA4B7E"/>
    <w:rsid w:val="00FA4EE6"/>
    <w:rsid w:val="00FA52B1"/>
    <w:rsid w:val="00FA59F5"/>
    <w:rsid w:val="00FA6018"/>
    <w:rsid w:val="00FA6564"/>
    <w:rsid w:val="00FA6642"/>
    <w:rsid w:val="00FA690E"/>
    <w:rsid w:val="00FA6D8D"/>
    <w:rsid w:val="00FA70D9"/>
    <w:rsid w:val="00FA7270"/>
    <w:rsid w:val="00FA7546"/>
    <w:rsid w:val="00FA7925"/>
    <w:rsid w:val="00FA79D2"/>
    <w:rsid w:val="00FA7AAB"/>
    <w:rsid w:val="00FA7BB9"/>
    <w:rsid w:val="00FA7D26"/>
    <w:rsid w:val="00FB0163"/>
    <w:rsid w:val="00FB01F4"/>
    <w:rsid w:val="00FB1128"/>
    <w:rsid w:val="00FB15AB"/>
    <w:rsid w:val="00FB1696"/>
    <w:rsid w:val="00FB183A"/>
    <w:rsid w:val="00FB1B8E"/>
    <w:rsid w:val="00FB1FA4"/>
    <w:rsid w:val="00FB23C9"/>
    <w:rsid w:val="00FB242F"/>
    <w:rsid w:val="00FB2B7C"/>
    <w:rsid w:val="00FB32E8"/>
    <w:rsid w:val="00FB3BCA"/>
    <w:rsid w:val="00FB3C1D"/>
    <w:rsid w:val="00FB4390"/>
    <w:rsid w:val="00FB4405"/>
    <w:rsid w:val="00FB455F"/>
    <w:rsid w:val="00FB45AF"/>
    <w:rsid w:val="00FB5088"/>
    <w:rsid w:val="00FB57FD"/>
    <w:rsid w:val="00FB591E"/>
    <w:rsid w:val="00FB5B29"/>
    <w:rsid w:val="00FB5DF9"/>
    <w:rsid w:val="00FB5EB9"/>
    <w:rsid w:val="00FB6035"/>
    <w:rsid w:val="00FB6106"/>
    <w:rsid w:val="00FB6162"/>
    <w:rsid w:val="00FB6820"/>
    <w:rsid w:val="00FB6B78"/>
    <w:rsid w:val="00FB7659"/>
    <w:rsid w:val="00FB7720"/>
    <w:rsid w:val="00FB798C"/>
    <w:rsid w:val="00FB7F1C"/>
    <w:rsid w:val="00FB7F69"/>
    <w:rsid w:val="00FC0382"/>
    <w:rsid w:val="00FC080E"/>
    <w:rsid w:val="00FC0831"/>
    <w:rsid w:val="00FC089B"/>
    <w:rsid w:val="00FC08E0"/>
    <w:rsid w:val="00FC0BD5"/>
    <w:rsid w:val="00FC100C"/>
    <w:rsid w:val="00FC1822"/>
    <w:rsid w:val="00FC1D50"/>
    <w:rsid w:val="00FC1DEF"/>
    <w:rsid w:val="00FC220F"/>
    <w:rsid w:val="00FC2275"/>
    <w:rsid w:val="00FC2B05"/>
    <w:rsid w:val="00FC2CF2"/>
    <w:rsid w:val="00FC30B7"/>
    <w:rsid w:val="00FC332D"/>
    <w:rsid w:val="00FC356D"/>
    <w:rsid w:val="00FC3BB5"/>
    <w:rsid w:val="00FC3CF2"/>
    <w:rsid w:val="00FC3E6E"/>
    <w:rsid w:val="00FC3F3A"/>
    <w:rsid w:val="00FC3FFE"/>
    <w:rsid w:val="00FC4149"/>
    <w:rsid w:val="00FC418E"/>
    <w:rsid w:val="00FC452F"/>
    <w:rsid w:val="00FC45C9"/>
    <w:rsid w:val="00FC4B0A"/>
    <w:rsid w:val="00FC509A"/>
    <w:rsid w:val="00FC56F2"/>
    <w:rsid w:val="00FC5961"/>
    <w:rsid w:val="00FC5985"/>
    <w:rsid w:val="00FC5AB0"/>
    <w:rsid w:val="00FC5E19"/>
    <w:rsid w:val="00FC6679"/>
    <w:rsid w:val="00FC6E03"/>
    <w:rsid w:val="00FC6EB4"/>
    <w:rsid w:val="00FC6F75"/>
    <w:rsid w:val="00FC7077"/>
    <w:rsid w:val="00FC708C"/>
    <w:rsid w:val="00FC7234"/>
    <w:rsid w:val="00FC7267"/>
    <w:rsid w:val="00FC7411"/>
    <w:rsid w:val="00FC771E"/>
    <w:rsid w:val="00FC7A0F"/>
    <w:rsid w:val="00FC7E34"/>
    <w:rsid w:val="00FD0257"/>
    <w:rsid w:val="00FD0EC3"/>
    <w:rsid w:val="00FD1319"/>
    <w:rsid w:val="00FD22FE"/>
    <w:rsid w:val="00FD23DD"/>
    <w:rsid w:val="00FD2419"/>
    <w:rsid w:val="00FD24F0"/>
    <w:rsid w:val="00FD26E1"/>
    <w:rsid w:val="00FD28E5"/>
    <w:rsid w:val="00FD32B4"/>
    <w:rsid w:val="00FD32CF"/>
    <w:rsid w:val="00FD3D64"/>
    <w:rsid w:val="00FD43B2"/>
    <w:rsid w:val="00FD4772"/>
    <w:rsid w:val="00FD518B"/>
    <w:rsid w:val="00FD52FA"/>
    <w:rsid w:val="00FD54F7"/>
    <w:rsid w:val="00FD5701"/>
    <w:rsid w:val="00FD5F78"/>
    <w:rsid w:val="00FD67DB"/>
    <w:rsid w:val="00FD6875"/>
    <w:rsid w:val="00FD697F"/>
    <w:rsid w:val="00FD6C34"/>
    <w:rsid w:val="00FD6E45"/>
    <w:rsid w:val="00FD6F5E"/>
    <w:rsid w:val="00FD7B41"/>
    <w:rsid w:val="00FD7E24"/>
    <w:rsid w:val="00FE0061"/>
    <w:rsid w:val="00FE0198"/>
    <w:rsid w:val="00FE02AF"/>
    <w:rsid w:val="00FE04A6"/>
    <w:rsid w:val="00FE05D7"/>
    <w:rsid w:val="00FE09CA"/>
    <w:rsid w:val="00FE0D0B"/>
    <w:rsid w:val="00FE135E"/>
    <w:rsid w:val="00FE1A54"/>
    <w:rsid w:val="00FE2085"/>
    <w:rsid w:val="00FE23AB"/>
    <w:rsid w:val="00FE23FF"/>
    <w:rsid w:val="00FE291A"/>
    <w:rsid w:val="00FE2C57"/>
    <w:rsid w:val="00FE2D50"/>
    <w:rsid w:val="00FE2F48"/>
    <w:rsid w:val="00FE30FB"/>
    <w:rsid w:val="00FE386A"/>
    <w:rsid w:val="00FE395A"/>
    <w:rsid w:val="00FE3FEE"/>
    <w:rsid w:val="00FE4211"/>
    <w:rsid w:val="00FE42EB"/>
    <w:rsid w:val="00FE459D"/>
    <w:rsid w:val="00FE4764"/>
    <w:rsid w:val="00FE4BE8"/>
    <w:rsid w:val="00FE4F54"/>
    <w:rsid w:val="00FE5C93"/>
    <w:rsid w:val="00FE664C"/>
    <w:rsid w:val="00FE67F6"/>
    <w:rsid w:val="00FE6C77"/>
    <w:rsid w:val="00FE6D28"/>
    <w:rsid w:val="00FE6E3C"/>
    <w:rsid w:val="00FE6EC1"/>
    <w:rsid w:val="00FE7622"/>
    <w:rsid w:val="00FE7668"/>
    <w:rsid w:val="00FE77A4"/>
    <w:rsid w:val="00FE7A4A"/>
    <w:rsid w:val="00FE7CB0"/>
    <w:rsid w:val="00FE7EBB"/>
    <w:rsid w:val="00FF08DA"/>
    <w:rsid w:val="00FF0A4F"/>
    <w:rsid w:val="00FF0F5A"/>
    <w:rsid w:val="00FF101C"/>
    <w:rsid w:val="00FF126C"/>
    <w:rsid w:val="00FF1435"/>
    <w:rsid w:val="00FF16CA"/>
    <w:rsid w:val="00FF175C"/>
    <w:rsid w:val="00FF1A57"/>
    <w:rsid w:val="00FF20E8"/>
    <w:rsid w:val="00FF212C"/>
    <w:rsid w:val="00FF2356"/>
    <w:rsid w:val="00FF2ED0"/>
    <w:rsid w:val="00FF38AF"/>
    <w:rsid w:val="00FF3B2C"/>
    <w:rsid w:val="00FF3CF2"/>
    <w:rsid w:val="00FF3E17"/>
    <w:rsid w:val="00FF3FF8"/>
    <w:rsid w:val="00FF40A1"/>
    <w:rsid w:val="00FF40D8"/>
    <w:rsid w:val="00FF42A4"/>
    <w:rsid w:val="00FF4E30"/>
    <w:rsid w:val="00FF4E57"/>
    <w:rsid w:val="00FF4EC2"/>
    <w:rsid w:val="00FF4EEF"/>
    <w:rsid w:val="00FF56CA"/>
    <w:rsid w:val="00FF56FD"/>
    <w:rsid w:val="00FF61CA"/>
    <w:rsid w:val="00FF6261"/>
    <w:rsid w:val="00FF656C"/>
    <w:rsid w:val="00FF6993"/>
    <w:rsid w:val="00FF6AEA"/>
    <w:rsid w:val="00FF77FE"/>
    <w:rsid w:val="00FF7BA0"/>
    <w:rsid w:val="00FF7EB5"/>
    <w:rsid w:val="0102785F"/>
    <w:rsid w:val="015C51B0"/>
    <w:rsid w:val="015E4057"/>
    <w:rsid w:val="017F2866"/>
    <w:rsid w:val="02164638"/>
    <w:rsid w:val="023A68A7"/>
    <w:rsid w:val="025A0C4E"/>
    <w:rsid w:val="02DD397B"/>
    <w:rsid w:val="02DE220D"/>
    <w:rsid w:val="02F228B9"/>
    <w:rsid w:val="030205AD"/>
    <w:rsid w:val="033216A3"/>
    <w:rsid w:val="035248F5"/>
    <w:rsid w:val="03C74D45"/>
    <w:rsid w:val="03C840CA"/>
    <w:rsid w:val="03DC147B"/>
    <w:rsid w:val="043B7484"/>
    <w:rsid w:val="0476579C"/>
    <w:rsid w:val="04885744"/>
    <w:rsid w:val="04966F83"/>
    <w:rsid w:val="04AE7FF3"/>
    <w:rsid w:val="04EB7AFD"/>
    <w:rsid w:val="05337B98"/>
    <w:rsid w:val="05783165"/>
    <w:rsid w:val="0621436E"/>
    <w:rsid w:val="0622121B"/>
    <w:rsid w:val="064E1AA3"/>
    <w:rsid w:val="067232EB"/>
    <w:rsid w:val="06AA5C09"/>
    <w:rsid w:val="072709DB"/>
    <w:rsid w:val="073E0944"/>
    <w:rsid w:val="074F071A"/>
    <w:rsid w:val="075B0E9C"/>
    <w:rsid w:val="077B2791"/>
    <w:rsid w:val="07C3436B"/>
    <w:rsid w:val="07E15E14"/>
    <w:rsid w:val="083D3AEE"/>
    <w:rsid w:val="084B7B90"/>
    <w:rsid w:val="084C16F4"/>
    <w:rsid w:val="089770E5"/>
    <w:rsid w:val="09161717"/>
    <w:rsid w:val="09240BDE"/>
    <w:rsid w:val="09483451"/>
    <w:rsid w:val="099A3158"/>
    <w:rsid w:val="09B926AE"/>
    <w:rsid w:val="09D814BA"/>
    <w:rsid w:val="09D91416"/>
    <w:rsid w:val="09DF2821"/>
    <w:rsid w:val="0A0421B4"/>
    <w:rsid w:val="0A0F6B52"/>
    <w:rsid w:val="0A5A06F1"/>
    <w:rsid w:val="0A6D0D97"/>
    <w:rsid w:val="0A996EF1"/>
    <w:rsid w:val="0AD2644A"/>
    <w:rsid w:val="0B690AF6"/>
    <w:rsid w:val="0B9B5220"/>
    <w:rsid w:val="0BAD43A7"/>
    <w:rsid w:val="0BBA5383"/>
    <w:rsid w:val="0BF26CD4"/>
    <w:rsid w:val="0C046ABA"/>
    <w:rsid w:val="0C721473"/>
    <w:rsid w:val="0C7B43B2"/>
    <w:rsid w:val="0CE049C8"/>
    <w:rsid w:val="0D8E6B2F"/>
    <w:rsid w:val="0DC46026"/>
    <w:rsid w:val="0DDF570F"/>
    <w:rsid w:val="0DE45CC0"/>
    <w:rsid w:val="0E007F83"/>
    <w:rsid w:val="0E223827"/>
    <w:rsid w:val="0E266E30"/>
    <w:rsid w:val="0F360065"/>
    <w:rsid w:val="0F4A5082"/>
    <w:rsid w:val="0F734E20"/>
    <w:rsid w:val="0F774780"/>
    <w:rsid w:val="0FCA1C79"/>
    <w:rsid w:val="0FFF1AD6"/>
    <w:rsid w:val="104B595C"/>
    <w:rsid w:val="106F6C22"/>
    <w:rsid w:val="107D1444"/>
    <w:rsid w:val="10B24A41"/>
    <w:rsid w:val="10F61427"/>
    <w:rsid w:val="10F76568"/>
    <w:rsid w:val="11093E5B"/>
    <w:rsid w:val="1116111E"/>
    <w:rsid w:val="119A2D70"/>
    <w:rsid w:val="11E17A35"/>
    <w:rsid w:val="1222433F"/>
    <w:rsid w:val="127B26B4"/>
    <w:rsid w:val="12F06777"/>
    <w:rsid w:val="13355D11"/>
    <w:rsid w:val="13391B01"/>
    <w:rsid w:val="13A2023A"/>
    <w:rsid w:val="13A32E5A"/>
    <w:rsid w:val="141A1E86"/>
    <w:rsid w:val="149555E0"/>
    <w:rsid w:val="14C44987"/>
    <w:rsid w:val="14EC4A29"/>
    <w:rsid w:val="14F74B27"/>
    <w:rsid w:val="14F770D2"/>
    <w:rsid w:val="15162F2F"/>
    <w:rsid w:val="152766F2"/>
    <w:rsid w:val="15CA699E"/>
    <w:rsid w:val="15F0108A"/>
    <w:rsid w:val="16172514"/>
    <w:rsid w:val="161A64E6"/>
    <w:rsid w:val="16615D42"/>
    <w:rsid w:val="16FC471D"/>
    <w:rsid w:val="177600DA"/>
    <w:rsid w:val="1879170F"/>
    <w:rsid w:val="191849CE"/>
    <w:rsid w:val="19184DE3"/>
    <w:rsid w:val="1929001D"/>
    <w:rsid w:val="19626492"/>
    <w:rsid w:val="1977290B"/>
    <w:rsid w:val="19BB0078"/>
    <w:rsid w:val="19C07B9A"/>
    <w:rsid w:val="19E570DF"/>
    <w:rsid w:val="1A041FF4"/>
    <w:rsid w:val="1AC16E5C"/>
    <w:rsid w:val="1AE933B2"/>
    <w:rsid w:val="1B055427"/>
    <w:rsid w:val="1B4777B0"/>
    <w:rsid w:val="1B7113BB"/>
    <w:rsid w:val="1B9A56D8"/>
    <w:rsid w:val="1BB456C1"/>
    <w:rsid w:val="1BCB39F5"/>
    <w:rsid w:val="1C322549"/>
    <w:rsid w:val="1CDA46D7"/>
    <w:rsid w:val="1DEB1D7B"/>
    <w:rsid w:val="1E2B1393"/>
    <w:rsid w:val="1E5D074E"/>
    <w:rsid w:val="1EAD6375"/>
    <w:rsid w:val="1EB17D57"/>
    <w:rsid w:val="1EFD3381"/>
    <w:rsid w:val="1F06408E"/>
    <w:rsid w:val="1F3A3720"/>
    <w:rsid w:val="1F726F15"/>
    <w:rsid w:val="1F8E6C00"/>
    <w:rsid w:val="1FAF2B4A"/>
    <w:rsid w:val="1FAF543E"/>
    <w:rsid w:val="1FED5E2A"/>
    <w:rsid w:val="200C1907"/>
    <w:rsid w:val="203C0FAD"/>
    <w:rsid w:val="203E632E"/>
    <w:rsid w:val="204D1672"/>
    <w:rsid w:val="20626E1D"/>
    <w:rsid w:val="20911E4B"/>
    <w:rsid w:val="20B06B05"/>
    <w:rsid w:val="20B077D7"/>
    <w:rsid w:val="20E23692"/>
    <w:rsid w:val="20F07F26"/>
    <w:rsid w:val="210149D0"/>
    <w:rsid w:val="21E054F3"/>
    <w:rsid w:val="21ED65CA"/>
    <w:rsid w:val="21EF3116"/>
    <w:rsid w:val="220025DB"/>
    <w:rsid w:val="22517588"/>
    <w:rsid w:val="22604ECC"/>
    <w:rsid w:val="22BD09AD"/>
    <w:rsid w:val="22E17FCA"/>
    <w:rsid w:val="23192558"/>
    <w:rsid w:val="2337092E"/>
    <w:rsid w:val="23D52087"/>
    <w:rsid w:val="2440187A"/>
    <w:rsid w:val="246339E2"/>
    <w:rsid w:val="246B208C"/>
    <w:rsid w:val="24893679"/>
    <w:rsid w:val="24B6727E"/>
    <w:rsid w:val="250D389E"/>
    <w:rsid w:val="25193598"/>
    <w:rsid w:val="252C2BB2"/>
    <w:rsid w:val="254213DD"/>
    <w:rsid w:val="2547234D"/>
    <w:rsid w:val="25585345"/>
    <w:rsid w:val="256720B4"/>
    <w:rsid w:val="25A14F8F"/>
    <w:rsid w:val="25AD05F5"/>
    <w:rsid w:val="25BB7061"/>
    <w:rsid w:val="260D71FF"/>
    <w:rsid w:val="264D62B2"/>
    <w:rsid w:val="267378C5"/>
    <w:rsid w:val="26996F83"/>
    <w:rsid w:val="26C97AB4"/>
    <w:rsid w:val="26F2331F"/>
    <w:rsid w:val="26F24035"/>
    <w:rsid w:val="2727033C"/>
    <w:rsid w:val="273A0C2C"/>
    <w:rsid w:val="27D34F56"/>
    <w:rsid w:val="27FB7270"/>
    <w:rsid w:val="281B50C4"/>
    <w:rsid w:val="283A0646"/>
    <w:rsid w:val="28592014"/>
    <w:rsid w:val="286E4761"/>
    <w:rsid w:val="28AD4280"/>
    <w:rsid w:val="28C6445C"/>
    <w:rsid w:val="290F5EDF"/>
    <w:rsid w:val="299A6EC0"/>
    <w:rsid w:val="29AD2901"/>
    <w:rsid w:val="29BD5145"/>
    <w:rsid w:val="2A130FAB"/>
    <w:rsid w:val="2A6266D4"/>
    <w:rsid w:val="2B0940CD"/>
    <w:rsid w:val="2B1C57D9"/>
    <w:rsid w:val="2B525087"/>
    <w:rsid w:val="2B572764"/>
    <w:rsid w:val="2B936A23"/>
    <w:rsid w:val="2BA61781"/>
    <w:rsid w:val="2BC03FE4"/>
    <w:rsid w:val="2BDA7ADF"/>
    <w:rsid w:val="2BFB5EE4"/>
    <w:rsid w:val="2C1304F8"/>
    <w:rsid w:val="2C405BA2"/>
    <w:rsid w:val="2C5855D1"/>
    <w:rsid w:val="2CC3151C"/>
    <w:rsid w:val="2DA4508A"/>
    <w:rsid w:val="2E542454"/>
    <w:rsid w:val="2EAE4C15"/>
    <w:rsid w:val="2EC831B0"/>
    <w:rsid w:val="2EF57F23"/>
    <w:rsid w:val="2F684951"/>
    <w:rsid w:val="2F881A53"/>
    <w:rsid w:val="2FD32B8B"/>
    <w:rsid w:val="2FD52FAB"/>
    <w:rsid w:val="303512DA"/>
    <w:rsid w:val="30787AA1"/>
    <w:rsid w:val="30CC3412"/>
    <w:rsid w:val="31072A25"/>
    <w:rsid w:val="317E186B"/>
    <w:rsid w:val="31A50709"/>
    <w:rsid w:val="31E42C7F"/>
    <w:rsid w:val="321428EC"/>
    <w:rsid w:val="321447E5"/>
    <w:rsid w:val="323E2973"/>
    <w:rsid w:val="326F3E4D"/>
    <w:rsid w:val="327C69F6"/>
    <w:rsid w:val="32CC36D9"/>
    <w:rsid w:val="32F005B3"/>
    <w:rsid w:val="333545D6"/>
    <w:rsid w:val="33796113"/>
    <w:rsid w:val="34096BF2"/>
    <w:rsid w:val="34C171DA"/>
    <w:rsid w:val="355B3B9C"/>
    <w:rsid w:val="357A67AB"/>
    <w:rsid w:val="360C6AB4"/>
    <w:rsid w:val="3660456B"/>
    <w:rsid w:val="36861F01"/>
    <w:rsid w:val="37383600"/>
    <w:rsid w:val="37703759"/>
    <w:rsid w:val="377141F6"/>
    <w:rsid w:val="37900A64"/>
    <w:rsid w:val="37C12B59"/>
    <w:rsid w:val="37CF7B16"/>
    <w:rsid w:val="38183E62"/>
    <w:rsid w:val="38343A5F"/>
    <w:rsid w:val="385653BB"/>
    <w:rsid w:val="38681F23"/>
    <w:rsid w:val="38993566"/>
    <w:rsid w:val="389C60F9"/>
    <w:rsid w:val="38DF288A"/>
    <w:rsid w:val="39C70305"/>
    <w:rsid w:val="3A6E42EB"/>
    <w:rsid w:val="3A905131"/>
    <w:rsid w:val="3AC62317"/>
    <w:rsid w:val="3AFA5CF0"/>
    <w:rsid w:val="3B2F1AAF"/>
    <w:rsid w:val="3B4E3CEF"/>
    <w:rsid w:val="3B753A91"/>
    <w:rsid w:val="3B98461E"/>
    <w:rsid w:val="3BBA46B0"/>
    <w:rsid w:val="3BBF3C34"/>
    <w:rsid w:val="3CA550F0"/>
    <w:rsid w:val="3CAD27B5"/>
    <w:rsid w:val="3CBE615E"/>
    <w:rsid w:val="3D3919F2"/>
    <w:rsid w:val="3D854B15"/>
    <w:rsid w:val="3D8D2A51"/>
    <w:rsid w:val="3DA9407B"/>
    <w:rsid w:val="3DF750D3"/>
    <w:rsid w:val="3E3820A9"/>
    <w:rsid w:val="3E5F3CC5"/>
    <w:rsid w:val="3E712BD9"/>
    <w:rsid w:val="3E775EBE"/>
    <w:rsid w:val="3EA904D7"/>
    <w:rsid w:val="3EB80E6A"/>
    <w:rsid w:val="3F7F74E6"/>
    <w:rsid w:val="3F8E7266"/>
    <w:rsid w:val="3FEF30F3"/>
    <w:rsid w:val="40077C57"/>
    <w:rsid w:val="403F2AC1"/>
    <w:rsid w:val="406C19B7"/>
    <w:rsid w:val="40F0472C"/>
    <w:rsid w:val="41117CDB"/>
    <w:rsid w:val="41193B9B"/>
    <w:rsid w:val="414B214C"/>
    <w:rsid w:val="418D1FFD"/>
    <w:rsid w:val="41AC2A39"/>
    <w:rsid w:val="42142A5B"/>
    <w:rsid w:val="42DA360A"/>
    <w:rsid w:val="42FF7978"/>
    <w:rsid w:val="44DD5296"/>
    <w:rsid w:val="451A4EF8"/>
    <w:rsid w:val="453654EA"/>
    <w:rsid w:val="457972C4"/>
    <w:rsid w:val="45B04DA7"/>
    <w:rsid w:val="45D04EE4"/>
    <w:rsid w:val="45D57328"/>
    <w:rsid w:val="45D861B4"/>
    <w:rsid w:val="460A2A21"/>
    <w:rsid w:val="46553857"/>
    <w:rsid w:val="467350BF"/>
    <w:rsid w:val="469E2A90"/>
    <w:rsid w:val="46DD7135"/>
    <w:rsid w:val="46F66CD1"/>
    <w:rsid w:val="473F1ABE"/>
    <w:rsid w:val="47A14F1A"/>
    <w:rsid w:val="47AE71C0"/>
    <w:rsid w:val="47B94366"/>
    <w:rsid w:val="47C53D63"/>
    <w:rsid w:val="49507B47"/>
    <w:rsid w:val="496F55F0"/>
    <w:rsid w:val="498A0BED"/>
    <w:rsid w:val="499C404B"/>
    <w:rsid w:val="49FE3D46"/>
    <w:rsid w:val="4B70289C"/>
    <w:rsid w:val="4B77389F"/>
    <w:rsid w:val="4B7C330A"/>
    <w:rsid w:val="4BAF3185"/>
    <w:rsid w:val="4BB0155C"/>
    <w:rsid w:val="4BF56AC8"/>
    <w:rsid w:val="4CF273EC"/>
    <w:rsid w:val="4D5E5983"/>
    <w:rsid w:val="4D8D71A5"/>
    <w:rsid w:val="4E13796B"/>
    <w:rsid w:val="4E21235F"/>
    <w:rsid w:val="4E3B27C9"/>
    <w:rsid w:val="4E4661E6"/>
    <w:rsid w:val="4EAD162A"/>
    <w:rsid w:val="4EF32CF2"/>
    <w:rsid w:val="4EFD5223"/>
    <w:rsid w:val="4F027D6B"/>
    <w:rsid w:val="4F4F5199"/>
    <w:rsid w:val="4FCE6712"/>
    <w:rsid w:val="50897101"/>
    <w:rsid w:val="50EF1EA9"/>
    <w:rsid w:val="50F32D1F"/>
    <w:rsid w:val="50FF360E"/>
    <w:rsid w:val="5116608B"/>
    <w:rsid w:val="513258B7"/>
    <w:rsid w:val="520423EB"/>
    <w:rsid w:val="52306252"/>
    <w:rsid w:val="52376565"/>
    <w:rsid w:val="524918EE"/>
    <w:rsid w:val="52806093"/>
    <w:rsid w:val="528F733F"/>
    <w:rsid w:val="52E55C73"/>
    <w:rsid w:val="52EE779D"/>
    <w:rsid w:val="52F57084"/>
    <w:rsid w:val="5337302B"/>
    <w:rsid w:val="53376E7F"/>
    <w:rsid w:val="536E041F"/>
    <w:rsid w:val="538066AC"/>
    <w:rsid w:val="538403F6"/>
    <w:rsid w:val="53A055E9"/>
    <w:rsid w:val="53B14F71"/>
    <w:rsid w:val="53B52AC4"/>
    <w:rsid w:val="53D3184C"/>
    <w:rsid w:val="54062606"/>
    <w:rsid w:val="545A2C4F"/>
    <w:rsid w:val="54766564"/>
    <w:rsid w:val="54773FBE"/>
    <w:rsid w:val="54A84ADA"/>
    <w:rsid w:val="5551117B"/>
    <w:rsid w:val="55840BEE"/>
    <w:rsid w:val="55920D6B"/>
    <w:rsid w:val="559831FC"/>
    <w:rsid w:val="560D7FCF"/>
    <w:rsid w:val="570F02E7"/>
    <w:rsid w:val="57185219"/>
    <w:rsid w:val="57415D26"/>
    <w:rsid w:val="57725106"/>
    <w:rsid w:val="57E532ED"/>
    <w:rsid w:val="5822408B"/>
    <w:rsid w:val="58564869"/>
    <w:rsid w:val="587F7FAD"/>
    <w:rsid w:val="58963947"/>
    <w:rsid w:val="58F13ABB"/>
    <w:rsid w:val="5916083F"/>
    <w:rsid w:val="591B15FC"/>
    <w:rsid w:val="592B6026"/>
    <w:rsid w:val="59310641"/>
    <w:rsid w:val="593F077C"/>
    <w:rsid w:val="5984058E"/>
    <w:rsid w:val="599863C5"/>
    <w:rsid w:val="599A5B19"/>
    <w:rsid w:val="5A0646C8"/>
    <w:rsid w:val="5A0F5F31"/>
    <w:rsid w:val="5A3D13BE"/>
    <w:rsid w:val="5A597944"/>
    <w:rsid w:val="5A642D9E"/>
    <w:rsid w:val="5AF00318"/>
    <w:rsid w:val="5B003269"/>
    <w:rsid w:val="5B3A350F"/>
    <w:rsid w:val="5B4167B2"/>
    <w:rsid w:val="5B821BC2"/>
    <w:rsid w:val="5BB46DAF"/>
    <w:rsid w:val="5BF5208B"/>
    <w:rsid w:val="5C822B6A"/>
    <w:rsid w:val="5D347AB0"/>
    <w:rsid w:val="5D4638AE"/>
    <w:rsid w:val="5D593D0C"/>
    <w:rsid w:val="5D6E500E"/>
    <w:rsid w:val="5DF65E4B"/>
    <w:rsid w:val="5DFD2259"/>
    <w:rsid w:val="5E1810E0"/>
    <w:rsid w:val="5E5021D1"/>
    <w:rsid w:val="5E752CE5"/>
    <w:rsid w:val="5E970FFF"/>
    <w:rsid w:val="5F7D30CB"/>
    <w:rsid w:val="5F847C6B"/>
    <w:rsid w:val="5FC82C64"/>
    <w:rsid w:val="5FD00C0C"/>
    <w:rsid w:val="60117E29"/>
    <w:rsid w:val="60262AEE"/>
    <w:rsid w:val="60280E6B"/>
    <w:rsid w:val="605926DB"/>
    <w:rsid w:val="61865CF1"/>
    <w:rsid w:val="61AB47C9"/>
    <w:rsid w:val="61BF60DD"/>
    <w:rsid w:val="61DF1840"/>
    <w:rsid w:val="620A4C71"/>
    <w:rsid w:val="623D0D8D"/>
    <w:rsid w:val="62DB48FC"/>
    <w:rsid w:val="62F82F7B"/>
    <w:rsid w:val="62F9590A"/>
    <w:rsid w:val="631979ED"/>
    <w:rsid w:val="632A4433"/>
    <w:rsid w:val="63344C0C"/>
    <w:rsid w:val="637A6B7E"/>
    <w:rsid w:val="63FF4ED5"/>
    <w:rsid w:val="64DE5B06"/>
    <w:rsid w:val="65BD39A6"/>
    <w:rsid w:val="65DF81FA"/>
    <w:rsid w:val="660C3233"/>
    <w:rsid w:val="667C0269"/>
    <w:rsid w:val="66993BCC"/>
    <w:rsid w:val="66A64E26"/>
    <w:rsid w:val="679D51D0"/>
    <w:rsid w:val="67DA7732"/>
    <w:rsid w:val="67EE41B0"/>
    <w:rsid w:val="67EF164D"/>
    <w:rsid w:val="68A1508F"/>
    <w:rsid w:val="696A48E0"/>
    <w:rsid w:val="69E7711D"/>
    <w:rsid w:val="6A082BD6"/>
    <w:rsid w:val="6ABA2C79"/>
    <w:rsid w:val="6AD349EE"/>
    <w:rsid w:val="6AE8209C"/>
    <w:rsid w:val="6B077DA8"/>
    <w:rsid w:val="6B7976B1"/>
    <w:rsid w:val="6B9410E0"/>
    <w:rsid w:val="6BB71633"/>
    <w:rsid w:val="6BBC4A9F"/>
    <w:rsid w:val="6BCD7279"/>
    <w:rsid w:val="6BD42C60"/>
    <w:rsid w:val="6BE21F3E"/>
    <w:rsid w:val="6C380F2E"/>
    <w:rsid w:val="6CDB5F1E"/>
    <w:rsid w:val="6DBF4C2B"/>
    <w:rsid w:val="6DC070E2"/>
    <w:rsid w:val="6DD47E92"/>
    <w:rsid w:val="6DDC12C2"/>
    <w:rsid w:val="6DEC6829"/>
    <w:rsid w:val="6E35676A"/>
    <w:rsid w:val="6E39120F"/>
    <w:rsid w:val="6E744EFC"/>
    <w:rsid w:val="6EA63E31"/>
    <w:rsid w:val="6EC942AF"/>
    <w:rsid w:val="6EE17A21"/>
    <w:rsid w:val="6F8F354E"/>
    <w:rsid w:val="705C32F7"/>
    <w:rsid w:val="70BB3983"/>
    <w:rsid w:val="70CD73DC"/>
    <w:rsid w:val="70E60BE0"/>
    <w:rsid w:val="7139316B"/>
    <w:rsid w:val="716C63E0"/>
    <w:rsid w:val="724B58AB"/>
    <w:rsid w:val="728564F7"/>
    <w:rsid w:val="72AF6C04"/>
    <w:rsid w:val="731D011C"/>
    <w:rsid w:val="73292777"/>
    <w:rsid w:val="734C62A9"/>
    <w:rsid w:val="73811D4E"/>
    <w:rsid w:val="739923C3"/>
    <w:rsid w:val="73DB0363"/>
    <w:rsid w:val="74CE056F"/>
    <w:rsid w:val="74D56A89"/>
    <w:rsid w:val="75154CD2"/>
    <w:rsid w:val="75805161"/>
    <w:rsid w:val="75EC5C39"/>
    <w:rsid w:val="76A37FAB"/>
    <w:rsid w:val="76D919E3"/>
    <w:rsid w:val="770E517F"/>
    <w:rsid w:val="775C14A0"/>
    <w:rsid w:val="776103F0"/>
    <w:rsid w:val="77636C4B"/>
    <w:rsid w:val="77A27878"/>
    <w:rsid w:val="77E0164A"/>
    <w:rsid w:val="77EA3A34"/>
    <w:rsid w:val="78526BC5"/>
    <w:rsid w:val="78926905"/>
    <w:rsid w:val="79367E03"/>
    <w:rsid w:val="7A2E6B5F"/>
    <w:rsid w:val="7A3F0F25"/>
    <w:rsid w:val="7AC629C5"/>
    <w:rsid w:val="7ADE1130"/>
    <w:rsid w:val="7B604851"/>
    <w:rsid w:val="7B7A434E"/>
    <w:rsid w:val="7BC1280E"/>
    <w:rsid w:val="7C717E8D"/>
    <w:rsid w:val="7C930151"/>
    <w:rsid w:val="7C9A782B"/>
    <w:rsid w:val="7D08594E"/>
    <w:rsid w:val="7D295D99"/>
    <w:rsid w:val="7D5F3BC4"/>
    <w:rsid w:val="7D9C6A0D"/>
    <w:rsid w:val="7DE74A33"/>
    <w:rsid w:val="7E3B4DCD"/>
    <w:rsid w:val="7F1D7917"/>
    <w:rsid w:val="7F3D2ED0"/>
    <w:rsid w:val="7F5A5803"/>
    <w:rsid w:val="7F5E2C64"/>
    <w:rsid w:val="7F833A65"/>
    <w:rsid w:val="7FA70813"/>
    <w:rsid w:val="7FB43C77"/>
    <w:rsid w:val="7FCB191D"/>
    <w:rsid w:val="7FE03E78"/>
    <w:rsid w:val="7FFC5701"/>
    <w:rsid w:val="DFDF7113"/>
    <w:rsid w:val="FF5F9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78"/>
    <w:qFormat/>
    <w:uiPriority w:val="0"/>
    <w:pPr>
      <w:keepNext/>
      <w:keepLines/>
      <w:spacing w:before="340" w:after="330" w:line="578" w:lineRule="auto"/>
      <w:jc w:val="left"/>
      <w:outlineLvl w:val="0"/>
    </w:pPr>
    <w:rPr>
      <w:b/>
      <w:bCs/>
      <w:kern w:val="44"/>
      <w:sz w:val="30"/>
      <w:szCs w:val="44"/>
    </w:rPr>
  </w:style>
  <w:style w:type="paragraph" w:styleId="5">
    <w:name w:val="heading 2"/>
    <w:basedOn w:val="1"/>
    <w:next w:val="1"/>
    <w:qFormat/>
    <w:uiPriority w:val="0"/>
    <w:pPr>
      <w:keepNext/>
      <w:spacing w:line="360" w:lineRule="auto"/>
      <w:outlineLvl w:val="1"/>
    </w:pPr>
    <w:rPr>
      <w:sz w:val="28"/>
      <w:szCs w:val="20"/>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40">
    <w:name w:val="Default Paragraph Font"/>
    <w:semiHidden/>
    <w:unhideWhenUsed/>
    <w:qFormat/>
    <w:uiPriority w:val="1"/>
  </w:style>
  <w:style w:type="table" w:default="1" w:styleId="38">
    <w:name w:val="Normal Table"/>
    <w:semiHidden/>
    <w:unhideWhenUsed/>
    <w:uiPriority w:val="99"/>
    <w:tblPr>
      <w:tblLayout w:type="fixed"/>
      <w:tblCellMar>
        <w:top w:w="0" w:type="dxa"/>
        <w:left w:w="108" w:type="dxa"/>
        <w:bottom w:w="0" w:type="dxa"/>
        <w:right w:w="108" w:type="dxa"/>
      </w:tblCellMar>
    </w:tblPr>
  </w:style>
  <w:style w:type="paragraph" w:styleId="2">
    <w:name w:val="Body Text First Indent 2"/>
    <w:basedOn w:val="3"/>
    <w:link w:val="81"/>
    <w:qFormat/>
    <w:uiPriority w:val="0"/>
    <w:pPr>
      <w:ind w:firstLine="420" w:firstLineChars="200"/>
    </w:pPr>
  </w:style>
  <w:style w:type="paragraph" w:styleId="3">
    <w:name w:val="Body Text Indent"/>
    <w:basedOn w:val="1"/>
    <w:link w:val="80"/>
    <w:qFormat/>
    <w:uiPriority w:val="0"/>
    <w:pPr>
      <w:spacing w:after="120"/>
      <w:ind w:left="420" w:leftChars="200"/>
    </w:pPr>
    <w:rPr>
      <w:rFonts w:ascii="宋体" w:hAnsi="宋体"/>
      <w:sz w:val="28"/>
      <w:szCs w:val="24"/>
    </w:rPr>
  </w:style>
  <w:style w:type="paragraph" w:styleId="8">
    <w:name w:val="toc 7"/>
    <w:basedOn w:val="1"/>
    <w:next w:val="1"/>
    <w:qFormat/>
    <w:uiPriority w:val="0"/>
    <w:pPr>
      <w:ind w:left="1680"/>
      <w:jc w:val="left"/>
    </w:pPr>
    <w:rPr>
      <w:sz w:val="18"/>
      <w:szCs w:val="18"/>
    </w:rPr>
  </w:style>
  <w:style w:type="paragraph" w:styleId="9">
    <w:name w:val="Normal Indent"/>
    <w:basedOn w:val="1"/>
    <w:link w:val="48"/>
    <w:qFormat/>
    <w:uiPriority w:val="0"/>
    <w:rPr>
      <w:sz w:val="28"/>
      <w:szCs w:val="20"/>
    </w:rPr>
  </w:style>
  <w:style w:type="paragraph" w:styleId="10">
    <w:name w:val="Document Map"/>
    <w:basedOn w:val="1"/>
    <w:qFormat/>
    <w:uiPriority w:val="0"/>
    <w:pPr>
      <w:shd w:val="clear" w:color="auto" w:fill="000080"/>
    </w:pPr>
    <w:rPr>
      <w:sz w:val="28"/>
      <w:szCs w:val="20"/>
    </w:rPr>
  </w:style>
  <w:style w:type="paragraph" w:styleId="11">
    <w:name w:val="annotation text"/>
    <w:basedOn w:val="1"/>
    <w:link w:val="55"/>
    <w:qFormat/>
    <w:uiPriority w:val="0"/>
    <w:pPr>
      <w:jc w:val="left"/>
    </w:pPr>
    <w:rPr>
      <w:sz w:val="28"/>
      <w:szCs w:val="20"/>
    </w:rPr>
  </w:style>
  <w:style w:type="paragraph" w:styleId="12">
    <w:name w:val="Body Text 3"/>
    <w:basedOn w:val="1"/>
    <w:qFormat/>
    <w:uiPriority w:val="0"/>
    <w:pPr>
      <w:spacing w:after="120"/>
    </w:pPr>
    <w:rPr>
      <w:sz w:val="16"/>
      <w:szCs w:val="16"/>
    </w:rPr>
  </w:style>
  <w:style w:type="paragraph" w:styleId="13">
    <w:name w:val="Body Text"/>
    <w:basedOn w:val="1"/>
    <w:link w:val="51"/>
    <w:qFormat/>
    <w:uiPriority w:val="0"/>
    <w:pPr>
      <w:spacing w:after="120"/>
    </w:pPr>
    <w:rPr>
      <w:rFonts w:ascii="宋体" w:hAnsi="宋体" w:cs="宋体"/>
      <w:sz w:val="28"/>
      <w:szCs w:val="24"/>
    </w:rPr>
  </w:style>
  <w:style w:type="paragraph" w:styleId="14">
    <w:name w:val="List 2"/>
    <w:basedOn w:val="1"/>
    <w:qFormat/>
    <w:uiPriority w:val="0"/>
    <w:pPr>
      <w:ind w:left="100" w:leftChars="200" w:hanging="200" w:hangingChars="200"/>
    </w:pPr>
    <w:rPr>
      <w:sz w:val="28"/>
      <w:szCs w:val="20"/>
    </w:rPr>
  </w:style>
  <w:style w:type="paragraph" w:styleId="15">
    <w:name w:val="toc 5"/>
    <w:basedOn w:val="1"/>
    <w:next w:val="1"/>
    <w:qFormat/>
    <w:uiPriority w:val="0"/>
    <w:pPr>
      <w:ind w:left="1120"/>
      <w:jc w:val="left"/>
    </w:pPr>
    <w:rPr>
      <w:sz w:val="18"/>
      <w:szCs w:val="18"/>
    </w:rPr>
  </w:style>
  <w:style w:type="paragraph" w:styleId="16">
    <w:name w:val="toc 3"/>
    <w:basedOn w:val="1"/>
    <w:next w:val="1"/>
    <w:qFormat/>
    <w:uiPriority w:val="0"/>
    <w:pPr>
      <w:ind w:left="560"/>
      <w:jc w:val="left"/>
    </w:pPr>
    <w:rPr>
      <w:i/>
      <w:iCs/>
      <w:sz w:val="20"/>
      <w:szCs w:val="20"/>
    </w:rPr>
  </w:style>
  <w:style w:type="paragraph" w:styleId="17">
    <w:name w:val="Plain Text"/>
    <w:basedOn w:val="1"/>
    <w:link w:val="61"/>
    <w:qFormat/>
    <w:uiPriority w:val="0"/>
    <w:rPr>
      <w:rFonts w:ascii="宋体" w:hAnsi="Courier New" w:cs="Courier New"/>
    </w:rPr>
  </w:style>
  <w:style w:type="paragraph" w:styleId="18">
    <w:name w:val="toc 8"/>
    <w:basedOn w:val="1"/>
    <w:next w:val="1"/>
    <w:qFormat/>
    <w:uiPriority w:val="0"/>
    <w:pPr>
      <w:ind w:left="1960"/>
      <w:jc w:val="left"/>
    </w:pPr>
    <w:rPr>
      <w:sz w:val="18"/>
      <w:szCs w:val="18"/>
    </w:rPr>
  </w:style>
  <w:style w:type="paragraph" w:styleId="19">
    <w:name w:val="Date"/>
    <w:basedOn w:val="1"/>
    <w:next w:val="1"/>
    <w:link w:val="68"/>
    <w:qFormat/>
    <w:uiPriority w:val="0"/>
    <w:pPr>
      <w:ind w:left="2500" w:leftChars="2500"/>
    </w:pPr>
    <w:rPr>
      <w:rFonts w:ascii="仿宋_GB2312" w:hAnsi="Courier New" w:eastAsia="仿宋_GB2312"/>
      <w:sz w:val="32"/>
      <w:szCs w:val="20"/>
    </w:rPr>
  </w:style>
  <w:style w:type="paragraph" w:styleId="20">
    <w:name w:val="Body Text Indent 2"/>
    <w:basedOn w:val="1"/>
    <w:qFormat/>
    <w:uiPriority w:val="0"/>
    <w:pPr>
      <w:spacing w:after="120" w:line="480" w:lineRule="auto"/>
      <w:ind w:left="420" w:leftChars="200"/>
    </w:pPr>
    <w:rPr>
      <w:sz w:val="28"/>
      <w:szCs w:val="20"/>
    </w:rPr>
  </w:style>
  <w:style w:type="paragraph" w:styleId="21">
    <w:name w:val="Balloon Text"/>
    <w:basedOn w:val="1"/>
    <w:qFormat/>
    <w:uiPriority w:val="0"/>
    <w:rPr>
      <w:sz w:val="18"/>
      <w:szCs w:val="18"/>
    </w:rPr>
  </w:style>
  <w:style w:type="paragraph" w:styleId="22">
    <w:name w:val="footer"/>
    <w:basedOn w:val="1"/>
    <w:link w:val="74"/>
    <w:qFormat/>
    <w:uiPriority w:val="99"/>
    <w:pPr>
      <w:tabs>
        <w:tab w:val="center" w:pos="4153"/>
        <w:tab w:val="right" w:pos="8306"/>
      </w:tabs>
      <w:snapToGrid w:val="0"/>
      <w:jc w:val="left"/>
    </w:pPr>
    <w:rPr>
      <w:sz w:val="18"/>
      <w:szCs w:val="18"/>
    </w:rPr>
  </w:style>
  <w:style w:type="paragraph" w:styleId="23">
    <w:name w:val="header"/>
    <w:basedOn w:val="1"/>
    <w:link w:val="73"/>
    <w:qFormat/>
    <w:uiPriority w:val="99"/>
    <w:pPr>
      <w:pBdr>
        <w:bottom w:val="single" w:color="auto" w:sz="6" w:space="1"/>
      </w:pBdr>
      <w:tabs>
        <w:tab w:val="center" w:pos="4153"/>
        <w:tab w:val="right" w:pos="8306"/>
      </w:tabs>
      <w:snapToGrid w:val="0"/>
      <w:jc w:val="center"/>
    </w:pPr>
    <w:rPr>
      <w:rFonts w:ascii="宋体" w:hAnsi="宋体" w:cs="宋体"/>
      <w:sz w:val="18"/>
      <w:szCs w:val="18"/>
    </w:rPr>
  </w:style>
  <w:style w:type="paragraph" w:styleId="24">
    <w:name w:val="toc 1"/>
    <w:basedOn w:val="1"/>
    <w:next w:val="1"/>
    <w:qFormat/>
    <w:uiPriority w:val="0"/>
    <w:pPr>
      <w:tabs>
        <w:tab w:val="right" w:leader="dot" w:pos="9000"/>
      </w:tabs>
      <w:adjustRightInd w:val="0"/>
      <w:snapToGrid w:val="0"/>
      <w:jc w:val="center"/>
    </w:pPr>
    <w:rPr>
      <w:bCs/>
      <w:caps/>
      <w:sz w:val="20"/>
      <w:szCs w:val="20"/>
    </w:rPr>
  </w:style>
  <w:style w:type="paragraph" w:styleId="25">
    <w:name w:val="toc 4"/>
    <w:basedOn w:val="1"/>
    <w:next w:val="1"/>
    <w:qFormat/>
    <w:uiPriority w:val="0"/>
    <w:pPr>
      <w:ind w:left="840"/>
      <w:jc w:val="left"/>
    </w:pPr>
    <w:rPr>
      <w:sz w:val="18"/>
      <w:szCs w:val="18"/>
    </w:rPr>
  </w:style>
  <w:style w:type="paragraph" w:styleId="26">
    <w:name w:val="List"/>
    <w:basedOn w:val="1"/>
    <w:qFormat/>
    <w:uiPriority w:val="0"/>
    <w:pPr>
      <w:ind w:left="200" w:hanging="200" w:hangingChars="200"/>
      <w:contextualSpacing/>
    </w:pPr>
    <w:rPr>
      <w:sz w:val="28"/>
      <w:szCs w:val="20"/>
    </w:rPr>
  </w:style>
  <w:style w:type="paragraph" w:styleId="27">
    <w:name w:val="toc 6"/>
    <w:basedOn w:val="1"/>
    <w:next w:val="1"/>
    <w:qFormat/>
    <w:uiPriority w:val="0"/>
    <w:pPr>
      <w:ind w:left="1400"/>
      <w:jc w:val="left"/>
    </w:pPr>
    <w:rPr>
      <w:sz w:val="18"/>
      <w:szCs w:val="18"/>
    </w:rPr>
  </w:style>
  <w:style w:type="paragraph" w:styleId="28">
    <w:name w:val="Body Text Indent 3"/>
    <w:basedOn w:val="1"/>
    <w:link w:val="67"/>
    <w:qFormat/>
    <w:uiPriority w:val="0"/>
    <w:pPr>
      <w:spacing w:after="120"/>
      <w:ind w:left="420" w:leftChars="200"/>
    </w:pPr>
    <w:rPr>
      <w:rFonts w:ascii="宋体" w:hAnsi="宋体"/>
      <w:sz w:val="16"/>
      <w:szCs w:val="16"/>
    </w:rPr>
  </w:style>
  <w:style w:type="paragraph" w:styleId="29">
    <w:name w:val="table of figures"/>
    <w:basedOn w:val="1"/>
    <w:next w:val="1"/>
    <w:qFormat/>
    <w:uiPriority w:val="0"/>
    <w:pPr>
      <w:ind w:left="200" w:leftChars="200" w:hanging="200" w:hangingChars="200"/>
    </w:pPr>
    <w:rPr>
      <w:szCs w:val="24"/>
    </w:rPr>
  </w:style>
  <w:style w:type="paragraph" w:styleId="30">
    <w:name w:val="toc 2"/>
    <w:basedOn w:val="1"/>
    <w:next w:val="1"/>
    <w:qFormat/>
    <w:uiPriority w:val="0"/>
    <w:pPr>
      <w:ind w:left="280"/>
      <w:jc w:val="left"/>
    </w:pPr>
    <w:rPr>
      <w:smallCaps/>
      <w:sz w:val="20"/>
      <w:szCs w:val="20"/>
    </w:rPr>
  </w:style>
  <w:style w:type="paragraph" w:styleId="31">
    <w:name w:val="toc 9"/>
    <w:basedOn w:val="1"/>
    <w:next w:val="1"/>
    <w:qFormat/>
    <w:uiPriority w:val="0"/>
    <w:pPr>
      <w:ind w:left="2240"/>
      <w:jc w:val="left"/>
    </w:pPr>
    <w:rPr>
      <w:sz w:val="18"/>
      <w:szCs w:val="18"/>
    </w:rPr>
  </w:style>
  <w:style w:type="paragraph" w:styleId="32">
    <w:name w:val="Body Text 2"/>
    <w:basedOn w:val="1"/>
    <w:qFormat/>
    <w:uiPriority w:val="0"/>
    <w:pPr>
      <w:spacing w:line="360" w:lineRule="auto"/>
      <w:jc w:val="left"/>
    </w:pPr>
    <w:rPr>
      <w:sz w:val="24"/>
      <w:szCs w:val="20"/>
    </w:rPr>
  </w:style>
  <w:style w:type="paragraph" w:styleId="3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rPr>
  </w:style>
  <w:style w:type="paragraph" w:styleId="34">
    <w:name w:val="Normal (Web)"/>
    <w:basedOn w:val="1"/>
    <w:qFormat/>
    <w:uiPriority w:val="99"/>
    <w:pPr>
      <w:widowControl/>
      <w:spacing w:before="100" w:beforeAutospacing="1" w:after="100" w:afterAutospacing="1"/>
      <w:jc w:val="left"/>
    </w:pPr>
    <w:rPr>
      <w:rFonts w:ascii="宋体" w:hAnsi="宋体"/>
      <w:kern w:val="0"/>
      <w:sz w:val="24"/>
      <w:szCs w:val="24"/>
    </w:rPr>
  </w:style>
  <w:style w:type="paragraph" w:styleId="35">
    <w:name w:val="Title"/>
    <w:basedOn w:val="1"/>
    <w:qFormat/>
    <w:uiPriority w:val="0"/>
    <w:pPr>
      <w:spacing w:before="240" w:after="60"/>
      <w:jc w:val="center"/>
      <w:outlineLvl w:val="0"/>
    </w:pPr>
    <w:rPr>
      <w:rFonts w:ascii="Arial" w:hAnsi="Arial" w:cs="Arial"/>
      <w:b/>
      <w:bCs/>
      <w:sz w:val="32"/>
      <w:szCs w:val="32"/>
    </w:rPr>
  </w:style>
  <w:style w:type="paragraph" w:styleId="36">
    <w:name w:val="annotation subject"/>
    <w:basedOn w:val="11"/>
    <w:next w:val="11"/>
    <w:qFormat/>
    <w:uiPriority w:val="0"/>
    <w:rPr>
      <w:b/>
      <w:bCs/>
    </w:rPr>
  </w:style>
  <w:style w:type="paragraph" w:styleId="37">
    <w:name w:val="Body Text First Indent"/>
    <w:basedOn w:val="13"/>
    <w:qFormat/>
    <w:uiPriority w:val="0"/>
    <w:pPr>
      <w:ind w:firstLine="420" w:firstLineChars="100"/>
    </w:pPr>
    <w:rPr>
      <w:sz w:val="21"/>
    </w:rPr>
  </w:style>
  <w:style w:type="table" w:styleId="39">
    <w:name w:val="Table Grid"/>
    <w:basedOn w:val="3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41">
    <w:name w:val="Strong"/>
    <w:qFormat/>
    <w:uiPriority w:val="0"/>
    <w:rPr>
      <w:rFonts w:ascii="宋体" w:hAnsi="宋体" w:cs="宋体"/>
      <w:b/>
      <w:bCs/>
      <w:sz w:val="24"/>
      <w:szCs w:val="24"/>
    </w:rPr>
  </w:style>
  <w:style w:type="character" w:styleId="42">
    <w:name w:val="page number"/>
    <w:basedOn w:val="40"/>
    <w:qFormat/>
    <w:uiPriority w:val="0"/>
    <w:rPr>
      <w:rFonts w:ascii="宋体" w:hAnsi="宋体" w:cs="宋体"/>
      <w:sz w:val="24"/>
      <w:szCs w:val="24"/>
    </w:rPr>
  </w:style>
  <w:style w:type="character" w:styleId="43">
    <w:name w:val="FollowedHyperlink"/>
    <w:basedOn w:val="40"/>
    <w:qFormat/>
    <w:uiPriority w:val="0"/>
    <w:rPr>
      <w:color w:val="954F72" w:themeColor="followedHyperlink"/>
      <w:u w:val="single"/>
      <w14:textFill>
        <w14:solidFill>
          <w14:schemeClr w14:val="folHlink"/>
        </w14:solidFill>
      </w14:textFill>
    </w:rPr>
  </w:style>
  <w:style w:type="character" w:styleId="44">
    <w:name w:val="Emphasis"/>
    <w:qFormat/>
    <w:uiPriority w:val="0"/>
    <w:rPr>
      <w:rFonts w:ascii="宋体" w:hAnsi="宋体" w:cs="宋体"/>
      <w:i/>
      <w:sz w:val="24"/>
      <w:szCs w:val="24"/>
    </w:rPr>
  </w:style>
  <w:style w:type="character" w:styleId="45">
    <w:name w:val="Hyperlink"/>
    <w:qFormat/>
    <w:uiPriority w:val="0"/>
    <w:rPr>
      <w:color w:val="0000FF"/>
      <w:u w:val="single"/>
    </w:rPr>
  </w:style>
  <w:style w:type="character" w:styleId="46">
    <w:name w:val="annotation reference"/>
    <w:qFormat/>
    <w:uiPriority w:val="0"/>
    <w:rPr>
      <w:sz w:val="21"/>
      <w:szCs w:val="21"/>
    </w:rPr>
  </w:style>
  <w:style w:type="character" w:customStyle="1" w:styleId="47">
    <w:name w:val="style51"/>
    <w:qFormat/>
    <w:uiPriority w:val="0"/>
    <w:rPr>
      <w:b/>
      <w:bCs/>
      <w:color w:val="FF9900"/>
      <w:sz w:val="21"/>
      <w:szCs w:val="21"/>
    </w:rPr>
  </w:style>
  <w:style w:type="character" w:customStyle="1" w:styleId="48">
    <w:name w:val="正文缩进字符"/>
    <w:link w:val="9"/>
    <w:qFormat/>
    <w:uiPriority w:val="0"/>
    <w:rPr>
      <w:rFonts w:eastAsia="宋体"/>
      <w:kern w:val="2"/>
      <w:sz w:val="28"/>
      <w:lang w:val="en-US" w:eastAsia="zh-CN" w:bidi="ar-SA"/>
    </w:rPr>
  </w:style>
  <w:style w:type="character" w:customStyle="1" w:styleId="49">
    <w:name w:val="表格正文 Char"/>
    <w:link w:val="50"/>
    <w:qFormat/>
    <w:uiPriority w:val="0"/>
    <w:rPr>
      <w:rFonts w:ascii="等线" w:hAnsi="等线"/>
      <w:kern w:val="2"/>
      <w:sz w:val="21"/>
      <w:szCs w:val="24"/>
    </w:rPr>
  </w:style>
  <w:style w:type="paragraph" w:customStyle="1" w:styleId="50">
    <w:name w:val="表格正文"/>
    <w:basedOn w:val="1"/>
    <w:link w:val="49"/>
    <w:qFormat/>
    <w:uiPriority w:val="0"/>
    <w:pPr>
      <w:spacing w:line="360" w:lineRule="exact"/>
      <w:jc w:val="center"/>
    </w:pPr>
    <w:rPr>
      <w:rFonts w:ascii="等线" w:hAnsi="等线"/>
      <w:szCs w:val="24"/>
    </w:rPr>
  </w:style>
  <w:style w:type="character" w:customStyle="1" w:styleId="51">
    <w:name w:val="正文文本字符"/>
    <w:link w:val="13"/>
    <w:qFormat/>
    <w:uiPriority w:val="0"/>
    <w:rPr>
      <w:rFonts w:ascii="宋体" w:hAnsi="宋体" w:eastAsia="宋体" w:cs="宋体"/>
      <w:kern w:val="2"/>
      <w:sz w:val="28"/>
      <w:szCs w:val="24"/>
      <w:lang w:val="en-US" w:eastAsia="zh-CN" w:bidi="ar-SA"/>
    </w:rPr>
  </w:style>
  <w:style w:type="character" w:customStyle="1" w:styleId="52">
    <w:name w:val="style71"/>
    <w:qFormat/>
    <w:uiPriority w:val="0"/>
    <w:rPr>
      <w:b/>
      <w:bCs/>
      <w:color w:val="D70703"/>
      <w:sz w:val="21"/>
      <w:szCs w:val="21"/>
    </w:rPr>
  </w:style>
  <w:style w:type="character" w:customStyle="1" w:styleId="53">
    <w:name w:val="表格文字 Char Char"/>
    <w:link w:val="54"/>
    <w:qFormat/>
    <w:uiPriority w:val="0"/>
    <w:rPr>
      <w:rFonts w:ascii="仿宋_GB2312" w:hAnsi="Arial Black" w:eastAsia="仿宋_GB2312" w:cs="宋体"/>
      <w:kern w:val="44"/>
      <w:sz w:val="24"/>
      <w:szCs w:val="24"/>
      <w:lang w:val="en-US" w:eastAsia="zh-CN" w:bidi="ar-SA"/>
    </w:rPr>
  </w:style>
  <w:style w:type="paragraph" w:customStyle="1" w:styleId="54">
    <w:name w:val="表格文字"/>
    <w:basedOn w:val="1"/>
    <w:link w:val="53"/>
    <w:qFormat/>
    <w:uiPriority w:val="0"/>
    <w:pPr>
      <w:jc w:val="center"/>
    </w:pPr>
    <w:rPr>
      <w:rFonts w:ascii="仿宋_GB2312" w:hAnsi="Arial Black" w:eastAsia="仿宋_GB2312" w:cs="宋体"/>
      <w:kern w:val="44"/>
      <w:sz w:val="24"/>
      <w:szCs w:val="24"/>
    </w:rPr>
  </w:style>
  <w:style w:type="character" w:customStyle="1" w:styleId="55">
    <w:name w:val="批注文字字符"/>
    <w:link w:val="11"/>
    <w:qFormat/>
    <w:uiPriority w:val="0"/>
    <w:rPr>
      <w:kern w:val="2"/>
      <w:sz w:val="28"/>
    </w:rPr>
  </w:style>
  <w:style w:type="character" w:customStyle="1" w:styleId="56">
    <w:name w:val="标题1"/>
    <w:basedOn w:val="40"/>
    <w:qFormat/>
    <w:uiPriority w:val="0"/>
    <w:rPr>
      <w:rFonts w:ascii="宋体" w:hAnsi="宋体" w:cs="宋体"/>
      <w:sz w:val="24"/>
      <w:szCs w:val="24"/>
    </w:rPr>
  </w:style>
  <w:style w:type="character" w:customStyle="1" w:styleId="57">
    <w:name w:val="批注文字 Char1"/>
    <w:semiHidden/>
    <w:qFormat/>
    <w:locked/>
    <w:uiPriority w:val="0"/>
    <w:rPr>
      <w:rFonts w:ascii="宋体" w:hAnsi="宋体" w:cs="宋体"/>
      <w:kern w:val="2"/>
      <w:sz w:val="28"/>
      <w:szCs w:val="24"/>
    </w:rPr>
  </w:style>
  <w:style w:type="character" w:customStyle="1" w:styleId="58">
    <w:name w:val="页码1"/>
    <w:basedOn w:val="40"/>
    <w:qFormat/>
    <w:uiPriority w:val="0"/>
    <w:rPr>
      <w:rFonts w:ascii="宋体" w:hAnsi="宋体" w:cs="宋体"/>
      <w:sz w:val="24"/>
      <w:szCs w:val="24"/>
    </w:rPr>
  </w:style>
  <w:style w:type="character" w:customStyle="1" w:styleId="59">
    <w:name w:val="图表题 Char Char"/>
    <w:link w:val="60"/>
    <w:qFormat/>
    <w:uiPriority w:val="0"/>
    <w:rPr>
      <w:rFonts w:eastAsia="黑体"/>
      <w:sz w:val="24"/>
    </w:rPr>
  </w:style>
  <w:style w:type="paragraph" w:customStyle="1" w:styleId="60">
    <w:name w:val="图表题"/>
    <w:basedOn w:val="1"/>
    <w:next w:val="1"/>
    <w:link w:val="59"/>
    <w:qFormat/>
    <w:uiPriority w:val="0"/>
    <w:pPr>
      <w:adjustRightInd w:val="0"/>
      <w:snapToGrid w:val="0"/>
      <w:spacing w:line="360" w:lineRule="auto"/>
      <w:jc w:val="center"/>
    </w:pPr>
    <w:rPr>
      <w:rFonts w:eastAsia="黑体"/>
      <w:kern w:val="0"/>
      <w:sz w:val="24"/>
      <w:szCs w:val="20"/>
    </w:rPr>
  </w:style>
  <w:style w:type="character" w:customStyle="1" w:styleId="61">
    <w:name w:val="纯文本字符"/>
    <w:link w:val="17"/>
    <w:qFormat/>
    <w:uiPriority w:val="0"/>
    <w:rPr>
      <w:rFonts w:ascii="宋体" w:hAnsi="Courier New" w:eastAsia="宋体" w:cs="Courier New"/>
      <w:kern w:val="2"/>
      <w:sz w:val="21"/>
      <w:szCs w:val="21"/>
      <w:lang w:val="en-US" w:eastAsia="zh-CN" w:bidi="ar-SA"/>
    </w:rPr>
  </w:style>
  <w:style w:type="character" w:customStyle="1" w:styleId="62">
    <w:name w:val="表格文字 Char"/>
    <w:qFormat/>
    <w:locked/>
    <w:uiPriority w:val="0"/>
    <w:rPr>
      <w:rFonts w:ascii="宋体" w:hAnsi="宋体"/>
      <w:color w:val="000000"/>
      <w:kern w:val="2"/>
      <w:sz w:val="24"/>
      <w:szCs w:val="24"/>
    </w:rPr>
  </w:style>
  <w:style w:type="character" w:customStyle="1" w:styleId="63">
    <w:name w:val="正文缩进 Char Char Char Char"/>
    <w:qFormat/>
    <w:uiPriority w:val="0"/>
    <w:rPr>
      <w:rFonts w:ascii="宋体" w:hAnsi="宋体" w:eastAsia="宋体" w:cs="宋体"/>
      <w:kern w:val="2"/>
      <w:sz w:val="21"/>
      <w:szCs w:val="24"/>
      <w:lang w:val="en-US" w:eastAsia="zh-CN" w:bidi="ar-SA"/>
    </w:rPr>
  </w:style>
  <w:style w:type="character" w:customStyle="1" w:styleId="64">
    <w:name w:val="正文文本 Char1"/>
    <w:qFormat/>
    <w:locked/>
    <w:uiPriority w:val="0"/>
    <w:rPr>
      <w:rFonts w:ascii="宋体" w:hAnsi="宋体" w:cs="宋体"/>
      <w:kern w:val="2"/>
      <w:sz w:val="28"/>
      <w:szCs w:val="24"/>
    </w:rPr>
  </w:style>
  <w:style w:type="character" w:customStyle="1" w:styleId="65">
    <w:name w:val="文章正文样式 Char Char"/>
    <w:link w:val="66"/>
    <w:qFormat/>
    <w:uiPriority w:val="0"/>
    <w:rPr>
      <w:rFonts w:ascii="宋体" w:hAnsi="宋体" w:eastAsia="宋体" w:cs="宋体"/>
      <w:kern w:val="2"/>
      <w:sz w:val="24"/>
      <w:szCs w:val="24"/>
      <w:lang w:val="en-US" w:eastAsia="zh-CN" w:bidi="ar-SA"/>
    </w:rPr>
  </w:style>
  <w:style w:type="paragraph" w:customStyle="1" w:styleId="66">
    <w:name w:val="文章正文样式"/>
    <w:basedOn w:val="1"/>
    <w:link w:val="65"/>
    <w:qFormat/>
    <w:uiPriority w:val="0"/>
    <w:pPr>
      <w:spacing w:line="520" w:lineRule="exact"/>
      <w:ind w:firstLine="480" w:firstLineChars="200"/>
      <w:jc w:val="left"/>
    </w:pPr>
    <w:rPr>
      <w:rFonts w:ascii="宋体" w:hAnsi="宋体" w:cs="宋体"/>
      <w:sz w:val="24"/>
      <w:szCs w:val="24"/>
    </w:rPr>
  </w:style>
  <w:style w:type="character" w:customStyle="1" w:styleId="67">
    <w:name w:val="正文文本缩进 3字符"/>
    <w:link w:val="28"/>
    <w:qFormat/>
    <w:uiPriority w:val="0"/>
    <w:rPr>
      <w:rFonts w:ascii="宋体" w:hAnsi="宋体" w:cs="宋体"/>
      <w:kern w:val="2"/>
      <w:sz w:val="16"/>
      <w:szCs w:val="16"/>
    </w:rPr>
  </w:style>
  <w:style w:type="character" w:customStyle="1" w:styleId="68">
    <w:name w:val="日期字符"/>
    <w:link w:val="19"/>
    <w:qFormat/>
    <w:locked/>
    <w:uiPriority w:val="0"/>
    <w:rPr>
      <w:rFonts w:ascii="仿宋_GB2312" w:hAnsi="Courier New" w:eastAsia="仿宋_GB2312"/>
      <w:kern w:val="2"/>
      <w:sz w:val="32"/>
    </w:rPr>
  </w:style>
  <w:style w:type="character" w:customStyle="1" w:styleId="69">
    <w:name w:val="Char Char Char Char Char"/>
    <w:qFormat/>
    <w:uiPriority w:val="0"/>
    <w:rPr>
      <w:rFonts w:hint="eastAsia" w:ascii="宋体" w:hAnsi="宋体" w:eastAsia="宋体"/>
      <w:kern w:val="2"/>
      <w:sz w:val="24"/>
      <w:lang w:val="en-US" w:eastAsia="zh-CN"/>
    </w:rPr>
  </w:style>
  <w:style w:type="character" w:customStyle="1" w:styleId="70">
    <w:name w:val="Gabriel（正文） Char Char"/>
    <w:link w:val="71"/>
    <w:qFormat/>
    <w:uiPriority w:val="0"/>
    <w:rPr>
      <w:rFonts w:ascii="宋体" w:hAnsi="宋体" w:eastAsia="宋体" w:cs="宋体"/>
      <w:kern w:val="2"/>
      <w:sz w:val="28"/>
      <w:szCs w:val="28"/>
      <w:lang w:val="en-US" w:eastAsia="zh-CN" w:bidi="ar-SA"/>
    </w:rPr>
  </w:style>
  <w:style w:type="paragraph" w:customStyle="1" w:styleId="71">
    <w:name w:val="Gabriel（正文）"/>
    <w:basedOn w:val="1"/>
    <w:next w:val="1"/>
    <w:link w:val="70"/>
    <w:qFormat/>
    <w:uiPriority w:val="0"/>
    <w:pPr>
      <w:spacing w:line="480" w:lineRule="exact"/>
      <w:ind w:firstLine="200" w:firstLineChars="200"/>
    </w:pPr>
    <w:rPr>
      <w:rFonts w:ascii="宋体" w:hAnsi="宋体" w:cs="宋体"/>
      <w:sz w:val="28"/>
      <w:szCs w:val="28"/>
    </w:rPr>
  </w:style>
  <w:style w:type="character" w:customStyle="1" w:styleId="72">
    <w:name w:val="纯文本 Char1"/>
    <w:semiHidden/>
    <w:qFormat/>
    <w:locked/>
    <w:uiPriority w:val="0"/>
    <w:rPr>
      <w:rFonts w:ascii="宋体" w:hAnsi="Courier New" w:cs="Courier New"/>
      <w:kern w:val="2"/>
      <w:sz w:val="21"/>
      <w:szCs w:val="21"/>
    </w:rPr>
  </w:style>
  <w:style w:type="character" w:customStyle="1" w:styleId="73">
    <w:name w:val="页眉字符"/>
    <w:link w:val="23"/>
    <w:qFormat/>
    <w:uiPriority w:val="99"/>
    <w:rPr>
      <w:rFonts w:ascii="宋体" w:hAnsi="宋体" w:eastAsia="宋体" w:cs="宋体"/>
      <w:kern w:val="2"/>
      <w:sz w:val="18"/>
      <w:szCs w:val="18"/>
      <w:lang w:val="en-US" w:eastAsia="zh-CN" w:bidi="ar-SA"/>
    </w:rPr>
  </w:style>
  <w:style w:type="character" w:customStyle="1" w:styleId="74">
    <w:name w:val="页脚字符"/>
    <w:link w:val="22"/>
    <w:qFormat/>
    <w:uiPriority w:val="99"/>
    <w:rPr>
      <w:kern w:val="2"/>
      <w:sz w:val="18"/>
      <w:szCs w:val="18"/>
    </w:rPr>
  </w:style>
  <w:style w:type="character" w:customStyle="1" w:styleId="75">
    <w:name w:val="style81"/>
    <w:qFormat/>
    <w:uiPriority w:val="0"/>
    <w:rPr>
      <w:color w:val="0000FF"/>
    </w:rPr>
  </w:style>
  <w:style w:type="character" w:customStyle="1" w:styleId="76">
    <w:name w:val="正文-biao Char"/>
    <w:link w:val="77"/>
    <w:qFormat/>
    <w:uiPriority w:val="0"/>
    <w:rPr>
      <w:rFonts w:hAnsi="宋体"/>
      <w:kern w:val="2"/>
      <w:sz w:val="24"/>
      <w:szCs w:val="24"/>
    </w:rPr>
  </w:style>
  <w:style w:type="paragraph" w:customStyle="1" w:styleId="77">
    <w:name w:val="正文-biao"/>
    <w:basedOn w:val="1"/>
    <w:link w:val="76"/>
    <w:qFormat/>
    <w:uiPriority w:val="0"/>
    <w:pPr>
      <w:spacing w:before="60" w:line="460" w:lineRule="exact"/>
      <w:ind w:firstLine="482"/>
    </w:pPr>
    <w:rPr>
      <w:rFonts w:hAnsi="宋体"/>
      <w:sz w:val="24"/>
      <w:szCs w:val="24"/>
    </w:rPr>
  </w:style>
  <w:style w:type="character" w:customStyle="1" w:styleId="78">
    <w:name w:val="标题 1字符"/>
    <w:link w:val="4"/>
    <w:qFormat/>
    <w:uiPriority w:val="0"/>
    <w:rPr>
      <w:rFonts w:eastAsia="宋体"/>
      <w:b/>
      <w:bCs/>
      <w:kern w:val="44"/>
      <w:sz w:val="30"/>
      <w:szCs w:val="44"/>
      <w:lang w:val="en-US" w:eastAsia="zh-CN" w:bidi="ar-SA"/>
    </w:rPr>
  </w:style>
  <w:style w:type="character" w:customStyle="1" w:styleId="79">
    <w:name w:val="fontstyle01"/>
    <w:qFormat/>
    <w:uiPriority w:val="0"/>
    <w:rPr>
      <w:rFonts w:hint="eastAsia" w:ascii="宋体" w:hAnsi="宋体" w:eastAsia="宋体" w:cs="宋体"/>
      <w:color w:val="000000"/>
      <w:sz w:val="24"/>
      <w:szCs w:val="24"/>
    </w:rPr>
  </w:style>
  <w:style w:type="character" w:customStyle="1" w:styleId="80">
    <w:name w:val="正文文本缩进字符"/>
    <w:link w:val="3"/>
    <w:qFormat/>
    <w:uiPriority w:val="0"/>
    <w:rPr>
      <w:rFonts w:ascii="宋体" w:hAnsi="宋体" w:cs="宋体"/>
      <w:kern w:val="2"/>
      <w:sz w:val="28"/>
      <w:szCs w:val="24"/>
    </w:rPr>
  </w:style>
  <w:style w:type="character" w:customStyle="1" w:styleId="81">
    <w:name w:val="正文首行缩进 2字符"/>
    <w:link w:val="2"/>
    <w:qFormat/>
    <w:uiPriority w:val="0"/>
    <w:rPr>
      <w:rFonts w:ascii="宋体" w:hAnsi="宋体" w:cs="宋体"/>
      <w:kern w:val="2"/>
      <w:sz w:val="28"/>
      <w:szCs w:val="24"/>
    </w:rPr>
  </w:style>
  <w:style w:type="character" w:customStyle="1" w:styleId="82">
    <w:name w:val="表头 Char Char"/>
    <w:qFormat/>
    <w:uiPriority w:val="0"/>
    <w:rPr>
      <w:rFonts w:eastAsia="黑体"/>
      <w:kern w:val="2"/>
      <w:sz w:val="24"/>
      <w:szCs w:val="24"/>
      <w:lang w:val="en-US" w:eastAsia="zh-CN" w:bidi="ar-SA"/>
      <w14:shadow w14:blurRad="50800" w14:dist="38100" w14:dir="2700000" w14:sx="100000" w14:sy="100000" w14:kx="0" w14:ky="0" w14:algn="tl">
        <w14:srgbClr w14:val="000000">
          <w14:alpha w14:val="60000"/>
        </w14:srgbClr>
      </w14:shadow>
    </w:rPr>
  </w:style>
  <w:style w:type="paragraph" w:customStyle="1" w:styleId="83">
    <w:name w:val="样式 表格 32 + 首行缩进:  2 字符"/>
    <w:basedOn w:val="1"/>
    <w:qFormat/>
    <w:uiPriority w:val="0"/>
    <w:pPr>
      <w:autoSpaceDE w:val="0"/>
      <w:autoSpaceDN w:val="0"/>
      <w:adjustRightInd w:val="0"/>
      <w:spacing w:line="240" w:lineRule="atLeast"/>
      <w:jc w:val="center"/>
      <w:textAlignment w:val="baseline"/>
    </w:pPr>
    <w:rPr>
      <w:kern w:val="0"/>
    </w:rPr>
  </w:style>
  <w:style w:type="paragraph" w:customStyle="1" w:styleId="84">
    <w:name w:val="表内容"/>
    <w:basedOn w:val="1"/>
    <w:next w:val="1"/>
    <w:qFormat/>
    <w:uiPriority w:val="0"/>
    <w:pPr>
      <w:spacing w:line="320" w:lineRule="exact"/>
      <w:jc w:val="center"/>
    </w:pPr>
    <w:rPr>
      <w:szCs w:val="20"/>
    </w:rPr>
  </w:style>
  <w:style w:type="paragraph" w:customStyle="1" w:styleId="85">
    <w:name w:val="样式1"/>
    <w:basedOn w:val="1"/>
    <w:qFormat/>
    <w:uiPriority w:val="0"/>
    <w:pPr>
      <w:adjustRightInd w:val="0"/>
      <w:snapToGrid w:val="0"/>
      <w:spacing w:before="240" w:after="240" w:line="500" w:lineRule="exact"/>
    </w:pPr>
    <w:rPr>
      <w:bCs/>
      <w:sz w:val="30"/>
      <w:szCs w:val="20"/>
    </w:rPr>
  </w:style>
  <w:style w:type="paragraph" w:customStyle="1" w:styleId="86">
    <w:name w:val="表格内容"/>
    <w:qFormat/>
    <w:uiPriority w:val="0"/>
    <w:pPr>
      <w:jc w:val="center"/>
    </w:pPr>
    <w:rPr>
      <w:rFonts w:ascii="Times New Roman" w:hAnsi="Times New Roman" w:eastAsia="宋体" w:cs="Times New Roman"/>
      <w:sz w:val="21"/>
      <w:szCs w:val="21"/>
      <w:lang w:val="en-US" w:eastAsia="zh-CN" w:bidi="ar-SA"/>
    </w:rPr>
  </w:style>
  <w:style w:type="paragraph" w:customStyle="1" w:styleId="87">
    <w:name w:val="1"/>
    <w:basedOn w:val="1"/>
    <w:next w:val="9"/>
    <w:qFormat/>
    <w:uiPriority w:val="0"/>
    <w:pPr>
      <w:ind w:firstLine="602"/>
    </w:pPr>
    <w:rPr>
      <w:rFonts w:eastAsia="仿宋_GB2312"/>
      <w:sz w:val="28"/>
      <w:szCs w:val="20"/>
    </w:rPr>
  </w:style>
  <w:style w:type="paragraph" w:customStyle="1" w:styleId="88">
    <w:name w:val="正文（首行缩进两字）m"/>
    <w:basedOn w:val="9"/>
    <w:qFormat/>
    <w:uiPriority w:val="0"/>
    <w:pPr>
      <w:tabs>
        <w:tab w:val="left" w:pos="1848"/>
        <w:tab w:val="left" w:pos="6061"/>
        <w:tab w:val="left" w:pos="8665"/>
      </w:tabs>
      <w:snapToGrid w:val="0"/>
      <w:spacing w:before="156" w:beforeLines="50" w:line="460" w:lineRule="exact"/>
      <w:ind w:firstLine="480" w:firstLineChars="200"/>
    </w:pPr>
    <w:rPr>
      <w:rFonts w:ascii="宋体" w:hAnsi="宋体"/>
      <w:sz w:val="24"/>
    </w:rPr>
  </w:style>
  <w:style w:type="paragraph" w:customStyle="1" w:styleId="89">
    <w:name w:val="彩色网格 - 强调文字颜色 61"/>
    <w:unhideWhenUsed/>
    <w:qFormat/>
    <w:uiPriority w:val="99"/>
    <w:rPr>
      <w:rFonts w:ascii="Times New Roman" w:hAnsi="Times New Roman" w:eastAsia="宋体" w:cs="Times New Roman"/>
      <w:kern w:val="2"/>
      <w:sz w:val="28"/>
      <w:lang w:val="en-US" w:eastAsia="zh-CN" w:bidi="ar-SA"/>
    </w:rPr>
  </w:style>
  <w:style w:type="paragraph" w:customStyle="1" w:styleId="90">
    <w:name w:val="Char Char Char Char Char Char Char"/>
    <w:basedOn w:val="1"/>
    <w:qFormat/>
    <w:uiPriority w:val="0"/>
    <w:rPr>
      <w:szCs w:val="24"/>
    </w:rPr>
  </w:style>
  <w:style w:type="paragraph" w:customStyle="1" w:styleId="91">
    <w:name w:val="应填表格"/>
    <w:basedOn w:val="1"/>
    <w:qFormat/>
    <w:uiPriority w:val="0"/>
    <w:pPr>
      <w:adjustRightInd w:val="0"/>
      <w:spacing w:before="40" w:after="40"/>
      <w:jc w:val="left"/>
      <w:textAlignment w:val="baseline"/>
    </w:pPr>
    <w:rPr>
      <w:kern w:val="0"/>
      <w:sz w:val="24"/>
      <w:szCs w:val="20"/>
    </w:rPr>
  </w:style>
  <w:style w:type="paragraph" w:customStyle="1" w:styleId="92">
    <w:name w:val="Default"/>
    <w:qFormat/>
    <w:uiPriority w:val="0"/>
    <w:pPr>
      <w:widowControl w:val="0"/>
      <w:autoSpaceDE w:val="0"/>
      <w:autoSpaceDN w:val="0"/>
      <w:adjustRightInd w:val="0"/>
    </w:pPr>
    <w:rPr>
      <w:rFonts w:ascii="华文中宋" w:hAnsi="华文中宋" w:eastAsia="宋体" w:cs="华文中宋"/>
      <w:color w:val="000000"/>
      <w:sz w:val="24"/>
      <w:szCs w:val="24"/>
      <w:lang w:val="en-US" w:eastAsia="zh-CN" w:bidi="ar-SA"/>
    </w:rPr>
  </w:style>
  <w:style w:type="paragraph" w:customStyle="1" w:styleId="93">
    <w:name w:val="环科院表格标题"/>
    <w:basedOn w:val="1"/>
    <w:qFormat/>
    <w:uiPriority w:val="0"/>
    <w:pPr>
      <w:adjustRightInd w:val="0"/>
      <w:snapToGrid w:val="0"/>
      <w:spacing w:before="156" w:beforeLines="50"/>
    </w:pPr>
    <w:rPr>
      <w:sz w:val="24"/>
      <w:szCs w:val="24"/>
    </w:rPr>
  </w:style>
  <w:style w:type="paragraph" w:customStyle="1" w:styleId="94">
    <w:name w:val="表"/>
    <w:basedOn w:val="1"/>
    <w:qFormat/>
    <w:uiPriority w:val="0"/>
    <w:pPr>
      <w:framePr w:wrap="notBeside" w:vAnchor="text" w:hAnchor="text" w:y="1"/>
      <w:widowControl/>
      <w:spacing w:line="320" w:lineRule="exact"/>
      <w:jc w:val="center"/>
    </w:pPr>
    <w:rPr>
      <w:kern w:val="0"/>
      <w:szCs w:val="20"/>
    </w:rPr>
  </w:style>
  <w:style w:type="paragraph" w:customStyle="1" w:styleId="95">
    <w:name w:val="报告书正文"/>
    <w:basedOn w:val="1"/>
    <w:qFormat/>
    <w:uiPriority w:val="0"/>
    <w:pPr>
      <w:adjustRightInd w:val="0"/>
      <w:snapToGrid w:val="0"/>
      <w:spacing w:line="360" w:lineRule="auto"/>
      <w:ind w:firstLine="425"/>
      <w:textAlignment w:val="baseline"/>
    </w:pPr>
    <w:rPr>
      <w:rFonts w:ascii="Arial" w:hAnsi="Arial"/>
      <w:kern w:val="0"/>
      <w:sz w:val="24"/>
      <w:szCs w:val="24"/>
    </w:rPr>
  </w:style>
  <w:style w:type="paragraph" w:customStyle="1" w:styleId="96">
    <w:name w:val="Char Char Char Char Char2 Char Char Char Char"/>
    <w:basedOn w:val="1"/>
    <w:qFormat/>
    <w:uiPriority w:val="0"/>
    <w:pPr>
      <w:adjustRightInd w:val="0"/>
      <w:snapToGrid w:val="0"/>
      <w:spacing w:line="360" w:lineRule="auto"/>
      <w:ind w:firstLine="200" w:firstLineChars="200"/>
    </w:pPr>
    <w:rPr>
      <w:rFonts w:ascii="宋体" w:hAnsi="宋体" w:cs="宋体"/>
      <w:sz w:val="24"/>
      <w:szCs w:val="26"/>
    </w:rPr>
  </w:style>
  <w:style w:type="paragraph" w:customStyle="1" w:styleId="97">
    <w:name w:val="普通 (Web)"/>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98">
    <w:name w:val="l13"/>
    <w:basedOn w:val="1"/>
    <w:qFormat/>
    <w:uiPriority w:val="0"/>
    <w:pPr>
      <w:widowControl/>
      <w:spacing w:before="100" w:beforeAutospacing="1" w:after="100" w:afterAutospacing="1" w:line="312" w:lineRule="auto"/>
      <w:jc w:val="left"/>
    </w:pPr>
    <w:rPr>
      <w:rFonts w:ascii="宋体" w:hAnsi="宋体"/>
      <w:color w:val="000000"/>
      <w:kern w:val="0"/>
      <w:sz w:val="24"/>
      <w:szCs w:val="24"/>
    </w:rPr>
  </w:style>
  <w:style w:type="paragraph" w:customStyle="1" w:styleId="99">
    <w:name w:val="表格"/>
    <w:basedOn w:val="26"/>
    <w:next w:val="1"/>
    <w:link w:val="136"/>
    <w:qFormat/>
    <w:uiPriority w:val="0"/>
    <w:pPr>
      <w:ind w:left="0" w:firstLine="0" w:firstLineChars="0"/>
      <w:jc w:val="center"/>
    </w:pPr>
    <w:rPr>
      <w:sz w:val="21"/>
      <w:szCs w:val="22"/>
    </w:rPr>
  </w:style>
  <w:style w:type="paragraph" w:customStyle="1" w:styleId="100">
    <w:name w:val="组工"/>
    <w:basedOn w:val="17"/>
    <w:qFormat/>
    <w:uiPriority w:val="0"/>
    <w:pPr>
      <w:ind w:firstLine="630"/>
      <w:jc w:val="center"/>
    </w:pPr>
    <w:rPr>
      <w:rFonts w:cs="Times New Roman"/>
      <w:b/>
      <w:sz w:val="36"/>
      <w:szCs w:val="24"/>
    </w:rPr>
  </w:style>
  <w:style w:type="paragraph" w:customStyle="1" w:styleId="101">
    <w:name w:val="Char2 Char Char Char Char Char Char Char Char Char Char Char Char"/>
    <w:basedOn w:val="1"/>
    <w:qFormat/>
    <w:uiPriority w:val="0"/>
    <w:pPr>
      <w:spacing w:line="560" w:lineRule="exact"/>
      <w:ind w:firstLine="200" w:firstLineChars="200"/>
    </w:pPr>
    <w:rPr>
      <w:rFonts w:ascii="宋体" w:hAnsi="宋体" w:cs="宋体"/>
      <w:sz w:val="28"/>
      <w:szCs w:val="28"/>
    </w:rPr>
  </w:style>
  <w:style w:type="paragraph" w:customStyle="1" w:styleId="102">
    <w:name w:val="1正文"/>
    <w:basedOn w:val="1"/>
    <w:qFormat/>
    <w:uiPriority w:val="0"/>
    <w:pPr>
      <w:widowControl/>
      <w:spacing w:line="360" w:lineRule="auto"/>
      <w:ind w:firstLine="200" w:firstLineChars="200"/>
    </w:pPr>
    <w:rPr>
      <w:rFonts w:ascii="Calibri" w:hAnsi="Calibri"/>
      <w:kern w:val="0"/>
      <w:sz w:val="24"/>
      <w:szCs w:val="20"/>
      <w:lang w:val="en-GB"/>
    </w:rPr>
  </w:style>
  <w:style w:type="paragraph" w:customStyle="1" w:styleId="103">
    <w:name w:val="简单回函地址"/>
    <w:basedOn w:val="1"/>
    <w:qFormat/>
    <w:uiPriority w:val="0"/>
    <w:rPr>
      <w:szCs w:val="20"/>
    </w:rPr>
  </w:style>
  <w:style w:type="paragraph" w:customStyle="1" w:styleId="104">
    <w:name w:val="三级标题"/>
    <w:basedOn w:val="1"/>
    <w:next w:val="2"/>
    <w:qFormat/>
    <w:uiPriority w:val="0"/>
    <w:pPr>
      <w:adjustRightInd w:val="0"/>
      <w:snapToGrid w:val="0"/>
      <w:spacing w:line="360" w:lineRule="exact"/>
      <w:jc w:val="center"/>
    </w:pPr>
    <w:rPr>
      <w:bCs/>
      <w:sz w:val="24"/>
      <w:szCs w:val="20"/>
    </w:rPr>
  </w:style>
  <w:style w:type="paragraph" w:customStyle="1" w:styleId="105">
    <w:name w:val="默认段落字体 Para Char Char Char Char"/>
    <w:basedOn w:val="1"/>
    <w:qFormat/>
    <w:uiPriority w:val="0"/>
    <w:rPr>
      <w:sz w:val="24"/>
      <w:szCs w:val="24"/>
    </w:rPr>
  </w:style>
  <w:style w:type="paragraph" w:customStyle="1" w:styleId="106">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rPr>
  </w:style>
  <w:style w:type="paragraph" w:customStyle="1" w:styleId="107">
    <w:name w:val="已有表格"/>
    <w:basedOn w:val="1"/>
    <w:qFormat/>
    <w:uiPriority w:val="0"/>
    <w:pPr>
      <w:adjustRightInd w:val="0"/>
      <w:spacing w:before="40" w:after="40"/>
      <w:jc w:val="center"/>
      <w:textAlignment w:val="baseline"/>
    </w:pPr>
    <w:rPr>
      <w:b/>
      <w:kern w:val="0"/>
      <w:sz w:val="24"/>
      <w:szCs w:val="20"/>
    </w:rPr>
  </w:style>
  <w:style w:type="paragraph" w:customStyle="1" w:styleId="108">
    <w:name w:val="Char"/>
    <w:basedOn w:val="1"/>
    <w:qFormat/>
    <w:uiPriority w:val="0"/>
    <w:rPr>
      <w:sz w:val="28"/>
      <w:szCs w:val="20"/>
    </w:rPr>
  </w:style>
  <w:style w:type="paragraph" w:customStyle="1" w:styleId="109">
    <w:name w:val="正文1"/>
    <w:basedOn w:val="1"/>
    <w:qFormat/>
    <w:uiPriority w:val="0"/>
    <w:pPr>
      <w:adjustRightInd w:val="0"/>
    </w:pPr>
    <w:rPr>
      <w:rFonts w:eastAsia="楷体_GB2312"/>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样式 列表 2 + 华文仿宋 居中"/>
    <w:basedOn w:val="14"/>
    <w:qFormat/>
    <w:uiPriority w:val="0"/>
    <w:pPr>
      <w:ind w:left="0" w:leftChars="0" w:firstLine="0" w:firstLineChars="0"/>
      <w:jc w:val="center"/>
    </w:pPr>
    <w:rPr>
      <w:sz w:val="18"/>
      <w:szCs w:val="18"/>
    </w:rPr>
  </w:style>
  <w:style w:type="paragraph" w:customStyle="1" w:styleId="112">
    <w:name w:val="表头"/>
    <w:next w:val="1"/>
    <w:qFormat/>
    <w:uiPriority w:val="0"/>
    <w:pPr>
      <w:spacing w:line="360" w:lineRule="auto"/>
      <w:jc w:val="center"/>
    </w:pPr>
    <w:rPr>
      <w:rFonts w:ascii="Times New Roman" w:hAnsi="Times New Roman" w:eastAsia="黑体" w:cs="Times New Roman"/>
      <w:sz w:val="24"/>
      <w:szCs w:val="24"/>
      <w:lang w:val="en-US" w:eastAsia="zh-CN" w:bidi="ar-SA"/>
    </w:rPr>
  </w:style>
  <w:style w:type="paragraph" w:customStyle="1" w:styleId="113">
    <w:name w:val="Char Char Char1 Char Char Char Char Char Char Char Char Char Char Char Char Char Char Char Char"/>
    <w:basedOn w:val="1"/>
    <w:qFormat/>
    <w:uiPriority w:val="0"/>
  </w:style>
  <w:style w:type="paragraph" w:customStyle="1" w:styleId="114">
    <w:name w:val="p16"/>
    <w:basedOn w:val="1"/>
    <w:qFormat/>
    <w:uiPriority w:val="0"/>
    <w:rPr>
      <w:sz w:val="20"/>
    </w:rPr>
  </w:style>
  <w:style w:type="paragraph" w:customStyle="1" w:styleId="115">
    <w:name w:val="列出段落1"/>
    <w:basedOn w:val="1"/>
    <w:qFormat/>
    <w:uiPriority w:val="0"/>
    <w:pPr>
      <w:ind w:firstLine="420" w:firstLineChars="200"/>
    </w:pPr>
    <w:rPr>
      <w:szCs w:val="24"/>
    </w:rPr>
  </w:style>
  <w:style w:type="paragraph" w:customStyle="1" w:styleId="116">
    <w:name w:val="style4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17">
    <w:name w:val="正文4号"/>
    <w:qFormat/>
    <w:uiPriority w:val="0"/>
    <w:pPr>
      <w:widowControl w:val="0"/>
      <w:spacing w:line="360" w:lineRule="auto"/>
      <w:ind w:firstLine="200" w:firstLineChars="200"/>
      <w:jc w:val="both"/>
    </w:pPr>
    <w:rPr>
      <w:rFonts w:ascii="Times New Roman" w:hAnsi="Times New Roman" w:eastAsia="Times New Roman" w:cs="Times New Roman"/>
      <w:kern w:val="2"/>
      <w:sz w:val="24"/>
      <w:szCs w:val="24"/>
      <w:lang w:val="en-US" w:eastAsia="zh-CN" w:bidi="ar-SA"/>
    </w:rPr>
  </w:style>
  <w:style w:type="paragraph" w:customStyle="1" w:styleId="118">
    <w:name w:val="正文文本缩进 31"/>
    <w:basedOn w:val="1"/>
    <w:qFormat/>
    <w:uiPriority w:val="0"/>
    <w:pPr>
      <w:spacing w:after="120"/>
      <w:ind w:left="420" w:leftChars="200"/>
    </w:pPr>
    <w:rPr>
      <w:sz w:val="16"/>
      <w:szCs w:val="16"/>
    </w:rPr>
  </w:style>
  <w:style w:type="paragraph" w:customStyle="1" w:styleId="119">
    <w:name w:val="正文001"/>
    <w:basedOn w:val="1"/>
    <w:qFormat/>
    <w:uiPriority w:val="0"/>
    <w:pPr>
      <w:spacing w:before="60" w:line="420" w:lineRule="exact"/>
      <w:ind w:firstLine="482"/>
    </w:pPr>
    <w:rPr>
      <w:sz w:val="24"/>
      <w:szCs w:val="20"/>
    </w:rPr>
  </w:style>
  <w:style w:type="paragraph" w:customStyle="1" w:styleId="120">
    <w:name w:val="1.1.1"/>
    <w:basedOn w:val="1"/>
    <w:qFormat/>
    <w:uiPriority w:val="0"/>
    <w:rPr>
      <w:rFonts w:ascii="黑体"/>
      <w:sz w:val="24"/>
      <w:szCs w:val="24"/>
    </w:rPr>
  </w:style>
  <w:style w:type="paragraph" w:customStyle="1" w:styleId="121">
    <w:name w:val="4"/>
    <w:basedOn w:val="1"/>
    <w:next w:val="3"/>
    <w:qFormat/>
    <w:uiPriority w:val="0"/>
    <w:pPr>
      <w:spacing w:after="120"/>
      <w:ind w:left="420" w:leftChars="200"/>
    </w:pPr>
    <w:rPr>
      <w:szCs w:val="24"/>
    </w:rPr>
  </w:style>
  <w:style w:type="paragraph" w:customStyle="1" w:styleId="122">
    <w:name w:val="六表内容"/>
    <w:basedOn w:val="1"/>
    <w:qFormat/>
    <w:uiPriority w:val="0"/>
    <w:pPr>
      <w:widowControl/>
      <w:spacing w:line="340" w:lineRule="exact"/>
      <w:jc w:val="center"/>
    </w:pPr>
    <w:rPr>
      <w:kern w:val="0"/>
      <w:sz w:val="20"/>
    </w:rPr>
  </w:style>
  <w:style w:type="paragraph" w:customStyle="1" w:styleId="123">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124">
    <w:name w:val="纯文本1"/>
    <w:basedOn w:val="1"/>
    <w:qFormat/>
    <w:uiPriority w:val="0"/>
    <w:pPr>
      <w:adjustRightInd w:val="0"/>
      <w:jc w:val="center"/>
      <w:textAlignment w:val="baseline"/>
    </w:pPr>
    <w:rPr>
      <w:rFonts w:ascii="宋体" w:hAnsi="Courier New"/>
      <w:sz w:val="24"/>
      <w:szCs w:val="20"/>
    </w:rPr>
  </w:style>
  <w:style w:type="paragraph" w:customStyle="1" w:styleId="125">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26">
    <w:name w:val="l_text"/>
    <w:basedOn w:val="1"/>
    <w:qFormat/>
    <w:uiPriority w:val="0"/>
    <w:pPr>
      <w:widowControl/>
      <w:overflowPunct w:val="0"/>
      <w:autoSpaceDE w:val="0"/>
      <w:autoSpaceDN w:val="0"/>
      <w:adjustRightInd w:val="0"/>
      <w:spacing w:line="360" w:lineRule="auto"/>
      <w:ind w:firstLine="567"/>
      <w:textAlignment w:val="baseline"/>
    </w:pPr>
    <w:rPr>
      <w:kern w:val="0"/>
      <w:sz w:val="28"/>
      <w:szCs w:val="20"/>
      <w:lang w:val="en-GB"/>
    </w:rPr>
  </w:style>
  <w:style w:type="paragraph" w:customStyle="1" w:styleId="127">
    <w:name w:val="xl37"/>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b/>
      <w:bCs/>
      <w:kern w:val="0"/>
      <w:sz w:val="28"/>
      <w:szCs w:val="28"/>
    </w:rPr>
  </w:style>
  <w:style w:type="paragraph" w:customStyle="1" w:styleId="128">
    <w:name w:val="正文文本缩进 21"/>
    <w:basedOn w:val="1"/>
    <w:qFormat/>
    <w:uiPriority w:val="0"/>
    <w:pPr>
      <w:spacing w:line="360" w:lineRule="auto"/>
      <w:ind w:firstLine="560" w:firstLineChars="200"/>
    </w:pPr>
    <w:rPr>
      <w:sz w:val="28"/>
      <w:szCs w:val="20"/>
    </w:rPr>
  </w:style>
  <w:style w:type="paragraph" w:customStyle="1" w:styleId="129">
    <w:name w:val="标题03"/>
    <w:basedOn w:val="1"/>
    <w:next w:val="1"/>
    <w:qFormat/>
    <w:uiPriority w:val="0"/>
    <w:pPr>
      <w:spacing w:line="480" w:lineRule="atLeast"/>
      <w:ind w:firstLine="480" w:firstLineChars="200"/>
    </w:pPr>
    <w:rPr>
      <w:b/>
      <w:sz w:val="24"/>
      <w:szCs w:val="20"/>
    </w:rPr>
  </w:style>
  <w:style w:type="paragraph" w:customStyle="1" w:styleId="130">
    <w:name w:val="_Style 29"/>
    <w:basedOn w:val="1"/>
    <w:next w:val="1"/>
    <w:qFormat/>
    <w:uiPriority w:val="0"/>
    <w:pPr>
      <w:spacing w:line="360" w:lineRule="auto"/>
      <w:ind w:firstLine="200" w:firstLineChars="200"/>
    </w:pPr>
    <w:rPr>
      <w:rFonts w:ascii="宋体" w:hAnsi="宋体" w:cs="宋体"/>
      <w:sz w:val="24"/>
      <w:szCs w:val="24"/>
    </w:rPr>
  </w:style>
  <w:style w:type="paragraph" w:customStyle="1" w:styleId="131">
    <w:name w:val="Char Char Char"/>
    <w:basedOn w:val="1"/>
    <w:qFormat/>
    <w:uiPriority w:val="0"/>
    <w:rPr>
      <w:szCs w:val="24"/>
    </w:rPr>
  </w:style>
  <w:style w:type="paragraph" w:customStyle="1" w:styleId="132">
    <w:name w:val="Char Char Char Char Char Char Char Char Char Char Char"/>
    <w:qFormat/>
    <w:uiPriority w:val="0"/>
    <w:pPr>
      <w:widowControl w:val="0"/>
      <w:spacing w:line="30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3">
    <w:name w:val="表格3"/>
    <w:qFormat/>
    <w:uiPriority w:val="0"/>
    <w:pPr>
      <w:spacing w:line="240" w:lineRule="atLeast"/>
      <w:jc w:val="center"/>
    </w:pPr>
    <w:rPr>
      <w:rFonts w:ascii="Calibri" w:hAnsi="Calibri" w:eastAsia="宋体" w:cs="Times New Roman"/>
      <w:kern w:val="2"/>
      <w:sz w:val="21"/>
      <w:szCs w:val="21"/>
      <w:lang w:val="en-US" w:eastAsia="zh-CN" w:bidi="ar-SA"/>
    </w:rPr>
  </w:style>
  <w:style w:type="paragraph" w:customStyle="1" w:styleId="134">
    <w:name w:val="表内文"/>
    <w:basedOn w:val="1"/>
    <w:qFormat/>
    <w:uiPriority w:val="0"/>
    <w:pPr>
      <w:jc w:val="center"/>
    </w:pPr>
  </w:style>
  <w:style w:type="paragraph" w:customStyle="1" w:styleId="135">
    <w:name w:val="图表文字"/>
    <w:basedOn w:val="13"/>
    <w:qFormat/>
    <w:uiPriority w:val="0"/>
    <w:pPr>
      <w:spacing w:after="0"/>
      <w:jc w:val="center"/>
    </w:pPr>
    <w:rPr>
      <w:rFonts w:ascii="Times New Roman" w:hAnsi="Times New Roman" w:cs="Times New Roman"/>
      <w:snapToGrid w:val="0"/>
      <w:sz w:val="21"/>
    </w:rPr>
  </w:style>
  <w:style w:type="character" w:customStyle="1" w:styleId="136">
    <w:name w:val="表格 Char Char"/>
    <w:link w:val="99"/>
    <w:qFormat/>
    <w:uiPriority w:val="0"/>
    <w:rPr>
      <w:kern w:val="2"/>
      <w:sz w:val="21"/>
      <w:szCs w:val="22"/>
    </w:rPr>
  </w:style>
  <w:style w:type="paragraph" w:customStyle="1" w:styleId="137">
    <w:name w:val="正文-ls"/>
    <w:basedOn w:val="1"/>
    <w:qFormat/>
    <w:uiPriority w:val="0"/>
    <w:pPr>
      <w:spacing w:line="360" w:lineRule="auto"/>
      <w:ind w:firstLine="200" w:firstLineChars="200"/>
    </w:pPr>
    <w:rPr>
      <w:rFonts w:hAnsi="宋体" w:cs="宋体"/>
      <w:sz w:val="24"/>
      <w:szCs w:val="20"/>
    </w:rPr>
  </w:style>
  <w:style w:type="paragraph" w:customStyle="1" w:styleId="138">
    <w:name w:val="图表标题"/>
    <w:basedOn w:val="1"/>
    <w:qFormat/>
    <w:uiPriority w:val="0"/>
    <w:pPr>
      <w:spacing w:before="50" w:beforeLines="50" w:after="50" w:afterLines="50"/>
      <w:jc w:val="center"/>
    </w:pPr>
    <w:rPr>
      <w:rFonts w:eastAsia="黑体"/>
      <w:sz w:val="24"/>
      <w:szCs w:val="20"/>
    </w:rPr>
  </w:style>
  <w:style w:type="paragraph" w:customStyle="1" w:styleId="139">
    <w:name w:val="1_正文"/>
    <w:basedOn w:val="1"/>
    <w:qFormat/>
    <w:uiPriority w:val="0"/>
    <w:pPr>
      <w:adjustRightInd w:val="0"/>
      <w:snapToGrid w:val="0"/>
      <w:spacing w:line="360" w:lineRule="auto"/>
      <w:ind w:firstLine="480" w:firstLineChars="200"/>
    </w:pPr>
    <w:rPr>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2.png"/><Relationship Id="rId31" Type="http://schemas.openxmlformats.org/officeDocument/2006/relationships/image" Target="media/image11.png"/><Relationship Id="rId30" Type="http://schemas.openxmlformats.org/officeDocument/2006/relationships/image" Target="media/image10.png"/><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6.bin"/><Relationship Id="rId27" Type="http://schemas.openxmlformats.org/officeDocument/2006/relationships/image" Target="media/image8.wmf"/><Relationship Id="rId26" Type="http://schemas.openxmlformats.org/officeDocument/2006/relationships/oleObject" Target="embeddings/oleObject5.bin"/><Relationship Id="rId25" Type="http://schemas.openxmlformats.org/officeDocument/2006/relationships/image" Target="media/image7.wmf"/><Relationship Id="rId24" Type="http://schemas.openxmlformats.org/officeDocument/2006/relationships/oleObject" Target="embeddings/oleObject4.bin"/><Relationship Id="rId23" Type="http://schemas.openxmlformats.org/officeDocument/2006/relationships/image" Target="media/image6.wmf"/><Relationship Id="rId22" Type="http://schemas.openxmlformats.org/officeDocument/2006/relationships/oleObject" Target="embeddings/oleObject3.bin"/><Relationship Id="rId21" Type="http://schemas.openxmlformats.org/officeDocument/2006/relationships/image" Target="media/image5.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1.bin"/><Relationship Id="rId17" Type="http://schemas.openxmlformats.org/officeDocument/2006/relationships/image" Target="media/image3.png"/><Relationship Id="rId16" Type="http://schemas.openxmlformats.org/officeDocument/2006/relationships/image" Target="media/image1.tiff"/><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46</Pages>
  <Words>9625</Words>
  <Characters>54865</Characters>
  <Lines>457</Lines>
  <Paragraphs>128</Paragraphs>
  <TotalTime>386</TotalTime>
  <ScaleCrop>false</ScaleCrop>
  <LinksUpToDate>false</LinksUpToDate>
  <CharactersWithSpaces>64362</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2019-07-17T00:33:00Z</dcterms:created>
  <dc:creator>lhp</dc:creator>
  <cp:lastModifiedBy>燕燕</cp:lastModifiedBy>
  <cp:lastPrinted>2019-06-05T17:31:00Z</cp:lastPrinted>
  <dcterms:modified xsi:type="dcterms:W3CDTF">2020-03-23T00:44:07Z</dcterms:modified>
  <dc:title>《建设项目环境影响报告表》编制说明</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