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103" w:rightChars="50"/>
        <w:jc w:val="center"/>
        <w:rPr>
          <w:rFonts w:hint="eastAsia" w:ascii="方正小标宋简体" w:hAnsi="Times New Roman" w:eastAsia="方正小标宋简体"/>
          <w:bCs/>
          <w:sz w:val="44"/>
          <w:szCs w:val="44"/>
        </w:rPr>
      </w:pPr>
      <w:bookmarkStart w:id="0" w:name="_GoBack"/>
      <w:bookmarkEnd w:id="0"/>
      <w:r>
        <w:rPr>
          <w:rFonts w:hint="eastAsia" w:ascii="方正小标宋简体" w:hAnsi="Times New Roman" w:eastAsia="方正小标宋简体"/>
          <w:bCs/>
          <w:sz w:val="44"/>
          <w:szCs w:val="44"/>
        </w:rPr>
        <w:t>企业所得税核定征收管理办法（试行）</w:t>
      </w:r>
    </w:p>
    <w:p>
      <w:pPr>
        <w:spacing w:line="600" w:lineRule="exact"/>
        <w:ind w:right="103" w:rightChars="50" w:firstLine="600"/>
        <w:jc w:val="left"/>
        <w:rPr>
          <w:rFonts w:hint="eastAsia" w:ascii="方正小标宋简体" w:hAnsi="Times New Roman" w:eastAsia="方正小标宋简体"/>
          <w:bCs/>
          <w:sz w:val="44"/>
          <w:szCs w:val="44"/>
        </w:rPr>
      </w:pPr>
    </w:p>
    <w:p>
      <w:pPr>
        <w:tabs>
          <w:tab w:val="left" w:pos="240"/>
          <w:tab w:val="left" w:pos="480"/>
        </w:tabs>
        <w:spacing w:line="600" w:lineRule="exact"/>
        <w:ind w:right="103" w:rightChars="50" w:firstLine="632" w:firstLineChars="200"/>
        <w:rPr>
          <w:rFonts w:hint="eastAsia" w:ascii="仿宋_GB2312" w:hAnsi="Courier New" w:eastAsia="仿宋_GB2312"/>
          <w:bCs/>
          <w:color w:val="000000"/>
          <w:sz w:val="32"/>
          <w:szCs w:val="32"/>
        </w:rPr>
      </w:pPr>
      <w:r>
        <w:rPr>
          <w:rFonts w:ascii="仿宋_GB2312" w:hAnsi="Courier New" w:eastAsia="仿宋_GB2312"/>
          <w:b/>
          <w:bCs/>
          <w:color w:val="000000"/>
          <w:sz w:val="32"/>
          <w:szCs w:val="32"/>
        </w:rPr>
        <w:t>第一条</w:t>
      </w:r>
      <w:r>
        <w:rPr>
          <w:rFonts w:ascii="仿宋_GB2312" w:hAnsi="Courier New" w:eastAsia="仿宋_GB2312"/>
          <w:bCs/>
          <w:color w:val="000000"/>
          <w:sz w:val="32"/>
          <w:szCs w:val="32"/>
        </w:rPr>
        <w:t xml:space="preserve">  为了加强企业所得税征收管理，进一步规范企业所得税核定征收行为，保证国家税款及时、足额入库，</w:t>
      </w:r>
      <w:r>
        <w:rPr>
          <w:rFonts w:ascii="仿宋_GB2312" w:hAnsi="Courier New" w:eastAsia="仿宋_GB2312"/>
          <w:color w:val="000000"/>
          <w:sz w:val="32"/>
          <w:szCs w:val="32"/>
        </w:rPr>
        <w:t>维护纳税人合法权益，根据《中华人民共和国企业所得税法》及其实施条例、《中华人民共和</w:t>
      </w:r>
      <w:r>
        <w:rPr>
          <w:rFonts w:ascii="仿宋_GB2312" w:hAnsi="Courier New" w:eastAsia="仿宋_GB2312"/>
          <w:bCs/>
          <w:color w:val="000000"/>
          <w:sz w:val="32"/>
          <w:szCs w:val="32"/>
        </w:rPr>
        <w:t>国税收征收管理法》及其实施细则、《国家税务总局关于印发〈企业所得税核定征收办法（试行）〉的通知》（国税发〔2008〕30号）、《国家税务总局关于印发〈房地产开发经营业务企业所得税处理办法〉的通知》（国税发〔2009〕31号）、《国家税务总局关于企业所得税核定征收若干问题的通知》（国税函〔2009〕377号）、《国家税务总局关于企业所得税核定征收有关问题的公告》（国家税务总局公告2012年第27号）、</w:t>
      </w:r>
      <w:r>
        <w:rPr>
          <w:rFonts w:hint="eastAsia" w:ascii="仿宋_GB2312" w:hAnsi="Times New Roman" w:eastAsia="仿宋_GB2312"/>
          <w:color w:val="000000"/>
          <w:sz w:val="32"/>
          <w:szCs w:val="32"/>
        </w:rPr>
        <w:t>《国家税务总局关于贯彻落实扩大小型微利企业减半征收企业所得税范围有关问题的公告》（国家税务总局公告2015年第17号）</w:t>
      </w:r>
      <w:r>
        <w:rPr>
          <w:rFonts w:hint="eastAsia" w:ascii="仿宋_GB2312" w:hAnsi="Courier New" w:eastAsia="仿宋_GB2312"/>
          <w:bCs/>
          <w:color w:val="000000"/>
          <w:sz w:val="32"/>
          <w:szCs w:val="32"/>
        </w:rPr>
        <w:t>等</w:t>
      </w:r>
      <w:r>
        <w:rPr>
          <w:rFonts w:ascii="仿宋_GB2312" w:hAnsi="Courier New" w:eastAsia="仿宋_GB2312"/>
          <w:bCs/>
          <w:color w:val="000000"/>
          <w:sz w:val="32"/>
          <w:szCs w:val="32"/>
        </w:rPr>
        <w:t>有关规定，结合我省实际，特制定本办法。</w:t>
      </w:r>
    </w:p>
    <w:p>
      <w:pPr>
        <w:tabs>
          <w:tab w:val="left" w:pos="240"/>
          <w:tab w:val="left" w:pos="480"/>
        </w:tabs>
        <w:spacing w:line="600" w:lineRule="exact"/>
        <w:ind w:right="103" w:rightChars="50" w:firstLine="632" w:firstLineChars="200"/>
        <w:rPr>
          <w:rFonts w:ascii="仿宋_GB2312" w:hAnsi="Courier New" w:eastAsia="仿宋_GB2312"/>
          <w:bCs/>
          <w:color w:val="000000"/>
          <w:sz w:val="32"/>
          <w:szCs w:val="32"/>
        </w:rPr>
      </w:pPr>
      <w:r>
        <w:rPr>
          <w:rFonts w:ascii="仿宋_GB2312" w:hAnsi="Courier New" w:eastAsia="仿宋_GB2312"/>
          <w:b/>
          <w:bCs/>
          <w:color w:val="000000"/>
          <w:sz w:val="32"/>
          <w:szCs w:val="32"/>
        </w:rPr>
        <w:t>第二条</w:t>
      </w:r>
      <w:r>
        <w:rPr>
          <w:rFonts w:ascii="仿宋_GB2312" w:hAnsi="宋体" w:eastAsia="仿宋_GB2312" w:cs="宋体"/>
          <w:color w:val="000000"/>
          <w:sz w:val="32"/>
          <w:szCs w:val="32"/>
        </w:rPr>
        <w:t xml:space="preserve">  本办法适用于居民企业纳税人。</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Courier New" w:eastAsia="仿宋_GB2312"/>
          <w:b/>
          <w:bCs/>
          <w:color w:val="000000"/>
          <w:sz w:val="32"/>
          <w:szCs w:val="32"/>
        </w:rPr>
        <w:t xml:space="preserve">第三条 </w:t>
      </w:r>
      <w:r>
        <w:rPr>
          <w:rFonts w:hint="eastAsia" w:ascii="仿宋_GB2312" w:hAnsi="Times New Roman" w:eastAsia="仿宋_GB2312"/>
          <w:color w:val="000000"/>
          <w:sz w:val="32"/>
          <w:szCs w:val="32"/>
        </w:rPr>
        <w:t xml:space="preserve"> 核定征收适用范围。</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（一）纳税人具有下列情形之一的，核定征收企业所得税：</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1.依照法律、行政法规的规定可以不设置账簿的；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2.依照法律、行政法规的规定应当设置但未设置账薄的；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3.擅自销毁账簿或者拒不提供纳税资料的；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4.虽设置账簿，但账目混乱或者成本资料、收入凭证、费用凭证残缺不全，难以查账的；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5.发生纳税义务，未按照规定的期限办理纳税申报，经税务机关责令限期申报，逾期仍不申报的；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6.申报的计税依据明显偏低，又无正当理由的。</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（二）纳税人具有下列情形之一的，不得核定征收企业所得税:</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bCs/>
          <w:color w:val="000000"/>
          <w:sz w:val="32"/>
          <w:szCs w:val="32"/>
        </w:rPr>
        <w:t>1.享受《中华人民共和国企业所得税法》及</w:t>
      </w:r>
      <w:r>
        <w:rPr>
          <w:rFonts w:hint="eastAsia" w:ascii="仿宋_GB2312" w:hAnsi="Times New Roman" w:eastAsia="仿宋_GB2312"/>
          <w:color w:val="000000"/>
          <w:sz w:val="32"/>
          <w:szCs w:val="32"/>
        </w:rPr>
        <w:t xml:space="preserve">其实施条例和国务院规定的一项或几项企业所得税优惠政策的企业（不包括享受《中华人民共和国企业所得税法》第二十六条规定免税收入优惠政策的企业和符合规定条件的小型微利企业）； </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2.汇总纳税企业（视同独立纳税人计算并就地缴纳企业所得税的分支机构除外）；</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3.上市公司；</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4.</w:t>
      </w:r>
      <w:r>
        <w:rPr>
          <w:rFonts w:ascii="仿宋_GB2312" w:hAnsi="Times New Roman" w:eastAsia="仿宋_GB2312"/>
          <w:color w:val="000000"/>
          <w:sz w:val="32"/>
          <w:szCs w:val="32"/>
        </w:rPr>
        <w:t>银行、信用社、小额贷款公司、保险公司、证券公司、期货公司、信托投资公司、金融资产管理公司、</w:t>
      </w:r>
      <w:r>
        <w:fldChar w:fldCharType="begin"/>
      </w:r>
      <w:r>
        <w:instrText xml:space="preserve"> HYPERLINK "http://cpro.baidu.com/cpro/ui/uijs.php?adclass=0&amp;app_id=0&amp;c=news&amp;cf=1001&amp;ch=0&amp;di=128&amp;fv=0&amp;is_app=0&amp;jk=dfb8295472839bda&amp;k=%C8%DA%D7%CA%D7%E2%C1%DE&amp;k0=%C8%DA%D7%CA%D7%E2%C1%DE&amp;kdi0=0&amp;luki=2&amp;mcpm=0&amp;n=10&amp;p=baidu&amp;q=baidusiteerror_cpr&amp;rb=0&amp;rs=1&amp;seller_id=1&amp;sid=da9b83725429b8df&amp;ssp2=1&amp;stid=9&amp;t=tpclicked3_hc&amp;td=1954196&amp;tu=u1954196&amp;u=http%3A%2F%2Fwww%2Eshui5%2Ecn%2Farticle%2F13%2F24676%2Ehtml&amp;urlid=0" \t "_blank" </w:instrText>
      </w:r>
      <w:r>
        <w:fldChar w:fldCharType="separate"/>
      </w:r>
      <w:r>
        <w:rPr>
          <w:rFonts w:ascii="仿宋_GB2312" w:hAnsi="Times New Roman" w:eastAsia="仿宋_GB2312"/>
          <w:color w:val="000000"/>
          <w:sz w:val="32"/>
          <w:szCs w:val="32"/>
        </w:rPr>
        <w:t>融资租赁</w:t>
      </w:r>
      <w:r>
        <w:rPr>
          <w:rFonts w:ascii="仿宋_GB2312" w:hAnsi="Times New Roman" w:eastAsia="仿宋_GB2312"/>
          <w:color w:val="000000"/>
          <w:sz w:val="32"/>
          <w:szCs w:val="32"/>
        </w:rPr>
        <w:fldChar w:fldCharType="end"/>
      </w:r>
      <w:r>
        <w:rPr>
          <w:rFonts w:ascii="仿宋_GB2312" w:hAnsi="Times New Roman" w:eastAsia="仿宋_GB2312"/>
          <w:color w:val="000000"/>
          <w:sz w:val="32"/>
          <w:szCs w:val="32"/>
        </w:rPr>
        <w:t>公司、担保公司、财务公司、典当公司等金融企业</w:t>
      </w:r>
      <w:r>
        <w:rPr>
          <w:rFonts w:hint="eastAsia" w:ascii="仿宋_GB2312" w:hAnsi="Times New Roman" w:eastAsia="仿宋_GB2312"/>
          <w:color w:val="000000"/>
          <w:sz w:val="32"/>
          <w:szCs w:val="32"/>
        </w:rPr>
        <w:t>；</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5.</w:t>
      </w:r>
      <w:r>
        <w:rPr>
          <w:rFonts w:ascii="仿宋_GB2312" w:hAnsi="Times New Roman" w:eastAsia="仿宋_GB2312"/>
          <w:color w:val="000000"/>
          <w:sz w:val="32"/>
          <w:szCs w:val="32"/>
        </w:rPr>
        <w:t>会计、审计、资产评估、税务、房地产估价、土地估价、工程造价、律师、价格鉴证、公证机构、基层法律服务机构、专利代理、商标代理以及其他经济鉴证类社会中介机构</w:t>
      </w:r>
      <w:r>
        <w:rPr>
          <w:rFonts w:hint="eastAsia" w:ascii="仿宋_GB2312" w:hAnsi="Times New Roman" w:eastAsia="仿宋_GB2312"/>
          <w:color w:val="000000"/>
          <w:sz w:val="32"/>
          <w:szCs w:val="32"/>
        </w:rPr>
        <w:t xml:space="preserve">； </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6.专门从事股权（股票）投资业务的企业；</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7.从事房地产开发的企业；</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8.</w:t>
      </w:r>
      <w:r>
        <w:rPr>
          <w:rFonts w:hint="eastAsia"/>
          <w:sz w:val="24"/>
          <w:szCs w:val="24"/>
        </w:rPr>
        <w:t xml:space="preserve"> </w:t>
      </w:r>
      <w:r>
        <w:rPr>
          <w:rFonts w:hint="eastAsia" w:ascii="仿宋_GB2312" w:hAnsi="Times New Roman" w:eastAsia="仿宋_GB2312"/>
          <w:color w:val="000000"/>
          <w:sz w:val="32"/>
          <w:szCs w:val="32"/>
        </w:rPr>
        <w:t>一定规模以上的纳税人；</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9.</w:t>
      </w:r>
      <w:r>
        <w:rPr>
          <w:rFonts w:ascii="仿宋_GB2312" w:hAnsi="Times New Roman" w:eastAsia="仿宋_GB2312"/>
          <w:color w:val="000000"/>
          <w:sz w:val="32"/>
          <w:szCs w:val="32"/>
        </w:rPr>
        <w:t>国家税务总局规定的其他企业</w:t>
      </w:r>
      <w:r>
        <w:rPr>
          <w:rFonts w:hint="eastAsia" w:ascii="仿宋_GB2312" w:hAnsi="Times New Roman" w:eastAsia="仿宋_GB2312"/>
          <w:color w:val="000000"/>
          <w:sz w:val="32"/>
          <w:szCs w:val="32"/>
        </w:rPr>
        <w:t>。</w:t>
      </w:r>
    </w:p>
    <w:p>
      <w:pPr>
        <w:spacing w:line="600" w:lineRule="exact"/>
        <w:ind w:right="103" w:rightChars="50" w:firstLine="645"/>
        <w:rPr>
          <w:rFonts w:hint="eastAsia" w:ascii="仿宋_GB2312" w:hAnsi="Times New Roman" w:eastAsia="仿宋_GB2312"/>
          <w:color w:val="000000"/>
          <w:sz w:val="32"/>
          <w:szCs w:val="32"/>
        </w:rPr>
      </w:pPr>
      <w:r>
        <w:rPr>
          <w:rFonts w:hint="eastAsia" w:ascii="仿宋_GB2312" w:hAnsi="Courier New" w:eastAsia="仿宋_GB2312"/>
          <w:b/>
          <w:bCs/>
          <w:color w:val="000000"/>
          <w:sz w:val="32"/>
          <w:szCs w:val="32"/>
        </w:rPr>
        <w:t>第四条</w:t>
      </w:r>
      <w:r>
        <w:rPr>
          <w:rFonts w:hint="eastAsia" w:ascii="仿宋_GB2312" w:hAnsi="Times New Roman" w:eastAsia="仿宋_GB2312"/>
          <w:color w:val="000000"/>
          <w:sz w:val="32"/>
          <w:szCs w:val="32"/>
        </w:rPr>
        <w:t xml:space="preserve">  税务机关应积极督促核定征收企业所得税的纳税人建账建制，改善经营管理，引导纳税人向查账征收方式过渡。对符合查账征收条件的纳税人，要及时调整征收方式，实行查账征收。</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Courier New" w:eastAsia="仿宋_GB2312"/>
          <w:b/>
          <w:bCs/>
          <w:color w:val="000000"/>
          <w:sz w:val="32"/>
          <w:szCs w:val="32"/>
        </w:rPr>
        <w:t>第五条</w:t>
      </w:r>
      <w:r>
        <w:rPr>
          <w:rFonts w:hint="eastAsia" w:ascii="仿宋_GB2312" w:hAnsi="Times New Roman" w:eastAsia="仿宋_GB2312"/>
          <w:color w:val="000000"/>
          <w:sz w:val="32"/>
          <w:szCs w:val="32"/>
        </w:rPr>
        <w:t xml:space="preserve">  税务机关应根据纳税人具体情况，核定应税所得率或者核定应纳所得税额。</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（一）具有下列情形之一的，核定其应税所得率：</w:t>
      </w:r>
    </w:p>
    <w:p>
      <w:pPr>
        <w:spacing w:line="600" w:lineRule="exact"/>
        <w:ind w:right="103" w:rightChars="50" w:firstLine="57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1.能正确核算（查实）收入总额，但不能正确核算（查实）成本费用总额的；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2.能正确核算（查实）成本费用总额，但不能正确核算（查实）收入总额的；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3.通过合理方法，能计算和推定纳税人收入总额或成本费用总额的。</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纳税人不属于以上情形的，核定其应纳所得税额。</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（二）税务机关采用下列方法核定征收企业所得税：</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1.参照当地同类行业或者类似行业中经营规模和收入水平相近的纳税人的税负水平核定；</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 按照耗用的原材料、燃料、动力等推算或测算核定；</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 按照应税收入额或成本费用支出额定率核定；</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4. 按照其他合理方法核定。</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采用前款所列一种方法不足以正确核定应纳税所得额或应纳税额的，可以同时采用两种以上的方法核定。采用两种以上方法测算的应纳税额不一致时，可按测算的应纳税额从高核定。</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Courier New" w:eastAsia="仿宋_GB2312"/>
          <w:b/>
          <w:bCs/>
          <w:color w:val="000000"/>
          <w:sz w:val="32"/>
          <w:szCs w:val="32"/>
        </w:rPr>
        <w:t>第六条</w:t>
      </w:r>
      <w:r>
        <w:rPr>
          <w:rFonts w:hint="eastAsia" w:ascii="Times New Roman" w:hAnsi="Times New Roman" w:eastAsia="仿宋_GB2312"/>
          <w:color w:val="000000"/>
          <w:sz w:val="32"/>
          <w:szCs w:val="32"/>
        </w:rPr>
        <w:t xml:space="preserve">  </w:t>
      </w:r>
      <w:r>
        <w:rPr>
          <w:rFonts w:hint="eastAsia" w:ascii="仿宋_GB2312" w:hAnsi="Times New Roman" w:eastAsia="仿宋_GB2312"/>
          <w:color w:val="000000"/>
          <w:sz w:val="32"/>
          <w:szCs w:val="32"/>
        </w:rPr>
        <w:t>核定征收企业所得税税款的计算：</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采用应税所得率方式核定征收企业所得税的，应纳所得税额计算公式如下：</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（一）应纳所得税额=应纳税所得额×适用税率</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应纳税所得额=应税收入额×应税所得率</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或：应纳税所得额=成本（费用）支出额/（1-应税所得率）×应税所得率</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应税收入额=收入总额-不征税收入-免税收入</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（二）收入总额是指《中华人民共和国企业所得税法》、《中华人民共和国企业所得税实施条例》规定的收入总额，包括以货币形式和非货币形式从各种来源取得的收入。</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（三）应税所得率的确定和调整：</w:t>
      </w:r>
    </w:p>
    <w:p>
      <w:pPr>
        <w:spacing w:line="600" w:lineRule="exact"/>
        <w:ind w:right="103" w:rightChars="50" w:firstLine="617" w:firstLineChars="195"/>
        <w:rPr>
          <w:rFonts w:hint="eastAsia" w:ascii="仿宋_GB2312" w:hAnsi="Times New Roman" w:eastAsia="仿宋_GB2312"/>
          <w:b/>
          <w:color w:val="000000"/>
          <w:sz w:val="32"/>
          <w:szCs w:val="32"/>
          <w:shd w:val="pct10" w:color="auto" w:fill="FFFFFF"/>
        </w:rPr>
      </w:pPr>
      <w:r>
        <w:rPr>
          <w:rFonts w:hint="eastAsia" w:ascii="仿宋_GB2312" w:hAnsi="Times New Roman" w:eastAsia="仿宋_GB2312"/>
          <w:color w:val="000000"/>
          <w:sz w:val="32"/>
          <w:szCs w:val="32"/>
        </w:rPr>
        <w:t>1.结合我省地区经济情况、行业特点及企业规模，应税所得率按下表规定的标准确定（以下应税所得率仅适用于事前核定）：</w:t>
      </w:r>
    </w:p>
    <w:tbl>
      <w:tblPr>
        <w:tblStyle w:val="8"/>
        <w:tblW w:w="9300" w:type="dxa"/>
        <w:tblInd w:w="93" w:type="dxa"/>
        <w:tblLayout w:type="fixed"/>
        <w:tblCellMar>
          <w:top w:w="0" w:type="dxa"/>
          <w:left w:w="108" w:type="dxa"/>
          <w:bottom w:w="0" w:type="dxa"/>
          <w:right w:w="108" w:type="dxa"/>
        </w:tblCellMar>
      </w:tblPr>
      <w:tblGrid>
        <w:gridCol w:w="1480"/>
        <w:gridCol w:w="1920"/>
        <w:gridCol w:w="1120"/>
        <w:gridCol w:w="1960"/>
        <w:gridCol w:w="1380"/>
        <w:gridCol w:w="1440"/>
      </w:tblGrid>
      <w:tr>
        <w:tblPrEx>
          <w:tblLayout w:type="fixed"/>
          <w:tblCellMar>
            <w:top w:w="0" w:type="dxa"/>
            <w:left w:w="108" w:type="dxa"/>
            <w:bottom w:w="0" w:type="dxa"/>
            <w:right w:w="108" w:type="dxa"/>
          </w:tblCellMar>
        </w:tblPrEx>
        <w:trPr>
          <w:trHeight w:val="2250" w:hRule="atLeast"/>
        </w:trPr>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行业</w:t>
            </w:r>
          </w:p>
        </w:tc>
        <w:tc>
          <w:tcPr>
            <w:tcW w:w="192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上一年度收入总额（万元）</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西安市</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宝鸡市、咸阳市、铜川市、渭南市、韩城市、杨凌示范区、西咸新区</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榆林市、延安市</w:t>
            </w:r>
          </w:p>
        </w:tc>
        <w:tc>
          <w:tcPr>
            <w:tcW w:w="144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汉中市、安康市、商洛市、</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农、林、牧、渔业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3</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3</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3</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3</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制造业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0-1000（含）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1000以上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9</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6</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7</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批发和零售贸易业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4</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4</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4</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4</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7</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6</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5</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交通运输业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8</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7</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7</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7</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9</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建筑业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0-2000（含）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8</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2000以上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12</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11</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10</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10</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饮食业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10</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9</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8</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11</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10</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10</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9</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娱乐业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17</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16</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16</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15</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20</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19</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19</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17</w:t>
            </w:r>
          </w:p>
        </w:tc>
      </w:tr>
      <w:tr>
        <w:tblPrEx>
          <w:tblLayout w:type="fixed"/>
          <w:tblCellMar>
            <w:top w:w="0" w:type="dxa"/>
            <w:left w:w="108" w:type="dxa"/>
            <w:bottom w:w="0" w:type="dxa"/>
            <w:right w:w="108" w:type="dxa"/>
          </w:tblCellMar>
        </w:tblPrEx>
        <w:trPr>
          <w:trHeight w:val="390" w:hRule="atLeast"/>
        </w:trPr>
        <w:tc>
          <w:tcPr>
            <w:tcW w:w="14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其他行业</w:t>
            </w: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0-500（含）</w:t>
            </w:r>
          </w:p>
        </w:tc>
        <w:tc>
          <w:tcPr>
            <w:tcW w:w="112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12</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11</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11</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10</w:t>
            </w:r>
          </w:p>
        </w:tc>
      </w:tr>
      <w:tr>
        <w:tblPrEx>
          <w:tblLayout w:type="fixed"/>
          <w:tblCellMar>
            <w:top w:w="0" w:type="dxa"/>
            <w:left w:w="108" w:type="dxa"/>
            <w:bottom w:w="0" w:type="dxa"/>
            <w:right w:w="108" w:type="dxa"/>
          </w:tblCellMar>
        </w:tblPrEx>
        <w:trPr>
          <w:trHeight w:val="390" w:hRule="atLeast"/>
        </w:trPr>
        <w:tc>
          <w:tcPr>
            <w:tcW w:w="1480" w:type="dxa"/>
            <w:vMerge w:val="continue"/>
            <w:tcBorders>
              <w:top w:val="nil"/>
              <w:left w:val="single" w:color="auto" w:sz="4" w:space="0"/>
              <w:bottom w:val="single" w:color="auto" w:sz="4" w:space="0"/>
              <w:right w:val="single" w:color="auto" w:sz="4" w:space="0"/>
            </w:tcBorders>
            <w:vAlign w:val="center"/>
          </w:tcPr>
          <w:p>
            <w:pPr>
              <w:widowControl/>
              <w:spacing w:line="400" w:lineRule="exact"/>
              <w:jc w:val="left"/>
              <w:rPr>
                <w:rFonts w:hint="eastAsia" w:ascii="仿宋_GB2312" w:hAnsi="宋体" w:eastAsia="仿宋_GB2312" w:cs="宋体"/>
                <w:color w:val="000000"/>
                <w:kern w:val="0"/>
                <w:sz w:val="30"/>
                <w:szCs w:val="30"/>
              </w:rPr>
            </w:pPr>
          </w:p>
        </w:tc>
        <w:tc>
          <w:tcPr>
            <w:tcW w:w="1920" w:type="dxa"/>
            <w:tcBorders>
              <w:top w:val="nil"/>
              <w:left w:val="nil"/>
              <w:bottom w:val="single" w:color="auto" w:sz="4" w:space="0"/>
              <w:right w:val="single" w:color="auto" w:sz="4" w:space="0"/>
            </w:tcBorders>
            <w:shd w:val="clear" w:color="auto" w:fill="auto"/>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500以上</w:t>
            </w:r>
          </w:p>
        </w:tc>
        <w:tc>
          <w:tcPr>
            <w:tcW w:w="112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color w:val="000000"/>
                <w:kern w:val="0"/>
                <w:sz w:val="30"/>
                <w:szCs w:val="30"/>
              </w:rPr>
            </w:pPr>
            <w:r>
              <w:rPr>
                <w:rFonts w:hint="eastAsia" w:ascii="仿宋_GB2312" w:hAnsi="宋体" w:eastAsia="仿宋_GB2312" w:cs="宋体"/>
                <w:color w:val="000000"/>
                <w:kern w:val="0"/>
                <w:sz w:val="30"/>
                <w:szCs w:val="30"/>
              </w:rPr>
              <w:t>13</w:t>
            </w:r>
          </w:p>
        </w:tc>
        <w:tc>
          <w:tcPr>
            <w:tcW w:w="196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12</w:t>
            </w:r>
          </w:p>
        </w:tc>
        <w:tc>
          <w:tcPr>
            <w:tcW w:w="138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12</w:t>
            </w:r>
          </w:p>
        </w:tc>
        <w:tc>
          <w:tcPr>
            <w:tcW w:w="1440" w:type="dxa"/>
            <w:tcBorders>
              <w:top w:val="nil"/>
              <w:left w:val="nil"/>
              <w:bottom w:val="single" w:color="auto" w:sz="4" w:space="0"/>
              <w:right w:val="single" w:color="auto" w:sz="4" w:space="0"/>
            </w:tcBorders>
            <w:shd w:val="clear" w:color="auto" w:fill="auto"/>
            <w:noWrap/>
            <w:vAlign w:val="bottom"/>
          </w:tcPr>
          <w:p>
            <w:pPr>
              <w:widowControl/>
              <w:spacing w:line="40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11</w:t>
            </w:r>
          </w:p>
        </w:tc>
      </w:tr>
    </w:tbl>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企业经营多业的，无论其经营项目是否单独核算，均根据其主营项目确定适用的应税所得率。主营项目应为企业所有经营项目中，收入总额、成本（费用）支出额或者耗用原材料、燃料、动力数量所占比重最大的项目。</w:t>
      </w:r>
    </w:p>
    <w:p>
      <w:pPr>
        <w:spacing w:line="600" w:lineRule="exact"/>
        <w:ind w:right="103" w:rightChars="50" w:firstLine="632" w:firstLineChars="200"/>
        <w:rPr>
          <w:rFonts w:hint="eastAsia" w:ascii="仿宋_GB2312" w:hAnsi="Times New Roman" w:eastAsia="仿宋_GB2312"/>
          <w:color w:val="000000"/>
          <w:sz w:val="32"/>
          <w:szCs w:val="32"/>
        </w:rPr>
      </w:pPr>
      <w:r>
        <w:rPr>
          <w:rFonts w:hint="eastAsia" w:ascii="仿宋_GB2312" w:hAnsi="Courier New" w:eastAsia="仿宋_GB2312"/>
          <w:b/>
          <w:bCs/>
          <w:color w:val="000000"/>
          <w:sz w:val="32"/>
          <w:szCs w:val="32"/>
        </w:rPr>
        <w:t>第七条</w:t>
      </w:r>
      <w:r>
        <w:rPr>
          <w:rFonts w:hint="eastAsia" w:ascii="仿宋_GB2312" w:hAnsi="Times New Roman" w:eastAsia="仿宋_GB2312"/>
          <w:color w:val="000000"/>
          <w:sz w:val="32"/>
          <w:szCs w:val="32"/>
        </w:rPr>
        <w:t xml:space="preserve">  </w:t>
      </w:r>
      <w:r>
        <w:rPr>
          <w:rFonts w:ascii="仿宋_GB2312" w:hAnsi="Times New Roman" w:eastAsia="仿宋_GB2312"/>
          <w:color w:val="000000"/>
          <w:sz w:val="32"/>
          <w:szCs w:val="32"/>
        </w:rPr>
        <w:t>企业</w:t>
      </w:r>
      <w:r>
        <w:rPr>
          <w:rFonts w:hint="eastAsia" w:ascii="仿宋_GB2312" w:hAnsi="Times New Roman" w:eastAsia="仿宋_GB2312"/>
          <w:color w:val="000000"/>
          <w:sz w:val="32"/>
          <w:szCs w:val="32"/>
        </w:rPr>
        <w:t>征收方式发生变更的（由查账征收变为核定征收，或由核定征收变为查账征收的）应</w:t>
      </w:r>
      <w:r>
        <w:rPr>
          <w:rFonts w:ascii="仿宋_GB2312" w:hAnsi="Times New Roman" w:eastAsia="仿宋_GB2312"/>
          <w:color w:val="000000"/>
          <w:sz w:val="32"/>
          <w:szCs w:val="32"/>
        </w:rPr>
        <w:t>在</w:t>
      </w:r>
      <w:r>
        <w:rPr>
          <w:rFonts w:hint="eastAsia" w:ascii="仿宋_GB2312" w:hAnsi="Times New Roman" w:eastAsia="仿宋_GB2312"/>
          <w:color w:val="000000"/>
          <w:sz w:val="32"/>
          <w:szCs w:val="32"/>
        </w:rPr>
        <w:t>《企业所得税核定征收鉴定表》</w:t>
      </w:r>
      <w:r>
        <w:rPr>
          <w:rFonts w:ascii="仿宋_GB2312" w:hAnsi="Times New Roman" w:eastAsia="仿宋_GB2312"/>
          <w:color w:val="000000"/>
          <w:sz w:val="32"/>
          <w:szCs w:val="32"/>
        </w:rPr>
        <w:t>中注明变更原因。</w:t>
      </w:r>
      <w:r>
        <w:rPr>
          <w:rFonts w:hint="eastAsia" w:ascii="仿宋_GB2312" w:hAnsi="Times New Roman" w:eastAsia="仿宋_GB2312"/>
          <w:color w:val="000000"/>
          <w:sz w:val="32"/>
          <w:szCs w:val="32"/>
        </w:rPr>
        <w:t>《企业所得税核定征收鉴定表》一式三份，所得税管理部门一份；税源管理部门一份，作为纳税人征管档案；另一份送达纳税人执行。</w:t>
      </w:r>
    </w:p>
    <w:p>
      <w:pPr>
        <w:spacing w:line="600" w:lineRule="exact"/>
        <w:ind w:right="103" w:rightChars="50" w:firstLine="632" w:firstLineChars="200"/>
        <w:rPr>
          <w:rFonts w:hint="eastAsia" w:ascii="仿宋_GB2312" w:hAnsi="Times New Roman" w:eastAsia="仿宋_GB2312"/>
          <w:color w:val="000000"/>
          <w:sz w:val="32"/>
          <w:szCs w:val="32"/>
        </w:rPr>
      </w:pPr>
      <w:r>
        <w:rPr>
          <w:rFonts w:ascii="仿宋_GB2312" w:hAnsi="Courier New" w:eastAsia="仿宋_GB2312"/>
          <w:b/>
          <w:bCs/>
          <w:color w:val="000000"/>
          <w:sz w:val="32"/>
          <w:szCs w:val="32"/>
        </w:rPr>
        <w:t>第八条</w:t>
      </w:r>
      <w:r>
        <w:rPr>
          <w:rFonts w:ascii="仿宋_GB2312" w:hAnsi="Times New Roman" w:eastAsia="仿宋_GB2312"/>
          <w:color w:val="000000"/>
          <w:sz w:val="32"/>
          <w:szCs w:val="32"/>
        </w:rPr>
        <w:t xml:space="preserve">  </w:t>
      </w:r>
      <w:r>
        <w:rPr>
          <w:rFonts w:ascii="仿宋_GB2312" w:hAnsi="Times New Roman" w:eastAsia="仿宋_GB2312"/>
          <w:bCs/>
          <w:kern w:val="0"/>
          <w:sz w:val="32"/>
          <w:szCs w:val="20"/>
        </w:rPr>
        <w:t>各级国家税务局和地方税务局应密切配合，成立国地税联合核定征收企业所得税工作领导小组，领导小组办公室设在各级国税机</w:t>
      </w:r>
      <w:r>
        <w:rPr>
          <w:rFonts w:ascii="仿宋_GB2312" w:hAnsi="Times New Roman" w:eastAsia="仿宋_GB2312"/>
          <w:color w:val="000000"/>
          <w:sz w:val="32"/>
          <w:szCs w:val="32"/>
        </w:rPr>
        <w:t>关。领导小组负责指导辖区纳税人的企业所得税核定征收工作，确保分属国家税务局和地方税务局管辖，生产经营地点、经营规模、经营范围基本相同的纳税人，核定的应纳所得税额和应税所得率基本一致，确保核定征收工作的公正、公平。</w:t>
      </w:r>
    </w:p>
    <w:p>
      <w:pPr>
        <w:spacing w:line="600" w:lineRule="exact"/>
        <w:ind w:right="103" w:rightChars="50" w:firstLine="632" w:firstLineChars="200"/>
        <w:rPr>
          <w:rFonts w:ascii="仿宋_GB2312" w:hAnsi="Times New Roman" w:eastAsia="仿宋_GB2312"/>
          <w:color w:val="000000"/>
          <w:sz w:val="32"/>
          <w:szCs w:val="32"/>
        </w:rPr>
      </w:pPr>
      <w:r>
        <w:rPr>
          <w:rFonts w:ascii="仿宋_GB2312" w:hAnsi="Courier New" w:eastAsia="仿宋_GB2312"/>
          <w:b/>
          <w:bCs/>
          <w:color w:val="000000"/>
          <w:sz w:val="32"/>
          <w:szCs w:val="32"/>
        </w:rPr>
        <w:t>第九条</w:t>
      </w:r>
      <w:r>
        <w:rPr>
          <w:rFonts w:ascii="仿宋_GB2312" w:hAnsi="Times New Roman" w:eastAsia="仿宋_GB2312"/>
          <w:color w:val="000000"/>
          <w:sz w:val="32"/>
          <w:szCs w:val="32"/>
        </w:rPr>
        <w:t xml:space="preserve">  纳税人年度应纳税额或应税所得率一经核定，原则上在一个纳税年度内不得调整。纳税人的生产经营范围、主营业务发生重大变化，或者应纳税所得额或应纳税额增减变化达到20%的，应及时向税务机关申报调整已确定的应纳税额或应税所得率。</w:t>
      </w:r>
    </w:p>
    <w:p>
      <w:pPr>
        <w:spacing w:line="600" w:lineRule="exact"/>
        <w:ind w:right="103" w:rightChars="50" w:firstLine="632" w:firstLineChars="200"/>
        <w:rPr>
          <w:rFonts w:ascii="仿宋_GB2312" w:hAnsi="Times New Roman" w:eastAsia="仿宋_GB2312"/>
          <w:color w:val="000000"/>
          <w:sz w:val="32"/>
          <w:szCs w:val="32"/>
        </w:rPr>
      </w:pPr>
      <w:r>
        <w:rPr>
          <w:rFonts w:ascii="仿宋_GB2312" w:hAnsi="Courier New" w:eastAsia="仿宋_GB2312"/>
          <w:b/>
          <w:bCs/>
          <w:color w:val="000000"/>
          <w:sz w:val="32"/>
          <w:szCs w:val="32"/>
        </w:rPr>
        <w:t>第十条</w:t>
      </w:r>
      <w:r>
        <w:rPr>
          <w:rFonts w:ascii="仿宋_GB2312" w:hAnsi="Times New Roman" w:eastAsia="仿宋_GB2312"/>
          <w:color w:val="000000"/>
          <w:sz w:val="32"/>
          <w:szCs w:val="32"/>
        </w:rPr>
        <w:t xml:space="preserve">  主管税务机关应当分类逐户公示核定的应纳所得税额或应税所得率。主管税务机关应当按照便于纳税人及社会各界了解、监督的原则确定公示地点、方式。</w:t>
      </w:r>
    </w:p>
    <w:p>
      <w:pPr>
        <w:spacing w:line="600" w:lineRule="exact"/>
        <w:ind w:right="103" w:rightChars="50"/>
        <w:rPr>
          <w:rFonts w:ascii="仿宋_GB2312" w:hAnsi="Times New Roman" w:eastAsia="仿宋_GB2312"/>
          <w:bCs/>
          <w:color w:val="000000"/>
          <w:sz w:val="32"/>
          <w:szCs w:val="32"/>
        </w:rPr>
      </w:pPr>
      <w:r>
        <w:rPr>
          <w:rFonts w:hint="eastAsia" w:ascii="仿宋_GB2312" w:hAnsi="Times New Roman" w:eastAsia="仿宋_GB2312"/>
          <w:color w:val="000000"/>
          <w:sz w:val="32"/>
          <w:szCs w:val="32"/>
        </w:rPr>
        <w:t>　　</w:t>
      </w:r>
      <w:r>
        <w:rPr>
          <w:rFonts w:hint="eastAsia" w:ascii="仿宋_GB2312" w:hAnsi="Courier New" w:eastAsia="仿宋_GB2312"/>
          <w:b/>
          <w:bCs/>
          <w:color w:val="000000"/>
          <w:sz w:val="32"/>
          <w:szCs w:val="32"/>
        </w:rPr>
        <w:t>第十一条</w:t>
      </w:r>
      <w:r>
        <w:rPr>
          <w:rFonts w:hint="eastAsia" w:ascii="Times New Roman" w:hAnsi="Times New Roman" w:eastAsia="仿宋_GB2312"/>
          <w:color w:val="000000"/>
          <w:sz w:val="32"/>
          <w:szCs w:val="32"/>
        </w:rPr>
        <w:t xml:space="preserve">  税务</w:t>
      </w:r>
      <w:r>
        <w:rPr>
          <w:rFonts w:ascii="仿宋_GB2312" w:hAnsi="Times New Roman" w:eastAsia="仿宋_GB2312"/>
          <w:bCs/>
          <w:color w:val="000000"/>
          <w:sz w:val="32"/>
          <w:szCs w:val="32"/>
        </w:rPr>
        <w:t>机关在核定应纳税款和应税所得率过程中，对纳税人提供经营信息和相关涉税资料不真实，造成核定征收税款偏低的，或者采取核定应税所得率征收的，在纳税申报中隐瞒收入或实际发生的成本费用等，应按照《中华人民共和国税收征收管理法》及其实施细则的有关规定处理。</w:t>
      </w:r>
    </w:p>
    <w:p>
      <w:pPr>
        <w:spacing w:before="100" w:beforeAutospacing="1" w:after="100" w:afterAutospacing="1" w:line="560" w:lineRule="exact"/>
        <w:ind w:firstLine="632" w:firstLineChars="200"/>
        <w:jc w:val="left"/>
        <w:rPr>
          <w:rFonts w:ascii="仿宋_GB2312" w:hAnsi="Times New Roman" w:eastAsia="仿宋_GB2312"/>
          <w:bCs/>
          <w:color w:val="000000"/>
          <w:sz w:val="32"/>
          <w:szCs w:val="32"/>
        </w:rPr>
      </w:pPr>
      <w:r>
        <w:rPr>
          <w:rFonts w:ascii="仿宋_GB2312" w:hAnsi="Courier New" w:eastAsia="仿宋_GB2312"/>
          <w:b/>
          <w:bCs/>
          <w:color w:val="000000"/>
          <w:sz w:val="32"/>
          <w:szCs w:val="32"/>
        </w:rPr>
        <w:t>第十二条</w:t>
      </w:r>
      <w:r>
        <w:rPr>
          <w:rFonts w:ascii="仿宋_GB2312" w:hAnsi="Times New Roman" w:eastAsia="仿宋_GB2312"/>
          <w:bCs/>
          <w:color w:val="000000"/>
          <w:sz w:val="32"/>
          <w:szCs w:val="32"/>
        </w:rPr>
        <w:t xml:space="preserve">  本办法自2017年1月1日起执行。</w:t>
      </w:r>
    </w:p>
    <w:p>
      <w:pPr>
        <w:spacing w:line="560" w:lineRule="exact"/>
        <w:rPr>
          <w:rFonts w:ascii="Times New Roman" w:hAnsi="Times New Roman" w:eastAsia="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985" w:right="1474" w:bottom="1814" w:left="1588" w:header="567" w:footer="1134" w:gutter="0"/>
          <w:pgNumType w:start="1" w:chapSep="emDash"/>
          <w:cols w:space="425" w:num="1"/>
          <w:docGrid w:type="linesAndChars" w:linePitch="579" w:charSpace="-849"/>
        </w:sectPr>
      </w:pPr>
    </w:p>
    <w:p>
      <w:pPr>
        <w:spacing w:line="480" w:lineRule="exact"/>
        <w:ind w:right="103" w:rightChars="50"/>
        <w:jc w:val="center"/>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企业所得税核定征收鉴定表</w:t>
      </w:r>
    </w:p>
    <w:p>
      <w:pPr>
        <w:spacing w:line="480" w:lineRule="exact"/>
        <w:ind w:right="103" w:rightChars="50"/>
        <w:jc w:val="left"/>
        <w:rPr>
          <w:rFonts w:hint="eastAsia" w:ascii="Times New Roman" w:hAnsi="Times New Roman" w:eastAsia="仿宋_GB2312"/>
          <w:sz w:val="32"/>
          <w:szCs w:val="32"/>
        </w:rPr>
      </w:pPr>
    </w:p>
    <w:p>
      <w:pPr>
        <w:spacing w:line="480" w:lineRule="exact"/>
        <w:ind w:right="103" w:rightChars="50" w:firstLine="236" w:firstLineChars="100"/>
        <w:jc w:val="left"/>
        <w:rPr>
          <w:rFonts w:hint="eastAsia" w:ascii="宋体" w:hAnsi="宋体"/>
          <w:sz w:val="24"/>
          <w:szCs w:val="24"/>
        </w:rPr>
      </w:pPr>
      <w:r>
        <w:rPr>
          <w:rFonts w:hint="eastAsia" w:ascii="宋体" w:hAnsi="宋体"/>
          <w:sz w:val="24"/>
          <w:szCs w:val="24"/>
        </w:rPr>
        <w:t xml:space="preserve">申报所属年度：                  　　　　　　　　　　      金额单位：元  </w:t>
      </w:r>
    </w:p>
    <w:tbl>
      <w:tblPr>
        <w:tblStyle w:val="8"/>
        <w:tblW w:w="8962"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00"/>
        <w:gridCol w:w="968"/>
        <w:gridCol w:w="2512"/>
        <w:gridCol w:w="332"/>
        <w:gridCol w:w="772"/>
        <w:gridCol w:w="1276"/>
        <w:gridCol w:w="6"/>
        <w:gridCol w:w="18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纳税人名称（签章）</w:t>
            </w:r>
          </w:p>
        </w:tc>
        <w:tc>
          <w:tcPr>
            <w:tcW w:w="6794" w:type="dxa"/>
            <w:gridSpan w:val="6"/>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纳税人识别号</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ascii="宋体" w:hAnsi="宋体"/>
                <w:szCs w:val="21"/>
              </w:rPr>
            </w:pPr>
            <w:r>
              <w:rPr>
                <w:rFonts w:hint="eastAsia" w:ascii="宋体" w:hAnsi="宋体"/>
                <w:szCs w:val="21"/>
              </w:rPr>
              <w:t>联系电话</w:t>
            </w:r>
          </w:p>
        </w:tc>
        <w:tc>
          <w:tcPr>
            <w:tcW w:w="190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纳税人注册地址</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4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hint="eastAsia" w:ascii="宋体" w:hAnsi="宋体"/>
                <w:szCs w:val="21"/>
              </w:rPr>
            </w:pPr>
            <w:r>
              <w:rPr>
                <w:rFonts w:hint="eastAsia" w:ascii="宋体" w:hAnsi="宋体"/>
                <w:szCs w:val="21"/>
              </w:rPr>
              <w:t>邮政编码</w:t>
            </w:r>
          </w:p>
        </w:tc>
        <w:tc>
          <w:tcPr>
            <w:tcW w:w="190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经济性质</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ascii="宋体" w:hAnsi="宋体"/>
                <w:szCs w:val="21"/>
              </w:rPr>
            </w:pPr>
            <w:r>
              <w:rPr>
                <w:rFonts w:hint="eastAsia" w:ascii="宋体" w:hAnsi="宋体"/>
                <w:szCs w:val="21"/>
              </w:rPr>
              <w:t>经营范围</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hint="eastAsia" w:ascii="宋体" w:hAnsi="宋体"/>
                <w:szCs w:val="21"/>
              </w:rPr>
            </w:pPr>
            <w:r>
              <w:rPr>
                <w:rFonts w:hint="eastAsia" w:ascii="宋体" w:hAnsi="宋体"/>
                <w:szCs w:val="21"/>
              </w:rPr>
              <w:t>开户银行</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hint="eastAsia" w:ascii="宋体" w:hAnsi="宋体"/>
                <w:szCs w:val="21"/>
              </w:rPr>
            </w:pPr>
            <w:r>
              <w:rPr>
                <w:rFonts w:hint="eastAsia" w:ascii="宋体" w:hAnsi="宋体"/>
                <w:szCs w:val="21"/>
              </w:rPr>
              <w:t>行业类别</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账号</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ascii="宋体" w:hAnsi="宋体"/>
                <w:szCs w:val="21"/>
              </w:rPr>
            </w:pPr>
            <w:r>
              <w:rPr>
                <w:rFonts w:hint="eastAsia" w:ascii="宋体" w:hAnsi="宋体"/>
                <w:szCs w:val="21"/>
              </w:rPr>
              <w:t>主营业务项目</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上年收入总额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ascii="宋体" w:hAnsi="宋体"/>
                <w:szCs w:val="21"/>
              </w:rPr>
            </w:pPr>
            <w:r>
              <w:rPr>
                <w:rFonts w:hint="eastAsia" w:ascii="宋体" w:hAnsi="宋体"/>
                <w:szCs w:val="21"/>
              </w:rPr>
              <w:t>上年成本费用额</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上年企业所得税额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ascii="宋体" w:hAnsi="宋体"/>
                <w:szCs w:val="21"/>
              </w:rPr>
            </w:pPr>
            <w:r>
              <w:rPr>
                <w:rFonts w:hint="eastAsia" w:ascii="宋体" w:hAnsi="宋体"/>
                <w:szCs w:val="21"/>
              </w:rPr>
              <w:t>上年注册资本</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上年缴纳增值税额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ascii="宋体" w:hAnsi="宋体"/>
                <w:spacing w:val="-20"/>
                <w:szCs w:val="21"/>
              </w:rPr>
            </w:pPr>
            <w:r>
              <w:rPr>
                <w:rFonts w:hint="eastAsia" w:ascii="宋体" w:hAnsi="宋体"/>
                <w:spacing w:val="-20"/>
                <w:szCs w:val="21"/>
              </w:rPr>
              <w:t>上年固定资产总额</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hint="eastAsia" w:ascii="宋体" w:hAnsi="宋体"/>
                <w:szCs w:val="21"/>
              </w:rPr>
            </w:pPr>
            <w:r>
              <w:rPr>
                <w:rFonts w:hint="eastAsia" w:ascii="宋体" w:hAnsi="宋体"/>
                <w:szCs w:val="21"/>
              </w:rPr>
              <w:t>上年缴纳营业税额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hint="eastAsia" w:ascii="宋体" w:hAnsi="宋体"/>
                <w:spacing w:val="-20"/>
                <w:szCs w:val="21"/>
              </w:rPr>
            </w:pPr>
            <w:r>
              <w:rPr>
                <w:rFonts w:hint="eastAsia" w:ascii="宋体" w:hAnsi="宋体"/>
                <w:spacing w:val="-20"/>
                <w:szCs w:val="21"/>
              </w:rPr>
              <w:t>上年原材料耗用量（额）</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hint="eastAsia" w:ascii="宋体" w:hAnsi="宋体"/>
                <w:szCs w:val="21"/>
              </w:rPr>
            </w:pPr>
            <w:r>
              <w:rPr>
                <w:rFonts w:hint="eastAsia" w:ascii="宋体" w:hAnsi="宋体"/>
                <w:szCs w:val="21"/>
              </w:rPr>
              <w:t>上（本）年燃料、动力耗用量（额）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hint="eastAsia" w:ascii="宋体" w:hAnsi="宋体"/>
                <w:szCs w:val="21"/>
              </w:rPr>
            </w:pPr>
            <w:r>
              <w:rPr>
                <w:rFonts w:hint="eastAsia" w:ascii="宋体" w:hAnsi="宋体"/>
                <w:szCs w:val="21"/>
              </w:rPr>
              <w:t>上年职工人数</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hint="eastAsia" w:ascii="宋体" w:hAnsi="宋体"/>
                <w:spacing w:val="-20"/>
                <w:szCs w:val="21"/>
              </w:rPr>
            </w:pPr>
            <w:r>
              <w:rPr>
                <w:rFonts w:hint="eastAsia" w:ascii="宋体" w:hAnsi="宋体"/>
                <w:spacing w:val="-20"/>
                <w:szCs w:val="21"/>
              </w:rPr>
              <w:t>上年职工工资支出额</w:t>
            </w:r>
          </w:p>
        </w:tc>
        <w:tc>
          <w:tcPr>
            <w:tcW w:w="2844"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rPr>
                <w:rFonts w:hint="eastAsia" w:ascii="宋体" w:hAnsi="宋体"/>
                <w:szCs w:val="21"/>
              </w:rPr>
            </w:pPr>
            <w:r>
              <w:rPr>
                <w:rFonts w:hint="eastAsia" w:ascii="宋体" w:hAnsi="宋体"/>
                <w:szCs w:val="21"/>
              </w:rPr>
              <w:t>上年征收方式</w:t>
            </w: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项目</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纳税人自报情况</w:t>
            </w: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税务机关审核意见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ascii="宋体" w:hAnsi="宋体"/>
                <w:szCs w:val="21"/>
              </w:rPr>
            </w:pPr>
            <w:r>
              <w:rPr>
                <w:rFonts w:hint="eastAsia" w:ascii="宋体" w:hAnsi="宋体"/>
                <w:szCs w:val="21"/>
              </w:rPr>
              <w:t>账簿设置情况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jc w:val="center"/>
              <w:rPr>
                <w:rFonts w:ascii="宋体" w:hAnsi="宋体"/>
                <w:szCs w:val="21"/>
              </w:rPr>
            </w:pPr>
            <w:r>
              <w:rPr>
                <w:rFonts w:hint="eastAsia" w:ascii="宋体" w:hAnsi="宋体"/>
                <w:szCs w:val="21"/>
              </w:rPr>
              <w:t>账簿、凭证保存情况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jc w:val="center"/>
              <w:rPr>
                <w:rFonts w:ascii="宋体" w:hAnsi="宋体"/>
                <w:szCs w:val="21"/>
              </w:rPr>
            </w:pPr>
            <w:r>
              <w:rPr>
                <w:rFonts w:hint="eastAsia" w:ascii="宋体" w:hAnsi="宋体"/>
                <w:szCs w:val="21"/>
              </w:rPr>
              <w:t>收入核算情况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ascii="宋体" w:hAnsi="宋体"/>
                <w:szCs w:val="21"/>
              </w:rPr>
            </w:pPr>
            <w:r>
              <w:rPr>
                <w:rFonts w:hint="eastAsia" w:ascii="宋体" w:hAnsi="宋体"/>
                <w:szCs w:val="21"/>
              </w:rPr>
              <w:t>成本费用核算情况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ascii="宋体" w:hAnsi="宋体"/>
                <w:szCs w:val="21"/>
              </w:rPr>
            </w:pPr>
            <w:r>
              <w:rPr>
                <w:rFonts w:hint="eastAsia" w:ascii="宋体" w:hAnsi="宋体"/>
                <w:szCs w:val="21"/>
              </w:rPr>
              <w:t>履行纳税义务情况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tabs>
                <w:tab w:val="left" w:pos="1665"/>
              </w:tabs>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jc w:val="center"/>
              <w:rPr>
                <w:rFonts w:ascii="宋体" w:hAnsi="宋体"/>
                <w:szCs w:val="21"/>
              </w:rPr>
            </w:pPr>
            <w:r>
              <w:rPr>
                <w:rFonts w:hint="eastAsia" w:ascii="宋体" w:hAnsi="宋体"/>
                <w:szCs w:val="21"/>
              </w:rPr>
              <w:t>纳税申报情况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jc w:val="center"/>
              <w:rPr>
                <w:rFonts w:hint="eastAsia" w:ascii="宋体" w:hAnsi="宋体"/>
                <w:szCs w:val="21"/>
              </w:rPr>
            </w:pPr>
            <w:r>
              <w:rPr>
                <w:rFonts w:hint="eastAsia" w:ascii="宋体" w:hAnsi="宋体"/>
                <w:szCs w:val="21"/>
              </w:rPr>
              <w:t>征收方式发生</w:t>
            </w:r>
          </w:p>
          <w:p>
            <w:pPr>
              <w:spacing w:line="360" w:lineRule="exact"/>
              <w:ind w:right="103" w:rightChars="50"/>
              <w:jc w:val="center"/>
              <w:rPr>
                <w:rFonts w:hint="eastAsia" w:ascii="宋体" w:hAnsi="宋体"/>
                <w:szCs w:val="21"/>
              </w:rPr>
            </w:pPr>
            <w:r>
              <w:rPr>
                <w:rFonts w:hint="eastAsia" w:ascii="宋体" w:hAnsi="宋体"/>
                <w:szCs w:val="21"/>
              </w:rPr>
              <w:t>变更的原因</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2" w:hRule="atLeast"/>
        </w:trPr>
        <w:tc>
          <w:tcPr>
            <w:tcW w:w="216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ind w:left="412" w:right="103" w:rightChars="50"/>
              <w:jc w:val="center"/>
              <w:rPr>
                <w:rFonts w:hint="eastAsia" w:ascii="宋体" w:hAnsi="宋体"/>
                <w:szCs w:val="21"/>
              </w:rPr>
            </w:pPr>
            <w:r>
              <w:rPr>
                <w:rFonts w:hint="eastAsia" w:ascii="宋体" w:hAnsi="宋体"/>
                <w:szCs w:val="21"/>
              </w:rPr>
              <w:t>其他情况</w:t>
            </w:r>
          </w:p>
        </w:tc>
        <w:tc>
          <w:tcPr>
            <w:tcW w:w="3616"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c>
          <w:tcPr>
            <w:tcW w:w="3178"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412" w:leftChars="200" w:right="103" w:rightChar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587" w:hRule="atLeast"/>
        </w:trPr>
        <w:tc>
          <w:tcPr>
            <w:tcW w:w="1200" w:type="dxa"/>
            <w:tcBorders>
              <w:top w:val="single" w:color="auto" w:sz="4" w:space="0"/>
              <w:left w:val="single" w:color="auto" w:sz="4" w:space="0"/>
              <w:right w:val="single" w:color="auto" w:sz="4" w:space="0"/>
            </w:tcBorders>
            <w:vAlign w:val="center"/>
          </w:tcPr>
          <w:p>
            <w:pPr>
              <w:spacing w:line="360" w:lineRule="exact"/>
              <w:ind w:left="271" w:leftChars="132" w:right="103" w:rightChars="50"/>
              <w:jc w:val="center"/>
              <w:rPr>
                <w:rFonts w:hint="eastAsia" w:ascii="宋体" w:hAnsi="宋体"/>
                <w:szCs w:val="21"/>
              </w:rPr>
            </w:pPr>
            <w:r>
              <w:rPr>
                <w:rFonts w:hint="eastAsia" w:ascii="宋体" w:hAnsi="宋体"/>
                <w:szCs w:val="21"/>
              </w:rPr>
              <w:t>企业法人声明</w:t>
            </w:r>
          </w:p>
        </w:tc>
        <w:tc>
          <w:tcPr>
            <w:tcW w:w="7762" w:type="dxa"/>
            <w:gridSpan w:val="7"/>
            <w:tcBorders>
              <w:top w:val="single" w:color="auto" w:sz="4" w:space="0"/>
              <w:left w:val="single" w:color="auto" w:sz="4" w:space="0"/>
              <w:right w:val="single" w:color="auto" w:sz="4" w:space="0"/>
            </w:tcBorders>
            <w:vAlign w:val="center"/>
          </w:tcPr>
          <w:p>
            <w:pPr>
              <w:spacing w:line="360" w:lineRule="exact"/>
              <w:ind w:firstLine="403"/>
              <w:rPr>
                <w:rFonts w:hint="eastAsia" w:ascii="宋体" w:hAnsi="宋体"/>
                <w:szCs w:val="21"/>
              </w:rPr>
            </w:pPr>
            <w:r>
              <w:rPr>
                <w:rFonts w:hint="eastAsia" w:ascii="宋体" w:hAnsi="宋体"/>
                <w:szCs w:val="21"/>
              </w:rPr>
              <w:t>本人保证本企业提供的申请资料真实、完整，并承担因资料虚假而产生的法律责任。</w:t>
            </w:r>
          </w:p>
          <w:p>
            <w:pPr>
              <w:spacing w:line="360" w:lineRule="exact"/>
              <w:ind w:firstLine="404" w:firstLineChars="196"/>
              <w:jc w:val="center"/>
              <w:rPr>
                <w:rFonts w:hint="eastAsia" w:ascii="宋体" w:hAnsi="宋体"/>
                <w:szCs w:val="21"/>
              </w:rPr>
            </w:pPr>
          </w:p>
          <w:p>
            <w:pPr>
              <w:spacing w:line="360" w:lineRule="exact"/>
              <w:ind w:firstLine="404" w:firstLineChars="196"/>
              <w:jc w:val="center"/>
              <w:rPr>
                <w:rFonts w:hint="eastAsia" w:ascii="宋体" w:hAnsi="宋体"/>
                <w:szCs w:val="21"/>
              </w:rPr>
            </w:pPr>
          </w:p>
          <w:p>
            <w:pPr>
              <w:spacing w:line="360" w:lineRule="exact"/>
              <w:ind w:firstLine="404" w:firstLineChars="196"/>
              <w:jc w:val="center"/>
              <w:rPr>
                <w:rFonts w:hint="eastAsia" w:ascii="宋体" w:hAnsi="宋体"/>
                <w:szCs w:val="21"/>
              </w:rPr>
            </w:pPr>
            <w:r>
              <w:rPr>
                <w:rFonts w:hint="eastAsia" w:ascii="宋体" w:hAnsi="宋体"/>
                <w:szCs w:val="21"/>
              </w:rPr>
              <w:t>企业法人（负责人）签章：</w:t>
            </w:r>
          </w:p>
          <w:p>
            <w:pPr>
              <w:spacing w:line="360" w:lineRule="exact"/>
              <w:ind w:firstLine="404" w:firstLineChars="196"/>
              <w:jc w:val="center"/>
              <w:rPr>
                <w:rFonts w:ascii="宋体" w:hAnsi="宋体" w:cs="宋体"/>
                <w:b/>
                <w:szCs w:val="21"/>
              </w:rPr>
            </w:pPr>
            <w:r>
              <w:rPr>
                <w:rFonts w:hint="eastAsia" w:ascii="宋体" w:hAnsi="宋体" w:cs="Arial Unicode MS"/>
                <w:color w:val="000000"/>
                <w:szCs w:val="21"/>
              </w:rPr>
              <w:t>年</w:t>
            </w:r>
            <w:r>
              <w:rPr>
                <w:rFonts w:ascii="宋体" w:hAnsi="宋体" w:cs="Arial Unicode MS"/>
                <w:color w:val="000000"/>
                <w:szCs w:val="21"/>
              </w:rPr>
              <w:t xml:space="preserve">   </w:t>
            </w:r>
            <w:r>
              <w:rPr>
                <w:rFonts w:hint="eastAsia" w:ascii="宋体" w:hAnsi="宋体" w:cs="Arial Unicode MS"/>
                <w:color w:val="000000"/>
                <w:szCs w:val="21"/>
              </w:rPr>
              <w:t>月</w:t>
            </w:r>
            <w:r>
              <w:rPr>
                <w:rFonts w:ascii="宋体" w:hAnsi="宋体" w:cs="Arial Unicode MS"/>
                <w:color w:val="000000"/>
                <w:szCs w:val="21"/>
              </w:rPr>
              <w:t xml:space="preserve">   </w:t>
            </w:r>
            <w:r>
              <w:rPr>
                <w:rFonts w:hint="eastAsia" w:ascii="宋体" w:hAnsi="宋体" w:cs="Arial Unicode MS"/>
                <w:color w:val="000000"/>
                <w:szCs w:val="21"/>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17" w:hRule="atLeast"/>
        </w:trPr>
        <w:tc>
          <w:tcPr>
            <w:tcW w:w="1200" w:type="dxa"/>
            <w:tcBorders>
              <w:top w:val="single" w:color="auto" w:sz="4" w:space="0"/>
              <w:left w:val="single" w:color="auto" w:sz="4" w:space="0"/>
              <w:right w:val="single" w:color="auto" w:sz="4" w:space="0"/>
            </w:tcBorders>
            <w:vAlign w:val="center"/>
          </w:tcPr>
          <w:p>
            <w:pPr>
              <w:spacing w:line="360" w:lineRule="exact"/>
              <w:ind w:left="271" w:leftChars="132" w:right="103" w:rightChars="50"/>
              <w:jc w:val="center"/>
              <w:rPr>
                <w:rFonts w:hint="eastAsia" w:ascii="宋体" w:hAnsi="宋体"/>
                <w:bCs/>
                <w:szCs w:val="21"/>
              </w:rPr>
            </w:pPr>
            <w:r>
              <w:rPr>
                <w:rFonts w:hint="eastAsia" w:ascii="宋体" w:hAnsi="宋体"/>
                <w:bCs/>
                <w:szCs w:val="21"/>
              </w:rPr>
              <w:t>纳税人对征收方式的意见</w:t>
            </w:r>
          </w:p>
          <w:p>
            <w:pPr>
              <w:spacing w:line="360" w:lineRule="exact"/>
              <w:ind w:left="412" w:leftChars="200" w:right="103" w:rightChars="50"/>
              <w:jc w:val="center"/>
              <w:rPr>
                <w:rFonts w:hint="eastAsia" w:ascii="宋体" w:hAnsi="宋体"/>
                <w:bCs/>
                <w:szCs w:val="21"/>
              </w:rPr>
            </w:pPr>
          </w:p>
        </w:tc>
        <w:tc>
          <w:tcPr>
            <w:tcW w:w="7762" w:type="dxa"/>
            <w:gridSpan w:val="7"/>
            <w:tcBorders>
              <w:top w:val="single" w:color="auto" w:sz="4" w:space="0"/>
              <w:left w:val="single" w:color="auto" w:sz="4" w:space="0"/>
              <w:right w:val="single" w:color="auto" w:sz="4" w:space="0"/>
            </w:tcBorders>
            <w:vAlign w:val="center"/>
          </w:tcPr>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412" w:leftChars="200" w:right="103" w:rightChars="50"/>
              <w:jc w:val="center"/>
              <w:rPr>
                <w:rFonts w:hint="eastAsia" w:ascii="宋体" w:hAnsi="宋体"/>
                <w:szCs w:val="21"/>
              </w:rPr>
            </w:pPr>
          </w:p>
          <w:p>
            <w:pPr>
              <w:spacing w:line="360" w:lineRule="exact"/>
              <w:ind w:left="271" w:leftChars="132" w:right="103" w:rightChars="50" w:firstLine="2235" w:firstLineChars="1085"/>
              <w:jc w:val="center"/>
              <w:rPr>
                <w:rFonts w:hint="eastAsia" w:ascii="宋体" w:hAnsi="宋体"/>
                <w:szCs w:val="21"/>
              </w:rPr>
            </w:pPr>
            <w:r>
              <w:rPr>
                <w:rFonts w:hint="eastAsia" w:ascii="宋体" w:hAnsi="宋体"/>
                <w:szCs w:val="21"/>
              </w:rPr>
              <w:t>经办人（签章）：              （公章）</w:t>
            </w:r>
          </w:p>
          <w:p>
            <w:pPr>
              <w:spacing w:line="360" w:lineRule="exact"/>
              <w:ind w:left="412" w:leftChars="200" w:right="103" w:rightChars="50" w:firstLine="1913" w:firstLineChars="929"/>
              <w:jc w:val="center"/>
              <w:rPr>
                <w:rFonts w:hint="eastAsia"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81" w:hRule="atLeast"/>
        </w:trPr>
        <w:tc>
          <w:tcPr>
            <w:tcW w:w="468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hint="eastAsia" w:ascii="宋体" w:hAnsi="宋体"/>
                <w:szCs w:val="21"/>
              </w:rPr>
            </w:pPr>
            <w:r>
              <w:rPr>
                <w:rFonts w:hint="eastAsia" w:ascii="宋体" w:hAnsi="宋体"/>
                <w:szCs w:val="21"/>
              </w:rPr>
              <w:t>税源管理部门意见</w:t>
            </w:r>
          </w:p>
          <w:p>
            <w:pPr>
              <w:spacing w:line="360" w:lineRule="exact"/>
              <w:ind w:right="103" w:rightChars="50"/>
              <w:rPr>
                <w:rFonts w:hint="eastAsia" w:ascii="宋体" w:hAnsi="宋体"/>
                <w:szCs w:val="21"/>
              </w:rPr>
            </w:pPr>
          </w:p>
          <w:p>
            <w:pPr>
              <w:spacing w:line="360" w:lineRule="exact"/>
              <w:ind w:right="103" w:rightChars="50"/>
              <w:rPr>
                <w:rFonts w:ascii="宋体" w:hAnsi="宋体"/>
                <w:szCs w:val="21"/>
              </w:rPr>
            </w:pPr>
            <w:r>
              <w:rPr>
                <w:rFonts w:hint="eastAsia" w:ascii="宋体" w:hAnsi="宋体"/>
                <w:szCs w:val="21"/>
              </w:rPr>
              <w:t>税款属期：</w:t>
            </w:r>
          </w:p>
          <w:p>
            <w:pPr>
              <w:spacing w:line="360" w:lineRule="exact"/>
              <w:ind w:right="103" w:rightChars="50"/>
              <w:rPr>
                <w:rFonts w:ascii="宋体" w:hAnsi="宋体"/>
                <w:szCs w:val="21"/>
              </w:rPr>
            </w:pPr>
            <w:r>
              <w:rPr>
                <w:rFonts w:hint="eastAsia" w:ascii="宋体" w:hAnsi="宋体"/>
                <w:szCs w:val="21"/>
              </w:rPr>
              <w:t>核定企业征收方式：</w:t>
            </w:r>
          </w:p>
          <w:p>
            <w:pPr>
              <w:spacing w:line="360" w:lineRule="exact"/>
              <w:ind w:right="103" w:rightChars="50"/>
              <w:rPr>
                <w:rFonts w:ascii="宋体" w:hAnsi="宋体"/>
                <w:color w:val="000000"/>
                <w:szCs w:val="21"/>
              </w:rPr>
            </w:pPr>
            <w:r>
              <w:rPr>
                <w:rFonts w:hint="eastAsia" w:ascii="宋体" w:hAnsi="宋体"/>
                <w:color w:val="000000"/>
                <w:szCs w:val="21"/>
              </w:rPr>
              <w:t>定额征收口</w:t>
            </w:r>
            <w:r>
              <w:rPr>
                <w:rFonts w:ascii="宋体" w:hAnsi="宋体"/>
                <w:color w:val="000000"/>
                <w:szCs w:val="21"/>
              </w:rPr>
              <w:t xml:space="preserve">   </w:t>
            </w: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定率征收口</w:t>
            </w:r>
          </w:p>
          <w:p>
            <w:pPr>
              <w:spacing w:line="360" w:lineRule="exact"/>
              <w:ind w:right="103" w:rightChars="50"/>
              <w:rPr>
                <w:rFonts w:hint="eastAsia" w:ascii="宋体" w:hAnsi="宋体"/>
                <w:color w:val="000000"/>
                <w:szCs w:val="21"/>
              </w:rPr>
            </w:pPr>
            <w:r>
              <w:rPr>
                <w:rFonts w:hint="eastAsia" w:ascii="宋体" w:hAnsi="宋体"/>
                <w:color w:val="000000"/>
                <w:szCs w:val="21"/>
              </w:rPr>
              <w:t>核定所得税额或应税所得率：</w:t>
            </w:r>
          </w:p>
          <w:p>
            <w:pPr>
              <w:spacing w:line="360" w:lineRule="exact"/>
              <w:ind w:right="103" w:rightChars="50" w:firstLine="1854" w:firstLineChars="900"/>
              <w:jc w:val="center"/>
              <w:rPr>
                <w:rFonts w:hint="eastAsia" w:ascii="宋体" w:hAnsi="宋体"/>
                <w:color w:val="000000"/>
                <w:szCs w:val="21"/>
              </w:rPr>
            </w:pPr>
          </w:p>
          <w:p>
            <w:pPr>
              <w:spacing w:line="360" w:lineRule="exact"/>
              <w:ind w:right="103" w:rightChars="50" w:firstLine="1854" w:firstLineChars="900"/>
              <w:jc w:val="center"/>
              <w:rPr>
                <w:rFonts w:hint="eastAsia" w:ascii="宋体" w:hAnsi="宋体"/>
                <w:color w:val="000000"/>
                <w:szCs w:val="21"/>
              </w:rPr>
            </w:pPr>
          </w:p>
          <w:p>
            <w:pPr>
              <w:spacing w:line="360" w:lineRule="exact"/>
              <w:ind w:right="103" w:rightChars="50" w:firstLine="1854" w:firstLineChars="900"/>
              <w:jc w:val="center"/>
              <w:rPr>
                <w:rFonts w:hint="eastAsia" w:ascii="宋体" w:hAnsi="宋体"/>
                <w:color w:val="000000"/>
                <w:szCs w:val="21"/>
              </w:rPr>
            </w:pPr>
          </w:p>
          <w:p>
            <w:pPr>
              <w:spacing w:line="360" w:lineRule="exact"/>
              <w:ind w:right="103" w:rightChars="50" w:firstLine="1831" w:firstLineChars="889"/>
              <w:rPr>
                <w:rFonts w:hint="eastAsia" w:ascii="宋体" w:hAnsi="宋体"/>
                <w:color w:val="000000"/>
                <w:szCs w:val="21"/>
              </w:rPr>
            </w:pPr>
            <w:r>
              <w:rPr>
                <w:rFonts w:hint="eastAsia" w:ascii="宋体" w:hAnsi="宋体"/>
                <w:color w:val="000000"/>
                <w:szCs w:val="21"/>
              </w:rPr>
              <w:t>经办人：</w:t>
            </w:r>
          </w:p>
          <w:p>
            <w:pPr>
              <w:spacing w:line="360" w:lineRule="exact"/>
              <w:ind w:right="103" w:rightChars="50" w:firstLine="1831" w:firstLineChars="889"/>
              <w:rPr>
                <w:rFonts w:hint="eastAsia" w:ascii="宋体" w:hAnsi="宋体"/>
                <w:color w:val="000000"/>
                <w:szCs w:val="21"/>
              </w:rPr>
            </w:pPr>
            <w:r>
              <w:rPr>
                <w:rFonts w:hint="eastAsia" w:ascii="宋体" w:hAnsi="宋体"/>
                <w:color w:val="000000"/>
                <w:szCs w:val="21"/>
              </w:rPr>
              <w:t>负责人：</w:t>
            </w:r>
          </w:p>
          <w:p>
            <w:pPr>
              <w:spacing w:line="360" w:lineRule="exact"/>
              <w:ind w:left="2114" w:right="103" w:rightChars="50" w:hanging="2115" w:hangingChars="1027"/>
              <w:jc w:val="center"/>
              <w:rPr>
                <w:rFonts w:hint="eastAsia" w:ascii="宋体" w:hAnsi="宋体"/>
                <w:szCs w:val="21"/>
              </w:rPr>
            </w:pPr>
            <w:r>
              <w:rPr>
                <w:rFonts w:hint="eastAsia" w:ascii="宋体" w:hAnsi="宋体" w:cs="Arial Unicode MS"/>
                <w:color w:val="000000"/>
                <w:szCs w:val="21"/>
              </w:rPr>
              <w:t>年</w:t>
            </w:r>
            <w:r>
              <w:rPr>
                <w:rFonts w:ascii="宋体" w:hAnsi="宋体" w:cs="Arial Unicode MS"/>
                <w:color w:val="000000"/>
                <w:szCs w:val="21"/>
              </w:rPr>
              <w:t xml:space="preserve">   </w:t>
            </w:r>
            <w:r>
              <w:rPr>
                <w:rFonts w:hint="eastAsia" w:ascii="宋体" w:hAnsi="宋体" w:cs="Arial Unicode MS"/>
                <w:color w:val="000000"/>
                <w:szCs w:val="21"/>
              </w:rPr>
              <w:t>月</w:t>
            </w:r>
            <w:r>
              <w:rPr>
                <w:rFonts w:ascii="宋体" w:hAnsi="宋体" w:cs="Arial Unicode MS"/>
                <w:color w:val="000000"/>
                <w:szCs w:val="21"/>
              </w:rPr>
              <w:t xml:space="preserve">   </w:t>
            </w:r>
            <w:r>
              <w:rPr>
                <w:rFonts w:hint="eastAsia" w:ascii="宋体" w:hAnsi="宋体" w:cs="Arial Unicode MS"/>
                <w:color w:val="000000"/>
                <w:szCs w:val="21"/>
              </w:rPr>
              <w:t>日</w:t>
            </w:r>
          </w:p>
        </w:tc>
        <w:tc>
          <w:tcPr>
            <w:tcW w:w="428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ind w:right="103" w:rightChars="50"/>
              <w:rPr>
                <w:rFonts w:hint="eastAsia" w:ascii="宋体" w:hAnsi="宋体"/>
                <w:bCs/>
                <w:color w:val="000000"/>
                <w:szCs w:val="21"/>
              </w:rPr>
            </w:pPr>
            <w:r>
              <w:rPr>
                <w:rFonts w:hint="eastAsia" w:ascii="宋体" w:hAnsi="宋体"/>
                <w:bCs/>
                <w:color w:val="000000"/>
                <w:szCs w:val="21"/>
              </w:rPr>
              <w:t>主管县（区）税务机关意见</w:t>
            </w:r>
          </w:p>
          <w:p>
            <w:pPr>
              <w:spacing w:line="360" w:lineRule="exact"/>
              <w:ind w:right="103" w:rightChars="50"/>
              <w:rPr>
                <w:rFonts w:ascii="宋体" w:hAnsi="宋体"/>
                <w:color w:val="000000"/>
                <w:szCs w:val="21"/>
              </w:rPr>
            </w:pPr>
          </w:p>
          <w:p>
            <w:pPr>
              <w:spacing w:line="360" w:lineRule="exact"/>
              <w:ind w:right="103" w:rightChars="50"/>
              <w:rPr>
                <w:rFonts w:hint="eastAsia" w:ascii="宋体" w:hAnsi="宋体"/>
                <w:szCs w:val="21"/>
              </w:rPr>
            </w:pPr>
            <w:r>
              <w:rPr>
                <w:rFonts w:hint="eastAsia" w:ascii="宋体" w:hAnsi="宋体"/>
                <w:szCs w:val="21"/>
              </w:rPr>
              <w:t>税款属期：</w:t>
            </w:r>
          </w:p>
          <w:p>
            <w:pPr>
              <w:spacing w:line="360" w:lineRule="exact"/>
              <w:ind w:right="103" w:rightChars="50"/>
              <w:rPr>
                <w:rFonts w:ascii="宋体" w:hAnsi="宋体"/>
                <w:szCs w:val="21"/>
              </w:rPr>
            </w:pPr>
            <w:r>
              <w:rPr>
                <w:rFonts w:hint="eastAsia" w:ascii="宋体" w:hAnsi="宋体"/>
                <w:szCs w:val="21"/>
              </w:rPr>
              <w:t>核定企业征收方式：</w:t>
            </w:r>
          </w:p>
          <w:p>
            <w:pPr>
              <w:spacing w:line="360" w:lineRule="exact"/>
              <w:ind w:right="103" w:rightChars="50"/>
              <w:rPr>
                <w:rFonts w:ascii="宋体" w:hAnsi="宋体"/>
                <w:color w:val="000000"/>
                <w:szCs w:val="21"/>
              </w:rPr>
            </w:pPr>
            <w:r>
              <w:rPr>
                <w:rFonts w:hint="eastAsia" w:ascii="宋体" w:hAnsi="宋体"/>
                <w:color w:val="000000"/>
                <w:szCs w:val="21"/>
              </w:rPr>
              <w:t>定额征收口</w:t>
            </w:r>
            <w:r>
              <w:rPr>
                <w:rFonts w:ascii="宋体" w:hAnsi="宋体"/>
                <w:color w:val="000000"/>
                <w:szCs w:val="21"/>
              </w:rPr>
              <w:t xml:space="preserve">  </w:t>
            </w: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定率征收口</w:t>
            </w:r>
          </w:p>
          <w:p>
            <w:pPr>
              <w:spacing w:line="360" w:lineRule="exact"/>
              <w:ind w:right="103" w:rightChars="50"/>
              <w:rPr>
                <w:rFonts w:ascii="宋体" w:hAnsi="宋体"/>
                <w:szCs w:val="21"/>
              </w:rPr>
            </w:pPr>
            <w:r>
              <w:rPr>
                <w:rFonts w:hint="eastAsia" w:ascii="宋体" w:hAnsi="宋体"/>
                <w:szCs w:val="21"/>
              </w:rPr>
              <w:t>核定所得税额或应税所得率：</w:t>
            </w:r>
          </w:p>
          <w:p>
            <w:pPr>
              <w:spacing w:line="360" w:lineRule="exact"/>
              <w:ind w:right="103" w:rightChars="50" w:firstLine="1957" w:firstLineChars="950"/>
              <w:jc w:val="center"/>
              <w:rPr>
                <w:rFonts w:hint="eastAsia" w:ascii="宋体" w:hAnsi="宋体"/>
                <w:color w:val="000000"/>
                <w:szCs w:val="21"/>
              </w:rPr>
            </w:pPr>
          </w:p>
          <w:p>
            <w:pPr>
              <w:spacing w:line="360" w:lineRule="exact"/>
              <w:ind w:right="103" w:rightChars="50" w:firstLine="1957" w:firstLineChars="950"/>
              <w:jc w:val="center"/>
              <w:rPr>
                <w:rFonts w:hint="eastAsia" w:ascii="宋体" w:hAnsi="宋体"/>
                <w:color w:val="000000"/>
                <w:szCs w:val="21"/>
              </w:rPr>
            </w:pPr>
          </w:p>
          <w:p>
            <w:pPr>
              <w:spacing w:line="360" w:lineRule="exact"/>
              <w:ind w:right="103" w:rightChars="50" w:firstLine="1957" w:firstLineChars="950"/>
              <w:jc w:val="center"/>
              <w:rPr>
                <w:rFonts w:hint="eastAsia" w:ascii="宋体" w:hAnsi="宋体"/>
                <w:color w:val="000000"/>
                <w:szCs w:val="21"/>
              </w:rPr>
            </w:pPr>
          </w:p>
          <w:p>
            <w:pPr>
              <w:spacing w:line="360" w:lineRule="exact"/>
              <w:ind w:right="103" w:rightChars="50" w:firstLine="1932" w:firstLineChars="938"/>
              <w:rPr>
                <w:rFonts w:hint="eastAsia" w:ascii="宋体" w:hAnsi="宋体" w:cs="Arial Unicode MS"/>
                <w:color w:val="000000"/>
                <w:szCs w:val="21"/>
              </w:rPr>
            </w:pPr>
            <w:r>
              <w:rPr>
                <w:rFonts w:hint="eastAsia" w:ascii="宋体" w:hAnsi="宋体"/>
                <w:color w:val="000000"/>
                <w:szCs w:val="21"/>
              </w:rPr>
              <w:t>经办人：</w:t>
            </w:r>
          </w:p>
          <w:p>
            <w:pPr>
              <w:spacing w:line="360" w:lineRule="exact"/>
              <w:ind w:right="103" w:rightChars="50"/>
              <w:jc w:val="center"/>
              <w:rPr>
                <w:rFonts w:hint="eastAsia" w:ascii="宋体" w:hAnsi="宋体"/>
                <w:color w:val="000000"/>
                <w:szCs w:val="21"/>
              </w:rPr>
            </w:pPr>
            <w:r>
              <w:rPr>
                <w:rFonts w:hint="eastAsia" w:ascii="宋体" w:hAnsi="宋体"/>
                <w:color w:val="000000"/>
                <w:szCs w:val="21"/>
              </w:rPr>
              <w:t xml:space="preserve">      负责人：</w:t>
            </w:r>
          </w:p>
          <w:p>
            <w:pPr>
              <w:spacing w:line="360" w:lineRule="exact"/>
              <w:ind w:right="103" w:rightChars="50"/>
              <w:jc w:val="center"/>
              <w:rPr>
                <w:rFonts w:hint="eastAsia" w:ascii="宋体" w:hAnsi="宋体" w:cs="Arial Unicode MS"/>
                <w:color w:val="000000"/>
                <w:szCs w:val="21"/>
              </w:rPr>
            </w:pPr>
            <w:r>
              <w:rPr>
                <w:rFonts w:hint="eastAsia" w:ascii="宋体" w:hAnsi="宋体" w:cs="Arial Unicode MS"/>
                <w:color w:val="000000"/>
                <w:szCs w:val="21"/>
              </w:rPr>
              <w:t>税务机关（公章）</w:t>
            </w:r>
          </w:p>
          <w:p>
            <w:pPr>
              <w:spacing w:line="360" w:lineRule="exact"/>
              <w:ind w:left="271" w:leftChars="132" w:right="103" w:rightChars="50"/>
              <w:jc w:val="center"/>
              <w:rPr>
                <w:rFonts w:ascii="宋体" w:hAnsi="宋体"/>
                <w:szCs w:val="21"/>
              </w:rPr>
            </w:pPr>
            <w:r>
              <w:rPr>
                <w:rFonts w:hint="eastAsia" w:ascii="宋体" w:hAnsi="宋体" w:cs="Arial Unicode MS"/>
                <w:color w:val="000000"/>
                <w:szCs w:val="21"/>
              </w:rPr>
              <w:t>年</w:t>
            </w:r>
            <w:r>
              <w:rPr>
                <w:rFonts w:ascii="宋体" w:hAnsi="宋体" w:cs="Arial Unicode MS"/>
                <w:color w:val="000000"/>
                <w:szCs w:val="21"/>
              </w:rPr>
              <w:t xml:space="preserve">   </w:t>
            </w:r>
            <w:r>
              <w:rPr>
                <w:rFonts w:hint="eastAsia" w:ascii="宋体" w:hAnsi="宋体" w:cs="Arial Unicode MS"/>
                <w:color w:val="000000"/>
                <w:szCs w:val="21"/>
              </w:rPr>
              <w:t>月</w:t>
            </w:r>
            <w:r>
              <w:rPr>
                <w:rFonts w:ascii="宋体" w:hAnsi="宋体" w:cs="Arial Unicode MS"/>
                <w:color w:val="000000"/>
                <w:szCs w:val="21"/>
              </w:rPr>
              <w:t xml:space="preserve">   </w:t>
            </w:r>
            <w:r>
              <w:rPr>
                <w:rFonts w:hint="eastAsia" w:ascii="宋体" w:hAnsi="宋体" w:cs="Arial Unicode MS"/>
                <w:color w:val="000000"/>
                <w:szCs w:val="21"/>
              </w:rPr>
              <w:t>日</w:t>
            </w:r>
          </w:p>
        </w:tc>
      </w:tr>
    </w:tbl>
    <w:p>
      <w:pPr>
        <w:rPr>
          <w:rFonts w:hint="eastAsia"/>
        </w:rPr>
      </w:pPr>
    </w:p>
    <w:p/>
    <w:sectPr>
      <w:pgSz w:w="11906" w:h="16838"/>
      <w:pgMar w:top="1701" w:right="1474" w:bottom="1588" w:left="1588" w:header="567" w:footer="1134" w:gutter="0"/>
      <w:pgNumType w:start="1" w:chapSep="emDash"/>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066" w:wrap="around" w:vAnchor="text" w:hAnchor="page" w:x="9331" w:y="-2"/>
      <w:rPr>
        <w:rStyle w:val="10"/>
        <w:rFonts w:hint="eastAsia"/>
        <w:sz w:val="28"/>
        <w:szCs w:val="28"/>
      </w:rPr>
    </w:pPr>
    <w:r>
      <w:rPr>
        <w:rStyle w:val="10"/>
        <w:rFonts w:hint="eastAsia"/>
        <w:sz w:val="28"/>
        <w:szCs w:val="28"/>
      </w:rPr>
      <w:t>—</w:t>
    </w:r>
    <w:r>
      <w:rPr>
        <w:rStyle w:val="10"/>
        <w:rFonts w:ascii="宋体" w:hAnsi="宋体" w:eastAsia="宋体"/>
        <w:sz w:val="28"/>
        <w:szCs w:val="28"/>
      </w:rPr>
      <w:fldChar w:fldCharType="begin"/>
    </w:r>
    <w:r>
      <w:rPr>
        <w:rStyle w:val="10"/>
        <w:rFonts w:ascii="宋体" w:hAnsi="宋体" w:eastAsia="宋体"/>
        <w:sz w:val="28"/>
        <w:szCs w:val="28"/>
      </w:rPr>
      <w:instrText xml:space="preserve">PAGE  </w:instrText>
    </w:r>
    <w:r>
      <w:rPr>
        <w:rStyle w:val="10"/>
        <w:rFonts w:ascii="宋体" w:hAnsi="宋体" w:eastAsia="宋体"/>
        <w:sz w:val="28"/>
        <w:szCs w:val="28"/>
      </w:rPr>
      <w:fldChar w:fldCharType="separate"/>
    </w:r>
    <w:r>
      <w:rPr>
        <w:rStyle w:val="10"/>
        <w:rFonts w:ascii="宋体" w:hAnsi="宋体" w:eastAsia="宋体"/>
        <w:sz w:val="28"/>
        <w:szCs w:val="28"/>
      </w:rPr>
      <w:t>1</w:t>
    </w:r>
    <w:r>
      <w:rPr>
        <w:rStyle w:val="10"/>
        <w:rFonts w:ascii="宋体" w:hAnsi="宋体" w:eastAsia="宋体"/>
        <w:sz w:val="28"/>
        <w:szCs w:val="28"/>
      </w:rPr>
      <w:fldChar w:fldCharType="end"/>
    </w:r>
    <w:r>
      <w:rPr>
        <w:rStyle w:val="10"/>
        <w:rFonts w:hint="eastAsia"/>
        <w:sz w:val="28"/>
        <w:szCs w:val="28"/>
      </w:rPr>
      <w:t>—</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421" w:wrap="around" w:vAnchor="text" w:hAnchor="margin" w:xAlign="outside" w:y="-2"/>
      <w:ind w:firstLine="280" w:firstLineChars="100"/>
      <w:rPr>
        <w:rStyle w:val="10"/>
        <w:rFonts w:hint="eastAsia" w:ascii="宋体" w:hAnsi="宋体" w:eastAsia="宋体"/>
        <w:sz w:val="28"/>
        <w:szCs w:val="28"/>
      </w:rPr>
    </w:pPr>
    <w:r>
      <w:rPr>
        <w:rStyle w:val="10"/>
        <w:rFonts w:hint="eastAsia" w:ascii="宋体" w:hAnsi="宋体" w:eastAsia="宋体"/>
        <w:sz w:val="28"/>
        <w:szCs w:val="28"/>
      </w:rPr>
      <w:t>—</w:t>
    </w:r>
    <w:r>
      <w:rPr>
        <w:rStyle w:val="10"/>
        <w:rFonts w:ascii="宋体" w:hAnsi="宋体" w:eastAsia="宋体"/>
        <w:sz w:val="28"/>
        <w:szCs w:val="28"/>
      </w:rPr>
      <w:fldChar w:fldCharType="begin"/>
    </w:r>
    <w:r>
      <w:rPr>
        <w:rStyle w:val="10"/>
        <w:rFonts w:ascii="宋体" w:hAnsi="宋体" w:eastAsia="宋体"/>
        <w:sz w:val="28"/>
        <w:szCs w:val="28"/>
      </w:rPr>
      <w:instrText xml:space="preserve">PAGE  </w:instrText>
    </w:r>
    <w:r>
      <w:rPr>
        <w:rStyle w:val="10"/>
        <w:rFonts w:ascii="宋体" w:hAnsi="宋体" w:eastAsia="宋体"/>
        <w:sz w:val="28"/>
        <w:szCs w:val="28"/>
      </w:rPr>
      <w:fldChar w:fldCharType="separate"/>
    </w:r>
    <w:r>
      <w:rPr>
        <w:rStyle w:val="10"/>
        <w:rFonts w:ascii="宋体" w:hAnsi="宋体" w:eastAsia="宋体"/>
        <w:sz w:val="28"/>
        <w:szCs w:val="28"/>
      </w:rPr>
      <w:t>8</w:t>
    </w:r>
    <w:r>
      <w:rPr>
        <w:rStyle w:val="10"/>
        <w:rFonts w:ascii="宋体" w:hAnsi="宋体" w:eastAsia="宋体"/>
        <w:sz w:val="28"/>
        <w:szCs w:val="28"/>
      </w:rPr>
      <w:fldChar w:fldCharType="end"/>
    </w:r>
    <w:r>
      <w:rPr>
        <w:rStyle w:val="10"/>
        <w:rFonts w:hint="eastAsia" w:ascii="宋体" w:hAnsi="宋体" w:eastAsia="宋体"/>
        <w:sz w:val="28"/>
        <w:szCs w:val="28"/>
      </w:rPr>
      <w:t>—</w:t>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6CC"/>
    <w:rsid w:val="001D06CC"/>
    <w:rsid w:val="00CB7DC7"/>
    <w:rsid w:val="502E1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14"/>
    <w:qFormat/>
    <w:uiPriority w:val="0"/>
    <w:pPr>
      <w:spacing w:after="120"/>
      <w:ind w:left="420" w:leftChars="200"/>
    </w:pPr>
    <w:rPr>
      <w:rFonts w:ascii="Times New Roman" w:hAnsi="Times New Roman" w:eastAsia="仿宋_GB2312"/>
      <w:sz w:val="32"/>
      <w:szCs w:val="32"/>
    </w:rPr>
  </w:style>
  <w:style w:type="paragraph" w:styleId="3">
    <w:name w:val="Plain Text"/>
    <w:basedOn w:val="1"/>
    <w:link w:val="13"/>
    <w:semiHidden/>
    <w:unhideWhenUsed/>
    <w:qFormat/>
    <w:uiPriority w:val="99"/>
    <w:rPr>
      <w:rFonts w:ascii="宋体" w:hAnsi="Courier New" w:cs="Courier New"/>
      <w:szCs w:val="21"/>
    </w:r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semiHidden/>
    <w:unhideWhenUsed/>
    <w:qFormat/>
    <w:uiPriority w:val="99"/>
    <w:rPr>
      <w:rFonts w:ascii="Times New Roman" w:hAnsi="Times New Roman"/>
      <w:sz w:val="24"/>
      <w:szCs w:val="24"/>
    </w:rPr>
  </w:style>
  <w:style w:type="character" w:styleId="10">
    <w:name w:val="page number"/>
    <w:basedOn w:val="9"/>
    <w:qFormat/>
    <w:uiPriority w:val="0"/>
  </w:style>
  <w:style w:type="character" w:customStyle="1" w:styleId="11">
    <w:name w:val="页眉 Char"/>
    <w:basedOn w:val="9"/>
    <w:link w:val="6"/>
    <w:qFormat/>
    <w:uiPriority w:val="0"/>
    <w:rPr>
      <w:sz w:val="18"/>
      <w:szCs w:val="18"/>
    </w:rPr>
  </w:style>
  <w:style w:type="character" w:customStyle="1" w:styleId="12">
    <w:name w:val="页脚 Char"/>
    <w:basedOn w:val="9"/>
    <w:link w:val="5"/>
    <w:qFormat/>
    <w:uiPriority w:val="0"/>
    <w:rPr>
      <w:sz w:val="18"/>
      <w:szCs w:val="18"/>
    </w:rPr>
  </w:style>
  <w:style w:type="character" w:customStyle="1" w:styleId="13">
    <w:name w:val="纯文本 Char"/>
    <w:basedOn w:val="9"/>
    <w:link w:val="3"/>
    <w:semiHidden/>
    <w:qFormat/>
    <w:uiPriority w:val="99"/>
    <w:rPr>
      <w:rFonts w:ascii="宋体" w:hAnsi="Courier New" w:eastAsia="宋体" w:cs="Courier New"/>
      <w:szCs w:val="21"/>
    </w:rPr>
  </w:style>
  <w:style w:type="character" w:customStyle="1" w:styleId="14">
    <w:name w:val="正文文本缩进 Char"/>
    <w:basedOn w:val="9"/>
    <w:link w:val="2"/>
    <w:qFormat/>
    <w:uiPriority w:val="0"/>
    <w:rPr>
      <w:rFonts w:ascii="Times New Roman" w:hAnsi="Times New Roman" w:eastAsia="仿宋_GB2312" w:cs="Times New Roman"/>
      <w:sz w:val="32"/>
      <w:szCs w:val="32"/>
    </w:rPr>
  </w:style>
  <w:style w:type="character" w:customStyle="1" w:styleId="15">
    <w:name w:val="批注框文本 Char"/>
    <w:basedOn w:val="9"/>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614</Words>
  <Characters>3506</Characters>
  <Lines>29</Lines>
  <Paragraphs>8</Paragraphs>
  <TotalTime>2</TotalTime>
  <ScaleCrop>false</ScaleCrop>
  <LinksUpToDate>false</LinksUpToDate>
  <CharactersWithSpaces>4112</CharactersWithSpaces>
  <Application>WPS Office_11.1.0.8408_F1E327BC-269C-435d-A152-05C5408002CA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2017-01-12T01:56:00Z</dcterms:created>
  <dc:creator>pc13</dc:creator>
  <cp:lastModifiedBy>deyatong</cp:lastModifiedBy>
  <dcterms:modified xsi:type="dcterms:W3CDTF">2019-02-12T09:28:42Z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2052-11.1.0.8408</vt:lpwstr>
  </property>
</Properties>
</file>