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560" w:lineRule="exact"/>
        <w:rPr>
          <w:rFonts w:hint="eastAsia" w:ascii="仿宋_GB2312" w:hAnsi="仿宋_GB2312" w:eastAsia="仿宋_GB2312" w:cs="仿宋_GB2312"/>
          <w:sz w:val="32"/>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重污染天气应急减排措施清单编制基本要求</w:t>
      </w:r>
    </w:p>
    <w:p>
      <w:pPr>
        <w:spacing w:line="560" w:lineRule="exact"/>
        <w:jc w:val="center"/>
        <w:rPr>
          <w:rFonts w:hint="eastAsia" w:ascii="方正小标宋简体" w:hAnsi="方正小标宋简体" w:eastAsia="方正小标宋简体" w:cs="方正小标宋简体"/>
          <w:sz w:val="36"/>
          <w:szCs w:val="36"/>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按照生态环境部办公厅《关于印发〈关于推进重污染天气应急预案修订工作的指导意见〉的函》（环办大气函〔2018〕875号）相关精神，空港新城重污染天气应急</w:t>
      </w:r>
      <w:bookmarkStart w:id="0" w:name="_GoBack"/>
      <w:bookmarkEnd w:id="0"/>
      <w:r>
        <w:rPr>
          <w:rFonts w:hint="eastAsia" w:ascii="仿宋_GB2312" w:hAnsi="仿宋_GB2312" w:eastAsia="仿宋_GB2312" w:cs="仿宋_GB2312"/>
          <w:sz w:val="32"/>
          <w:szCs w:val="32"/>
        </w:rPr>
        <w:t>减排措施清单编制工作遵循以下基本要求。</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重污染天气应急减排措施是在落实大气污染治理日常措施的基础上，对减排力度的进一步强化。按照针对性、有效性、可操作和可考核的原则，以尽可能降低污染程度为目标，在减少对社会，尤其是居民生活影响的前提下，制定和实施重污染天气应急减排措施，最大程度减少污染物排放。 </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二、基本原则</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1.针对性原则。</w:t>
      </w:r>
      <w:r>
        <w:rPr>
          <w:rFonts w:hint="eastAsia" w:ascii="仿宋_GB2312" w:hAnsi="仿宋_GB2312" w:eastAsia="仿宋_GB2312" w:cs="仿宋_GB2312"/>
          <w:sz w:val="32"/>
          <w:szCs w:val="32"/>
        </w:rPr>
        <w:t>在制定应急减排措施时，应根据源解析结果和污染物排放构成选取应急管控重点对象。优先管控污染排放较大的行业；同行业内企业应根据污染物排放绩效水平进行排序并分类管控；企业应优先选取污染物排放量较大且能够快速安全减排的工艺环节；优先对高污染企业、使用高污染燃料的企业等采取停产、限产措施。移动源管控措施应重点聚焦污染物排放量大的重型载货车和非道路移动机械。</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2.有效性原则。</w:t>
      </w:r>
      <w:r>
        <w:rPr>
          <w:rFonts w:hint="eastAsia" w:ascii="仿宋_GB2312" w:hAnsi="仿宋_GB2312" w:eastAsia="仿宋_GB2312" w:cs="仿宋_GB2312"/>
          <w:sz w:val="32"/>
          <w:szCs w:val="32"/>
        </w:rPr>
        <w:t>应急减排措施应有效减少企业生产活动过程（包括物料运输、生产、成品运输等环节）的污染物排放，减少整个重污染天气高发季节应急措施对生产活动的扰动频次。应急管控对象企业应尽可能采取停产或限产（整条生产线停产）等方式实现应急减排。</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3.可操作原则。</w:t>
      </w:r>
      <w:r>
        <w:rPr>
          <w:rFonts w:hint="eastAsia" w:ascii="仿宋_GB2312" w:hAnsi="仿宋_GB2312" w:eastAsia="仿宋_GB2312" w:cs="仿宋_GB2312"/>
          <w:sz w:val="32"/>
          <w:szCs w:val="32"/>
        </w:rPr>
        <w:t>应急减排应分门别类提出切实有效、便于操作的减排措施，避免采取“一刀切”的应急减排方式，确保措施能落地、可操作。工业源减排措施要明确管理实施流程，具体到生产工艺环节，做到“一厂一策”。</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4.可考核原则。</w:t>
      </w:r>
      <w:r>
        <w:rPr>
          <w:rFonts w:hint="eastAsia" w:ascii="仿宋_GB2312" w:hAnsi="仿宋_GB2312" w:eastAsia="仿宋_GB2312" w:cs="仿宋_GB2312"/>
          <w:sz w:val="32"/>
          <w:szCs w:val="32"/>
        </w:rPr>
        <w:t>应急减排措施应明确责任主体和分工部门，确定考核问责机制。应急减排清单应符合编制规范，明确企业单位的具体信息，停限产措施要落实到每个工序、每个环节，以便监督管理。</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三、应急减排比例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在强制性减排措施中，SO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（二氧化硫）、NO</w:t>
      </w:r>
      <w:r>
        <w:rPr>
          <w:rFonts w:hint="eastAsia" w:ascii="仿宋_GB2312" w:hAnsi="仿宋_GB2312" w:eastAsia="仿宋_GB2312" w:cs="仿宋_GB2312"/>
          <w:sz w:val="32"/>
          <w:szCs w:val="32"/>
          <w:vertAlign w:val="subscript"/>
        </w:rPr>
        <w:t>X</w:t>
      </w:r>
      <w:r>
        <w:rPr>
          <w:rFonts w:hint="eastAsia" w:ascii="仿宋_GB2312" w:hAnsi="仿宋_GB2312" w:eastAsia="仿宋_GB2312" w:cs="仿宋_GB2312"/>
          <w:sz w:val="32"/>
          <w:szCs w:val="32"/>
        </w:rPr>
        <w:t>（氮氧化物）、PM（颗粒物）等主要污染物在黄色、橙色和红色预警期间的减排比例应分别达到全社会占比的10%、20%和30%以上；VOCs（可挥发性有机物）减排比例应达到10%、15%和20%以上。根据污染物排放构成，可内部调整S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（二氧化硫）和NO</w:t>
      </w:r>
      <w:r>
        <w:rPr>
          <w:rFonts w:hint="eastAsia" w:ascii="仿宋_GB2312" w:hAnsi="仿宋_GB2312" w:eastAsia="仿宋_GB2312" w:cs="仿宋_GB2312"/>
          <w:sz w:val="32"/>
          <w:szCs w:val="32"/>
          <w:vertAlign w:val="subscript"/>
        </w:rPr>
        <w:t>X</w:t>
      </w:r>
      <w:r>
        <w:rPr>
          <w:rFonts w:hint="eastAsia" w:ascii="仿宋_GB2312" w:hAnsi="仿宋_GB2312" w:eastAsia="仿宋_GB2312" w:cs="仿宋_GB2312"/>
          <w:sz w:val="32"/>
          <w:szCs w:val="32"/>
        </w:rPr>
        <w:t>（氮氧化物）的减排比例，但二者减排比例之和不应低于上述总体要求。</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1.减排基数核算方法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开展减排基数核算是科学制定和评估重污染天气应急减排措施的重要基础。减排基数核算包括基础排放清单建立及基础排放量核算、应急减排基数核算、日减排基数核算三部分。减排基数每年核算一次。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（1）基础排放清单建立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参考《关于推进重污染天气应急预案修订工作的指导意见》（环办大气函〔2018〕875号）要求，建立应急减排基础排放清单，明确排污信息。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（2）应急减排基数核算方法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减排基数是在基础排放量中扣除当年常规治理措施减排量，并叠加当年新增产能导致的污染新增量后得到的全年减排基数。对于当年已取缔或计划取缔的“散乱污”企业，已淘汰或计划淘汰的燃煤锅炉、黄标车等对应的污染排放量，均不应纳入应急减排基数。应急减排基数核算主要针对工业源、移动源和扬尘源等3种主要大气污染源进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（3）日减排基数核算方法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减排基数是应急减排基数折算到每日的排放量，用于测算重污染天气应急措施减排比例。工业源原则上按照全年排放量除以330天折算；采暖锅炉和民用散煤按照当地实际供暖天数折算；移动源和扬尘源按照365天折算。扬尘排放量作为颗粒物排放量的一部分单独计算，其减排比例上限应按照城市分季节的PM2.5源解析结果确定。</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四、主要减排措施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SO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（二氧化硫）、NO</w:t>
      </w:r>
      <w:r>
        <w:rPr>
          <w:rFonts w:hint="eastAsia" w:ascii="仿宋_GB2312" w:hAnsi="仿宋_GB2312" w:eastAsia="仿宋_GB2312" w:cs="仿宋_GB2312"/>
          <w:sz w:val="32"/>
          <w:szCs w:val="32"/>
          <w:vertAlign w:val="subscript"/>
        </w:rPr>
        <w:t>X</w:t>
      </w:r>
      <w:r>
        <w:rPr>
          <w:rFonts w:hint="eastAsia" w:ascii="仿宋_GB2312" w:hAnsi="仿宋_GB2312" w:eastAsia="仿宋_GB2312" w:cs="仿宋_GB2312"/>
          <w:sz w:val="32"/>
          <w:szCs w:val="32"/>
        </w:rPr>
        <w:t>（氮氧化物）、PM颗粒物减排可通过严格控制钢铁、平板玻璃、有色、水泥、燃煤电厂、燃煤锅炉、工业窑炉等工业源排放，限制重型载货车和工程机械使用等措施实现。扬尘颗粒物减排可通过停止施工工地土石方作业，禁止建筑垃圾、渣土、砂石运输车辆行驶，增加主要道路保洁频次等措施实现。VOCs(可挥发性有机物)减排主要通过严格控制化工、工业涂装、印刷等行业VOCs(可挥发性有机物)排放，停止建筑工地喷涂粉刷等使用有机溶剂的作业等措施实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（1）工业源减排措施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业源主要通过停产或停部分生产线的限产方式实现减排，优先采取行业内不同企业轮流停产、企业内生产线轮换停产等方式实现。石化、玻璃等因生产工艺无法快速实现停限产的行业，可采取减少装卸和运输量措施实现减排，并在执行现有污染物排放标准基础上，参照各预警级别的污染物减排比例，采取加严排放限值、限定产量或投放量的方式实现污染减排，并通过在线监控实施监管。鼓励优先选择对高污染燃料使用企业采取停产、限产措施。不应将长期停产企业纳入应急减排范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（2）移动源减排措施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移动源减排主要通过采取限制高排放车辆和非道路移动机械使用、实施过境重型载货车绕行疏导等措施实现。高排放车辆限行范围不应局限在主城区；涉及大宗原材料及产品运输的重点用车企业，应制定错峰运输方案，从源头管控高排放车辆；黄标车限行不应纳入应急措施管控范畴。重污染天气橙色、红色预警时，可采取特定区域禁行柴油车辆的措施。引导公众重污染天气期间减少出行和使用公共交通出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（3）扬尘源及其他面源减排措施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扬尘源主要通过控制施工扬尘和交通扬尘实现。施工扬尘控制应采取禁止混凝土搅拌、建筑拆除、渣土车运输、土石方作业等措施。交通扬尘控制应采取适当增加主干道路和易产生扬尘路段的机扫和洒水频次等措施。其他面源主要通过降低装修喷涂和建筑粉刷等活动水平实现。对塔吊作业或地下施工等不宜采取停工措施；对于禁止露天焚烧和露天烧烤等日常措施，不应纳入应急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（4）其他源减排措施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针对其他大气污染源，如生物质燃烧源、农业源等，根据实际情况逐步开展其排放清单的调查和编制工作，进而采取相应的减排措施。</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五、应急减排措施编制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空港新城大气污染源解析和污染源排放清单为基础选取应急管控重点对象，优先管控污染排放较大的行业；同行业内企业应根据污染物排放绩效水平进行排序并分类管控；企业应优先选取污染物排放量较大且能够快速安全减排的工艺环节；优先对城市建成区内的高污染企业、使用高污染燃料的企业等采取停产、限产措施。移动源管控措施应重点聚焦污染物排放量大的重型载货车和非道路移动机械。应急减排措施应有效减少企业生产活动过程（包括物料运输、生产、成品运输等环节）的污染物排放，应急管控对象企业应尽可能采取停产或限产（整条生产线停产）等方式实现应急减排。鼓励产能严重过剩的行业在采暖季实施错峰生产，一般产能过剩的行业以月或两月为单位实施轮流错峰生产。</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（1）应急减排项目清单编制要求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减排项目清单应做到涉气污染源全覆盖，长期停产企业应在清单中明确。由行业牵头部门，组织排污单位填报本区域内最近一年工业源、移动源、扬尘源项目清单。工业源项目清单应包括企业具体工艺环节、污染物排放量以及不同预警级别下采取的应急措施和相应减排量。移动源项目清单应包括不同车辆类型、不同排放标准的机动车保有量信息和应急减排措施并估算减排量。扬尘源项目清单应包括当年施工工地、道路扬尘、堆场扬尘及减排量等信息。根据产业结构调整情况和大气污染源变化情况，每年定期开展应急减排项目清单修订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充分发挥以应急促减排效能，推动产业布局调整、重点行业污染防治，建材、铸造、有色、化工等高排放行业应优先安排实施错峰生产；已明确的退城企业、建成区内现有化工企业、未实施无组织排放深度治理的企业、非采暖燃煤锅炉（不含65蒸吨及以上已完成超低排放改造的）、未完成低氮改造的非采暖燃气锅炉、未完成超低排放改造的生物质锅炉等应优先纳入应急管控范畴。对实施民生供暖的企业采取应急管控措施时，在保障供暖安全的前提下，以热定产。对涉及民生的其他行业企业，在确保民生不受影响的前提下，应做到应急减排最大化。当各项应急减排措施满足应急减排比例总体要求时，原则上可不对其他涉气污染源采取管控措施，但应在清单中明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（2）成员单位预案或实施方案编制要求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空港新城指挥部各相关成员单位应参照本预案，结合各自承担的应急工作职责，编制本区域、本部门、本行业重污染天气应急预案或实施方案，并建立预案（方案）的评估机制，每年对其有效性和可操作性进行评估。</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（3）企业应急减排操作方案编制要求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按照可操作、可量化、可考核原则制定重污染天气应急响应操作方案并留存备案。操作方案应包括：企业基本情况、主要生产工艺流程、主要涉气产污环节及污染物排放情况，并载明不同预警等级下的应急减排措施，明确具体的停产生产线、工艺环节和各类减排措施的关键性指标（如天然气用量、用电量等）。对于采取提高治污效率降低污染物排放的企业或工艺环节，要载明执行的污染物排放标准以及不同预警级别下的排放限值。持排污许可证的企业在排污许可证中明确上述要求。同时制定企业操作方案“一厂一策”公示牌，安装在厂区入口等显要位置。</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六、清单编制实施主体</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空港新城重污染天气应急减排措施清单编制及动态更新工作由空港新城环境保护局牵头组织实施。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空港新城管委会各相关部门，各街（镇）办配合做好清单及动态更新编制工作的基础资料收集、整理、上报等，对拟定的减排措施开展现场核实、核查，并负责监督实施。</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七、清单编制时间安排</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生态环境部统一部署，2018年，空港新城环境保护局牵头将初步完成本年度重污染天气应急减排措施清单编制工作。2019年，按照涉气源全覆盖要求，完善应急减排措施清单，严实应急减排比例，落实大气工业源“一厂一策”。</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从2018年起，每年9月30日和12月31日前，将更新后的最新动态清单报西咸新区环境保护局。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E6858"/>
    <w:rsid w:val="238E6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2019-01-02T09:45:00Z</dcterms:created>
  <dc:creator>行者无疆</dc:creator>
  <cp:lastModifiedBy>行者无疆</cp:lastModifiedBy>
  <dcterms:modified xsi:type="dcterms:W3CDTF">2019-01-02T09:46:27Z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