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400" w:lineRule="exact"/>
        <w:jc w:val="left"/>
        <w:rPr>
          <w:rFonts w:hint="eastAsia" w:ascii="黑体" w:hAnsi="黑体" w:eastAsia="黑体" w:cs="黑体"/>
          <w:bCs/>
          <w:kern w:val="0"/>
          <w:szCs w:val="32"/>
        </w:rPr>
      </w:pPr>
      <w:r>
        <w:rPr>
          <w:rFonts w:hint="eastAsia" w:ascii="黑体" w:hAnsi="黑体" w:eastAsia="黑体" w:cs="黑体"/>
          <w:bCs/>
          <w:kern w:val="0"/>
          <w:szCs w:val="32"/>
        </w:rPr>
        <w:t>附件2</w:t>
      </w:r>
    </w:p>
    <w:p>
      <w:pPr>
        <w:widowControl/>
        <w:spacing w:before="100" w:beforeAutospacing="1" w:after="100" w:afterAutospacing="1" w:line="480" w:lineRule="exact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城市道路占用收费标准</w:t>
      </w:r>
    </w:p>
    <w:p>
      <w:pPr>
        <w:widowControl/>
        <w:spacing w:before="100" w:beforeAutospacing="1" w:after="100" w:afterAutospacing="1" w:line="400" w:lineRule="exact"/>
        <w:jc w:val="center"/>
        <w:rPr>
          <w:rFonts w:hint="eastAsia" w:ascii="仿宋_GB2312" w:hAnsi="微软雅黑" w:eastAsia="仿宋_GB2312" w:cs="宋体"/>
          <w:b/>
          <w:kern w:val="0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陕建发〔2015〕141号</w:t>
      </w:r>
    </w:p>
    <w:p>
      <w:pPr>
        <w:widowControl/>
        <w:spacing w:before="100" w:beforeAutospacing="1" w:after="100" w:afterAutospacing="1" w:line="400" w:lineRule="exact"/>
        <w:jc w:val="right"/>
        <w:rPr>
          <w:rFonts w:hint="eastAsia" w:ascii="仿宋_GB2312" w:hAnsi="微软雅黑" w:eastAsia="仿宋_GB2312" w:cs="宋体"/>
          <w:kern w:val="0"/>
          <w:sz w:val="28"/>
          <w:szCs w:val="28"/>
        </w:rPr>
      </w:pPr>
      <w:r>
        <w:rPr>
          <w:rFonts w:hint="eastAsia" w:ascii="微软雅黑" w:hAnsi="微软雅黑" w:eastAsia="仿宋_GB2312" w:cs="宋体"/>
          <w:kern w:val="0"/>
          <w:sz w:val="29"/>
          <w:szCs w:val="29"/>
        </w:rPr>
        <w:t xml:space="preserve"> </w:t>
      </w:r>
      <w:r>
        <w:rPr>
          <w:rFonts w:hint="eastAsia" w:ascii="仿宋_GB2312" w:hAnsi="微软雅黑" w:eastAsia="仿宋_GB2312" w:cs="宋体"/>
          <w:kern w:val="0"/>
          <w:sz w:val="28"/>
          <w:szCs w:val="28"/>
        </w:rPr>
        <w:t xml:space="preserve"> 单位：元/</w:t>
      </w:r>
      <w:bookmarkStart w:id="0" w:name="_GoBack"/>
      <w:bookmarkEnd w:id="0"/>
      <w:r>
        <w:rPr>
          <w:rFonts w:hint="eastAsia" w:ascii="仿宋_GB2312" w:hAnsi="微软雅黑" w:eastAsia="仿宋_GB2312" w:cs="宋体"/>
          <w:kern w:val="0"/>
          <w:sz w:val="28"/>
          <w:szCs w:val="28"/>
        </w:rPr>
        <w:t>平方米·天</w:t>
      </w:r>
    </w:p>
    <w:tbl>
      <w:tblPr>
        <w:tblStyle w:val="2"/>
        <w:tblW w:w="9026" w:type="dxa"/>
        <w:tblInd w:w="0" w:type="dxa"/>
        <w:tblBorders>
          <w:top w:val="single" w:color="CCCCCC" w:sz="6" w:space="0"/>
          <w:left w:val="single" w:color="CCCCCC" w:sz="6" w:space="0"/>
          <w:bottom w:val="single" w:color="CCCCCC" w:sz="6" w:space="0"/>
          <w:right w:val="single" w:color="CCCCCC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6"/>
        <w:gridCol w:w="2127"/>
        <w:gridCol w:w="1701"/>
        <w:gridCol w:w="1701"/>
        <w:gridCol w:w="1701"/>
      </w:tblGrid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" w:hRule="atLeast"/>
        </w:trPr>
        <w:tc>
          <w:tcPr>
            <w:tcW w:w="392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136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类别区分</w:t>
            </w:r>
          </w:p>
        </w:tc>
        <w:tc>
          <w:tcPr>
            <w:tcW w:w="5103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136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</w:rPr>
              <w:t>收费标准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" w:hRule="atLeast"/>
        </w:trPr>
        <w:tc>
          <w:tcPr>
            <w:tcW w:w="179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136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收费类别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136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道路类别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136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车行道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136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人行道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136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空地路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" w:hRule="atLeast"/>
        </w:trPr>
        <w:tc>
          <w:tcPr>
            <w:tcW w:w="1796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543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经营性</w:t>
            </w:r>
          </w:p>
          <w:p>
            <w:pPr>
              <w:widowControl/>
              <w:spacing w:before="100" w:beforeAutospacing="1" w:after="100" w:afterAutospacing="1" w:line="543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占道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136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主干道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136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2.10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136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0.80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136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0.60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" w:hRule="atLeast"/>
        </w:trPr>
        <w:tc>
          <w:tcPr>
            <w:tcW w:w="179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136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次干道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136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1.60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136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0.60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136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0.50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" w:hRule="atLeast"/>
        </w:trPr>
        <w:tc>
          <w:tcPr>
            <w:tcW w:w="179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136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背街小巷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136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1.10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136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0.50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136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0.20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" w:hRule="atLeast"/>
        </w:trPr>
        <w:tc>
          <w:tcPr>
            <w:tcW w:w="1796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543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非经营性</w:t>
            </w:r>
          </w:p>
          <w:p>
            <w:pPr>
              <w:widowControl/>
              <w:spacing w:before="100" w:beforeAutospacing="1" w:after="100" w:afterAutospacing="1" w:line="543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占道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136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主干道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435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136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0.50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435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" w:hRule="atLeast"/>
        </w:trPr>
        <w:tc>
          <w:tcPr>
            <w:tcW w:w="179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136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次干道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435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136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0.40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435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" w:hRule="atLeast"/>
        </w:trPr>
        <w:tc>
          <w:tcPr>
            <w:tcW w:w="1796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136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背街小巷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435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before="100" w:beforeAutospacing="1" w:after="100" w:afterAutospacing="1" w:line="136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0.30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</w:tcPr>
          <w:p>
            <w:pPr>
              <w:widowControl/>
              <w:spacing w:line="435" w:lineRule="atLeas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</w:tbl>
    <w:p>
      <w:pPr>
        <w:autoSpaceDN w:val="0"/>
        <w:spacing w:line="360" w:lineRule="auto"/>
        <w:rPr>
          <w:rFonts w:hint="eastAsia" w:ascii="华文仿宋" w:hAnsi="华文仿宋" w:eastAsia="华文仿宋" w:cs="华文仿宋"/>
          <w:sz w:val="28"/>
          <w:szCs w:val="28"/>
        </w:rPr>
      </w:pPr>
    </w:p>
    <w:p>
      <w:pPr>
        <w:autoSpaceDN w:val="0"/>
        <w:spacing w:line="360" w:lineRule="auto"/>
        <w:rPr>
          <w:rFonts w:hint="eastAsia" w:ascii="华文仿宋" w:hAnsi="华文仿宋" w:eastAsia="华文仿宋" w:cs="华文仿宋"/>
          <w:sz w:val="28"/>
          <w:szCs w:val="28"/>
        </w:rPr>
      </w:pPr>
    </w:p>
    <w:p>
      <w:pPr>
        <w:autoSpaceDN w:val="0"/>
        <w:spacing w:line="360" w:lineRule="auto"/>
        <w:rPr>
          <w:rFonts w:hint="eastAsia" w:ascii="华文仿宋" w:hAnsi="华文仿宋" w:eastAsia="华文仿宋" w:cs="华文仿宋"/>
          <w:sz w:val="28"/>
          <w:szCs w:val="28"/>
        </w:rPr>
      </w:pPr>
    </w:p>
    <w:p>
      <w:pPr>
        <w:autoSpaceDN w:val="0"/>
        <w:spacing w:line="360" w:lineRule="auto"/>
        <w:rPr>
          <w:rFonts w:hint="eastAsia" w:ascii="华文仿宋" w:hAnsi="华文仿宋" w:eastAsia="华文仿宋" w:cs="华文仿宋"/>
          <w:sz w:val="28"/>
          <w:szCs w:val="28"/>
        </w:rPr>
      </w:pPr>
    </w:p>
    <w:p>
      <w:pPr>
        <w:autoSpaceDN w:val="0"/>
        <w:spacing w:line="360" w:lineRule="auto"/>
        <w:rPr>
          <w:rFonts w:hint="eastAsia" w:ascii="华文仿宋" w:hAnsi="华文仿宋" w:eastAsia="华文仿宋" w:cs="华文仿宋"/>
          <w:sz w:val="28"/>
          <w:szCs w:val="28"/>
        </w:rPr>
      </w:pPr>
    </w:p>
    <w:p>
      <w:pPr>
        <w:autoSpaceDN w:val="0"/>
        <w:spacing w:line="360" w:lineRule="auto"/>
        <w:rPr>
          <w:rFonts w:hint="eastAsia" w:ascii="华文仿宋" w:hAnsi="华文仿宋" w:eastAsia="华文仿宋" w:cs="华文仿宋"/>
          <w:sz w:val="28"/>
          <w:szCs w:val="28"/>
        </w:rPr>
      </w:pPr>
    </w:p>
    <w:p>
      <w:pPr>
        <w:autoSpaceDN w:val="0"/>
        <w:spacing w:line="360" w:lineRule="auto"/>
        <w:rPr>
          <w:rFonts w:hint="eastAsia" w:ascii="华文仿宋" w:hAnsi="华文仿宋" w:eastAsia="华文仿宋" w:cs="华文仿宋"/>
          <w:sz w:val="28"/>
          <w:szCs w:val="28"/>
        </w:rPr>
      </w:pPr>
    </w:p>
    <w:p>
      <w:pPr>
        <w:autoSpaceDN w:val="0"/>
        <w:spacing w:line="360" w:lineRule="auto"/>
        <w:rPr>
          <w:rFonts w:hint="eastAsia" w:ascii="华文仿宋" w:hAnsi="华文仿宋" w:eastAsia="华文仿宋" w:cs="华文仿宋"/>
          <w:sz w:val="28"/>
          <w:szCs w:val="28"/>
        </w:rPr>
      </w:pPr>
    </w:p>
    <w:p>
      <w:pPr>
        <w:autoSpaceDN w:val="0"/>
        <w:spacing w:line="360" w:lineRule="auto"/>
        <w:rPr>
          <w:rFonts w:hint="eastAsia" w:ascii="华文仿宋" w:hAnsi="华文仿宋" w:eastAsia="华文仿宋" w:cs="华文仿宋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4765C2"/>
    <w:rsid w:val="28476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2019-10-08T09:01:00Z</dcterms:created>
  <dc:creator>SH</dc:creator>
  <cp:lastModifiedBy>SH</cp:lastModifiedBy>
  <dcterms:modified xsi:type="dcterms:W3CDTF">2019-10-08T09:01:47Z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